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16</w:t>
      </w:r>
    </w:p>
    <w:p>
      <w:pPr>
        <w:pStyle w:val="Subtitle"/>
      </w:pPr>
      <w:r>
        <w:t xml:space="preserve">Задачи оптимизации. Модель двух стратегий обслуживания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двух стратегий обслуживания и оценить оптимальные параметры.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1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1"/>
        </w:numPr>
      </w:pPr>
      <w:r>
        <w:t xml:space="preserve">изменить модели, чтобы определить оптимальное число пропускных пунктов.</w:t>
      </w:r>
    </w:p>
    <w:bookmarkEnd w:id="21"/>
    <w:bookmarkStart w:id="8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pStyle w:val="Compact"/>
        <w:numPr>
          <w:ilvl w:val="0"/>
          <w:numId w:val="1002"/>
        </w:numPr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pStyle w:val="Compact"/>
        <w:numPr>
          <w:ilvl w:val="0"/>
          <w:numId w:val="1002"/>
        </w:numPr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  <w:r>
        <w:t xml:space="preserve"> </w:t>
      </w: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2"/>
    <w:bookmarkStart w:id="39" w:name="построение-модел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pStyle w:val="Compact"/>
        <w:numPr>
          <w:ilvl w:val="0"/>
          <w:numId w:val="1003"/>
        </w:numPr>
      </w:pPr>
      <w:r>
        <w:t xml:space="preserve">характеристик качества обслуживания автомобилей, в частности, средних длин</w:t>
      </w:r>
      <w:r>
        <w:t xml:space="preserve"> </w:t>
      </w:r>
      <w:r>
        <w:t xml:space="preserve">очередей; среднего времени обслуживания автомобиля; среднего времени пребывания автомобиля на пункте пропуска;</w:t>
      </w:r>
    </w:p>
    <w:p>
      <w:pPr>
        <w:pStyle w:val="Compact"/>
        <w:numPr>
          <w:ilvl w:val="0"/>
          <w:numId w:val="1003"/>
        </w:numPr>
      </w:pPr>
      <w:r>
        <w:t xml:space="preserve">наилучшей стратегии обслуживания автомобилей на пункте пограничного контроля;</w:t>
      </w:r>
    </w:p>
    <w:p>
      <w:pPr>
        <w:pStyle w:val="Compact"/>
        <w:numPr>
          <w:ilvl w:val="0"/>
          <w:numId w:val="1003"/>
        </w:numPr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pStyle w:val="Compact"/>
        <w:numPr>
          <w:ilvl w:val="0"/>
          <w:numId w:val="1004"/>
        </w:numPr>
      </w:pPr>
      <w:r>
        <w:t xml:space="preserve">коэффициенты загрузки системы;</w:t>
      </w:r>
    </w:p>
    <w:p>
      <w:pPr>
        <w:pStyle w:val="Compact"/>
        <w:numPr>
          <w:ilvl w:val="0"/>
          <w:numId w:val="1004"/>
        </w:numPr>
      </w:pPr>
      <w:r>
        <w:t xml:space="preserve">максимальные и средние длины очередей;</w:t>
      </w:r>
    </w:p>
    <w:p>
      <w:pPr>
        <w:pStyle w:val="Compact"/>
        <w:numPr>
          <w:ilvl w:val="0"/>
          <w:numId w:val="1004"/>
        </w:numPr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[??]).</w:t>
      </w:r>
    </w:p>
    <w:bookmarkStart w:id="26" w:name="fig:001"/>
    <w:p>
      <w:pPr>
        <w:pStyle w:val="CaptionedFigure"/>
      </w:pPr>
      <w:r>
        <w:drawing>
          <wp:inline>
            <wp:extent cx="3733800" cy="3097413"/>
            <wp:effectExtent b="0" l="0" r="0" t="0"/>
            <wp:docPr descr="Модель первой стратегии обслуживания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</w:t>
      </w:r>
    </w:p>
    <w:bookmarkEnd w:id="26"/>
    <w:p>
      <w:pPr>
        <w:pStyle w:val="BodyText"/>
      </w:pPr>
      <w:r>
        <w:t xml:space="preserve">После запуска симуляции получим отчёт (рис. [??]).</w:t>
      </w:r>
    </w:p>
    <w:bookmarkStart w:id="30" w:name="fig:002"/>
    <w:p>
      <w:pPr>
        <w:pStyle w:val="CaptionedFigure"/>
      </w:pPr>
      <w:r>
        <w:drawing>
          <wp:inline>
            <wp:extent cx="3733800" cy="4366362"/>
            <wp:effectExtent b="0" l="0" r="0" t="0"/>
            <wp:docPr descr="Отчёт по модели первой стратегии обслуживания" title="fig: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</w:t>
      </w:r>
    </w:p>
    <w:bookmarkEnd w:id="30"/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 [??], [??]).</w:t>
      </w:r>
    </w:p>
    <w:bookmarkStart w:id="34" w:name="fig:003"/>
    <w:p>
      <w:pPr>
        <w:pStyle w:val="CaptionedFigure"/>
      </w:pPr>
      <w:r>
        <w:drawing>
          <wp:inline>
            <wp:extent cx="3733800" cy="1575663"/>
            <wp:effectExtent b="0" l="0" r="0" t="0"/>
            <wp:docPr descr="Модель второй стратегии обслуживания" title="fig: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3418832"/>
            <wp:effectExtent b="0" l="0" r="0" t="0"/>
            <wp:docPr descr="Отчет по модели второй стратегии обслуживания" title="fig: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второй стратегии обслуживания</w:t>
      </w:r>
    </w:p>
    <w:bookmarkEnd w:id="38"/>
    <w:bookmarkEnd w:id="39"/>
    <w:bookmarkStart w:id="41" w:name="задание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Задание:</w:t>
      </w:r>
    </w:p>
    <w:p>
      <w:pPr>
        <w:pStyle w:val="FirstParagraph"/>
      </w:pPr>
      <w:r>
        <w:t xml:space="preserve">Составим таблицу по полученной статистике (табл. [</w:t>
      </w:r>
      <w:hyperlink w:anchor="tbl:strategy">
        <w:r>
          <w:rPr>
            <w:rStyle w:val="Hyperlink"/>
          </w:rPr>
          <w:t xml:space="preserve">1</w:t>
        </w:r>
      </w:hyperlink>
      <w:r>
        <w:t xml:space="preserve">]).</w:t>
      </w:r>
    </w:p>
    <w:bookmarkStart w:id="0" w:name="tbl:strategy"/>
    <w:bookmarkStart w:id="40" w:name="tbl:strategy"/>
    <w:p>
      <w:pPr>
        <w:pStyle w:val="TableCaption"/>
      </w:pPr>
      <w:r>
        <w:t xml:space="preserve">Table 1: Сравнение стратегий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 1: Сравнение стратегий :"/>
      </w:tblPr>
      <w:tblGrid>
        <w:gridCol w:w="2996"/>
        <w:gridCol w:w="1391"/>
        <w:gridCol w:w="963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</w:pPr>
            <w:r>
              <w:t xml:space="preserve">2928</w:t>
            </w:r>
          </w:p>
        </w:tc>
        <w:tc>
          <w:tcPr/>
          <w:p>
            <w:pPr>
              <w:pStyle w:val="Compact"/>
            </w:pPr>
            <w:r>
              <w:t xml:space="preserve">2925</w:t>
            </w:r>
          </w:p>
        </w:tc>
        <w:tc>
          <w:tcPr/>
          <w:p>
            <w:pPr>
              <w:pStyle w:val="Compact"/>
            </w:pPr>
            <w:r>
              <w:t xml:space="preserve">5853</w:t>
            </w:r>
          </w:p>
        </w:tc>
        <w:tc>
          <w:tcPr/>
          <w:p>
            <w:pPr>
              <w:pStyle w:val="Compac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</w:pPr>
            <w:r>
              <w:t xml:space="preserve">2540</w:t>
            </w:r>
          </w:p>
        </w:tc>
        <w:tc>
          <w:tcPr/>
          <w:p>
            <w:pPr>
              <w:pStyle w:val="Compact"/>
            </w:pPr>
            <w:r>
              <w:t xml:space="preserve">2536</w:t>
            </w:r>
          </w:p>
        </w:tc>
        <w:tc>
          <w:tcPr/>
          <w:p>
            <w:pPr>
              <w:pStyle w:val="Compact"/>
            </w:pPr>
            <w:r>
              <w:t xml:space="preserve">5076</w:t>
            </w:r>
          </w:p>
        </w:tc>
        <w:tc>
          <w:tcPr/>
          <w:p>
            <w:pPr>
              <w:pStyle w:val="Compac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</w:pPr>
            <w:r>
              <w:t xml:space="preserve">0,997</w:t>
            </w:r>
          </w:p>
        </w:tc>
        <w:tc>
          <w:tcPr/>
          <w:p>
            <w:pPr>
              <w:pStyle w:val="Compact"/>
            </w:pPr>
            <w:r>
              <w:t xml:space="preserve">0,996</w:t>
            </w:r>
          </w:p>
        </w:tc>
        <w:tc>
          <w:tcPr/>
          <w:p>
            <w:pPr>
              <w:pStyle w:val="Compact"/>
            </w:pPr>
            <w:r>
              <w:t xml:space="preserve">0,9965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786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</w:pPr>
            <w:r>
              <w:t xml:space="preserve">187,098</w:t>
            </w:r>
          </w:p>
        </w:tc>
        <w:tc>
          <w:tcPr/>
          <w:p>
            <w:pPr>
              <w:pStyle w:val="Compact"/>
            </w:pPr>
            <w:r>
              <w:t xml:space="preserve">187,114</w:t>
            </w:r>
          </w:p>
        </w:tc>
        <w:tc>
          <w:tcPr/>
          <w:p>
            <w:pPr>
              <w:pStyle w:val="Compact"/>
            </w:pPr>
            <w:r>
              <w:t xml:space="preserve">374,212</w:t>
            </w:r>
          </w:p>
        </w:tc>
        <w:tc>
          <w:tcPr/>
          <w:p>
            <w:pPr>
              <w:pStyle w:val="Compac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</w:pPr>
            <w:r>
              <w:t xml:space="preserve">644,107</w:t>
            </w:r>
          </w:p>
        </w:tc>
        <w:tc>
          <w:tcPr/>
          <w:p>
            <w:pPr>
              <w:pStyle w:val="Compact"/>
            </w:pPr>
            <w:r>
              <w:t xml:space="preserve">644,823</w:t>
            </w:r>
          </w:p>
        </w:tc>
        <w:tc>
          <w:tcPr/>
          <w:p>
            <w:pPr>
              <w:pStyle w:val="Compact"/>
            </w:pPr>
            <w:r>
              <w:t xml:space="preserve">644,465</w:t>
            </w:r>
          </w:p>
        </w:tc>
        <w:tc>
          <w:tcPr/>
          <w:p>
            <w:pPr>
              <w:pStyle w:val="Compact"/>
            </w:pPr>
            <w:r>
              <w:t xml:space="preserve">607,138</w:t>
            </w:r>
          </w:p>
        </w:tc>
      </w:tr>
    </w:tbl>
    <w:bookmarkEnd w:id="40"/>
    <w:bookmarkEnd w:id="0"/>
    <w:p>
      <w:pPr>
        <w:pStyle w:val="BodyText"/>
      </w:pPr>
      <w:r>
        <w:t xml:space="preserve">Сравнив результаты моделирования двух систем, можно сделать вывод о том,</w:t>
      </w:r>
      <w:r>
        <w:t xml:space="preserve"> </w:t>
      </w:r>
      <w:r>
        <w:t xml:space="preserve">что первая модель позволяет обслужить большее число автомобилей. Однако мы</w:t>
      </w:r>
      <w:r>
        <w:t xml:space="preserve"> </w:t>
      </w:r>
      <w:r>
        <w:t xml:space="preserve">видим, что разница между обслуженными и поступившими автомобилями меньше</w:t>
      </w:r>
      <w:r>
        <w:t xml:space="preserve"> </w:t>
      </w:r>
      <w:r>
        <w:t xml:space="preserve">для второй модели – значит, продуктивность работы выше. Также для второй модели коэффициент загрузки равен 1 – значит ни один из</w:t>
      </w:r>
      <w:r>
        <w:t xml:space="preserve"> </w:t>
      </w:r>
      <w:r>
        <w:t xml:space="preserve">пунктов не простаивает. Максимальная длина очереди, средняя длина очереди и</w:t>
      </w:r>
      <w:r>
        <w:t xml:space="preserve"> </w:t>
      </w:r>
      <w:r>
        <w:t xml:space="preserve">среднее время ожидания меньше для второй стратегии. Можно сделать вывод, что</w:t>
      </w:r>
      <w:r>
        <w:t xml:space="preserve"> </w:t>
      </w:r>
      <w:r>
        <w:t xml:space="preserve">вторая стратегия лучше.</w:t>
      </w:r>
    </w:p>
    <w:bookmarkEnd w:id="41"/>
    <w:bookmarkStart w:id="82" w:name="Xf93fd02b9c527d9f12f26d897c7ed4444cb9e0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pStyle w:val="Compact"/>
        <w:numPr>
          <w:ilvl w:val="0"/>
          <w:numId w:val="1005"/>
        </w:numPr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pStyle w:val="Compact"/>
        <w:numPr>
          <w:ilvl w:val="0"/>
          <w:numId w:val="1005"/>
        </w:numPr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 [??]).</w:t>
      </w:r>
    </w:p>
    <w:bookmarkStart w:id="45" w:name="fig:005"/>
    <w:p>
      <w:pPr>
        <w:pStyle w:val="CaptionedFigure"/>
      </w:pPr>
      <w:r>
        <w:drawing>
          <wp:inline>
            <wp:extent cx="3733800" cy="1425493"/>
            <wp:effectExtent b="0" l="0" r="0" t="0"/>
            <wp:docPr descr="Модель двух стратегий обслуживания с 1 пропускным пунктом" title="fig: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двух стратегий обслуживания с 1 пропускным пунктом</w:t>
      </w:r>
    </w:p>
    <w:bookmarkEnd w:id="45"/>
    <w:p>
      <w:pPr>
        <w:pStyle w:val="BodyText"/>
      </w:pPr>
      <w:r>
        <w:t xml:space="preserve">После симуляции получим следующий отчет (рис. [??]).</w:t>
      </w:r>
    </w:p>
    <w:bookmarkStart w:id="49" w:name="fig:006"/>
    <w:p>
      <w:pPr>
        <w:pStyle w:val="CaptionedFigure"/>
      </w:pPr>
      <w:r>
        <w:drawing>
          <wp:inline>
            <wp:extent cx="3733800" cy="3132273"/>
            <wp:effectExtent b="0" l="0" r="0" t="0"/>
            <wp:docPr descr="Отчёт по модели двух стратегий обслуживания с 1 пропускным пунктом" title="fig: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двух стратегий обслуживания с 1 пропускным пунктом</w:t>
      </w:r>
    </w:p>
    <w:bookmarkEnd w:id="49"/>
    <w:p>
      <w:pPr>
        <w:pStyle w:val="BodyText"/>
      </w:pPr>
      <w:r>
        <w:t xml:space="preserve">В этом случае модель не проходит ни по одному из критериев, так как коэффициент загрузки, размер очереди и среднее время ожидания больше.</w:t>
      </w:r>
    </w:p>
    <w:p>
      <w:pPr>
        <w:pStyle w:val="BodyText"/>
      </w:pPr>
      <w:r>
        <w:t xml:space="preserve">Построим модель для первой стратегии с 3 пропускными пунктами и получим отчет (рис. [??], [??]).</w:t>
      </w:r>
    </w:p>
    <w:bookmarkStart w:id="53" w:name="fig:007"/>
    <w:p>
      <w:pPr>
        <w:pStyle w:val="CaptionedFigure"/>
      </w:pPr>
      <w:r>
        <w:drawing>
          <wp:inline>
            <wp:extent cx="3733800" cy="2517781"/>
            <wp:effectExtent b="0" l="0" r="0" t="0"/>
            <wp:docPr descr="Модель первой стратегии обслуживания с 3 пропускными пунктами" title="fig: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 с 3 пропускными пунктами</w:t>
      </w:r>
    </w:p>
    <w:bookmarkEnd w:id="53"/>
    <w:bookmarkStart w:id="57" w:name="fig:008"/>
    <w:p>
      <w:pPr>
        <w:pStyle w:val="CaptionedFigure"/>
      </w:pPr>
      <w:r>
        <w:drawing>
          <wp:inline>
            <wp:extent cx="3733800" cy="4016235"/>
            <wp:effectExtent b="0" l="0" r="0" t="0"/>
            <wp:docPr descr="Отчёт по модели первой стратегии обслуживания с 3 пропускными пунктами" title="fig: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 с 3 пропускными пунктами</w:t>
      </w:r>
    </w:p>
    <w:bookmarkEnd w:id="57"/>
    <w:p>
      <w:pPr>
        <w:pStyle w:val="BodyText"/>
      </w:pPr>
      <w:r>
        <w:t xml:space="preserve">В этом случае среднее количество автомобилей в очереди меньше 3 и коэффициент загрузки в нужном диапазоне, но среднее время ожидания больше 4.</w:t>
      </w:r>
    </w:p>
    <w:p>
      <w:pPr>
        <w:pStyle w:val="BodyText"/>
      </w:pPr>
      <w:r>
        <w:t xml:space="preserve">Построим модель для первой стратегии с 4 пропускными пунктами (рис. [??], [??]).</w:t>
      </w:r>
    </w:p>
    <w:bookmarkStart w:id="61" w:name="fig:009"/>
    <w:p>
      <w:pPr>
        <w:pStyle w:val="CaptionedFigure"/>
      </w:pPr>
      <w:r>
        <w:drawing>
          <wp:inline>
            <wp:extent cx="3733800" cy="2764412"/>
            <wp:effectExtent b="0" l="0" r="0" t="0"/>
            <wp:docPr descr="Модель первой стратегии обслуживания с 4 пропускными пунктами" title="fig: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 с 4 пропускными пунктами</w:t>
      </w:r>
    </w:p>
    <w:bookmarkEnd w:id="61"/>
    <w:bookmarkStart w:id="65" w:name="fig:010"/>
    <w:p>
      <w:pPr>
        <w:pStyle w:val="CaptionedFigure"/>
      </w:pPr>
      <w:r>
        <w:drawing>
          <wp:inline>
            <wp:extent cx="3733800" cy="2464869"/>
            <wp:effectExtent b="0" l="0" r="0" t="0"/>
            <wp:docPr descr="Отчёт по модели первой стратегии обслуживания с 4 пропускными пунктами" title="fig: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 с 4 пропускными пунктами</w:t>
      </w:r>
    </w:p>
    <w:bookmarkEnd w:id="65"/>
    <w:p>
      <w:pPr>
        <w:pStyle w:val="BodyText"/>
      </w:pPr>
      <w:r>
        <w:t xml:space="preserve">В этом случае все критерии выполнены, поэтому 4 пункта являются</w:t>
      </w:r>
      <w:r>
        <w:t xml:space="preserve"> </w:t>
      </w:r>
      <w:r>
        <w:rPr>
          <w:i/>
          <w:iCs/>
        </w:rPr>
        <w:t xml:space="preserve">оптимальным</w:t>
      </w:r>
      <w:r>
        <w:t xml:space="preserve"> </w:t>
      </w:r>
      <w:r>
        <w:t xml:space="preserve">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(рис. [??], [??]).</w:t>
      </w:r>
    </w:p>
    <w:bookmarkStart w:id="69" w:name="fig:011"/>
    <w:p>
      <w:pPr>
        <w:pStyle w:val="CaptionedFigure"/>
      </w:pPr>
      <w:r>
        <w:drawing>
          <wp:inline>
            <wp:extent cx="3733800" cy="2206024"/>
            <wp:effectExtent b="0" l="0" r="0" t="0"/>
            <wp:docPr descr="Модель второй стратегии обслуживания с 3 пропускными пунктами" title="fig: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 с 3 пропускными пунктами</w:t>
      </w:r>
    </w:p>
    <w:bookmarkEnd w:id="69"/>
    <w:bookmarkStart w:id="73" w:name="fig:012"/>
    <w:p>
      <w:pPr>
        <w:pStyle w:val="CaptionedFigure"/>
      </w:pPr>
      <w:r>
        <w:drawing>
          <wp:inline>
            <wp:extent cx="3733800" cy="2901497"/>
            <wp:effectExtent b="0" l="0" r="0" t="0"/>
            <wp:docPr descr="Отчёт по модели второй стратегии обслуживания с 3 пропускными пунктами" title="fig: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второй стратегии обслуживания с 3 пропускными пунктами</w:t>
      </w:r>
    </w:p>
    <w:bookmarkEnd w:id="73"/>
    <w:p>
      <w:pPr>
        <w:pStyle w:val="BodyText"/>
      </w:pPr>
      <w:r>
        <w:t xml:space="preserve">В этом случае все критерии выполняются, поэтому модель</w:t>
      </w:r>
      <w:r>
        <w:t xml:space="preserve"> </w:t>
      </w:r>
      <w:r>
        <w:rPr>
          <w:i/>
          <w:iCs/>
        </w:rPr>
        <w:t xml:space="preserve">оптимальна</w:t>
      </w:r>
      <w:r>
        <w:t xml:space="preserve">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(рис. [??], [??]).</w:t>
      </w:r>
    </w:p>
    <w:bookmarkStart w:id="77" w:name="fig:013"/>
    <w:p>
      <w:pPr>
        <w:pStyle w:val="CaptionedFigure"/>
      </w:pPr>
      <w:r>
        <w:drawing>
          <wp:inline>
            <wp:extent cx="3733800" cy="2066702"/>
            <wp:effectExtent b="0" l="0" r="0" t="0"/>
            <wp:docPr descr="Модель второй стратегии обслуживания с 4 пропускными пунктами" title="fig: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 с 4 пропускными пунктами</w:t>
      </w:r>
    </w:p>
    <w:bookmarkEnd w:id="77"/>
    <w:bookmarkStart w:id="81" w:name="fig:014"/>
    <w:p>
      <w:pPr>
        <w:pStyle w:val="CaptionedFigure"/>
      </w:pPr>
      <w:r>
        <w:drawing>
          <wp:inline>
            <wp:extent cx="3733800" cy="2531861"/>
            <wp:effectExtent b="0" l="0" r="0" t="0"/>
            <wp:docPr descr="Отчёт по модели второй стратегии обслуживания с 4 пропускными пунктами" title="fig: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второй стратегии обслуживания с 4 пропускными пунктами</w:t>
      </w:r>
    </w:p>
    <w:bookmarkEnd w:id="81"/>
    <w:p>
      <w:pPr>
        <w:pStyle w:val="BodyText"/>
      </w:pPr>
      <w:r>
        <w:t xml:space="preserve">Здесь все критерии выполнены при этом время ожидания и среднее число автомобилей меньше, чем в случе второй стратегии с 3 пунктами, однако и загрузка меньше. Можно сделать вывод, что 4 пропускной пункт излишне разгружает систему.</w:t>
      </w:r>
    </w:p>
    <w:p>
      <w:pPr>
        <w:pStyle w:val="BodyText"/>
      </w:pPr>
      <w:r>
        <w:t xml:space="preserve">В результате анализа наилучшим количеством пропускных пунктов будет</w:t>
      </w:r>
      <w:r>
        <w:t xml:space="preserve"> </w:t>
      </w:r>
      <w:r>
        <w:rPr>
          <w:i/>
          <w:iCs/>
        </w:rPr>
        <w:t xml:space="preserve">3 при втором типе обслуживания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4 при первом</w:t>
      </w:r>
      <w:r>
        <w:t xml:space="preserve">.</w:t>
      </w:r>
    </w:p>
    <w:bookmarkEnd w:id="82"/>
    <w:bookmarkEnd w:id="83"/>
    <w:bookmarkStart w:id="8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6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6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6"/>
        </w:numPr>
      </w:pPr>
      <w:r>
        <w:t xml:space="preserve">изменить модели, чтобы определить оптимальное число пропускных пунктов.</w:t>
      </w:r>
    </w:p>
    <w:p>
      <w:pPr>
        <w:pStyle w:val="FirstParagraph"/>
      </w:pPr>
      <w:r>
        <w:t xml:space="preserve">Основная литература:</w:t>
      </w:r>
      <w:r>
        <w:t xml:space="preserve"> </w:t>
      </w:r>
      <w:r>
        <w:t xml:space="preserve">1. Королькова А. В., Кулябов Д. С. Моделирование информационных процессов.</w:t>
      </w:r>
      <w:r>
        <w:t xml:space="preserve"> </w:t>
      </w:r>
      <w:r>
        <w:t xml:space="preserve">(Учебное пособие, из которого взята лабораторная работа.) � Содержит</w:t>
      </w:r>
      <w:r>
        <w:t xml:space="preserve"> </w:t>
      </w:r>
      <w:r>
        <w:t xml:space="preserve">теоретические основы и примеры реализации моделей.</w:t>
      </w:r>
      <w:r>
        <w:t xml:space="preserve"> </w:t>
      </w:r>
      <w:r>
        <w:t xml:space="preserve">2. Клейнрок Л. Теория массового обслуживания. — М.: Машиностроение, 1979.</w:t>
      </w:r>
      <w:r>
        <w:t xml:space="preserve"> </w:t>
      </w:r>
      <w:r>
        <w:t xml:space="preserve">� Классическая работа по теории очередей, включая экспоненциальное и</w:t>
      </w:r>
      <w:r>
        <w:t xml:space="preserve"> </w:t>
      </w:r>
      <w:r>
        <w:t xml:space="preserve">равномерное распределения.</w:t>
      </w:r>
      <w:r>
        <w:t xml:space="preserve"> </w:t>
      </w:r>
      <w:r>
        <w:t xml:space="preserve">3. Саати Т. Элементы теории массового обслуживания и ее приложения. — М.:</w:t>
      </w:r>
      <w:r>
        <w:t xml:space="preserve"> </w:t>
      </w:r>
      <w:r>
        <w:t xml:space="preserve">Советское радио, 1971. � Подробно разбираются стратегии обслуживания</w:t>
      </w:r>
      <w:r>
        <w:t xml:space="preserve"> </w:t>
      </w:r>
      <w:r>
        <w:t xml:space="preserve">(раздельные и общие очереди). В результате выполнения данной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</dc:title>
  <dc:creator>НВЕ МАНГЕ ХОСЕ ХЕРСОН МИКО. НКНбд-01-22</dc:creator>
  <dc:language>ru-RU</dc:language>
  <cp:keywords/>
  <dcterms:created xsi:type="dcterms:W3CDTF">2025-05-23T13:26:51Z</dcterms:created>
  <dcterms:modified xsi:type="dcterms:W3CDTF">2025-05-23T13:26:51Z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Задачи оптимизации. Модель двух стратегий обслуживания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