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постановка-задач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теоретические методы анализа сетей Петри, провести анализ сети (с помощью построения дерева достижимости). Определить, является ли сеть безопасной, ограниченной, сохраняющей, имеются ли</w:t>
      </w:r>
      <w:r>
        <w:t xml:space="preserve"> </w:t>
      </w:r>
      <w:r>
        <w:t xml:space="preserve">тупики.</w:t>
      </w:r>
    </w:p>
    <w:p>
      <w:pPr>
        <w:pStyle w:val="Compact"/>
        <w:numPr>
          <w:ilvl w:val="0"/>
          <w:numId w:val="1001"/>
        </w:numPr>
      </w:pPr>
      <w:r>
        <w:t xml:space="preserve">Промоделировать сеть Петри с помощью CPNTools.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состояний. Сформировать отчёт о пространстве состояний и проанализировать его.Построить граф пространства состояний.</w:t>
      </w:r>
    </w:p>
    <w:bookmarkEnd w:id="20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схема-модел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модели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</w:t>
      </w:r>
      <w:r>
        <w:t xml:space="preserve"> </w:t>
      </w:r>
      <w:r>
        <w:t xml:space="preserve">передается на прибор (центральный процессор, ЦП) для обработки. После этого</w:t>
      </w:r>
      <w:r>
        <w:t xml:space="preserve"> </w:t>
      </w:r>
      <w:r>
        <w:t xml:space="preserve">заявка может равновероятно обратиться к оперативной памяти или к одному из двух</w:t>
      </w:r>
      <w:r>
        <w:t xml:space="preserve"> </w:t>
      </w:r>
      <w:r>
        <w:t xml:space="preserve">внешних запоминающих устройств (B1 и B2). Прежде чем записать информацию на</w:t>
      </w:r>
      <w:r>
        <w:t xml:space="preserve"> </w:t>
      </w:r>
      <w:r>
        <w:t xml:space="preserve">внешний накопитель, необходимо вторично обратиться к центральному процессору,</w:t>
      </w:r>
      <w:r>
        <w:t xml:space="preserve"> </w:t>
      </w:r>
      <w:r>
        <w:t xml:space="preserve">определяющему состояние накопителя и выдающему необходимую управляющую</w:t>
      </w:r>
      <w:r>
        <w:t xml:space="preserve"> </w:t>
      </w:r>
      <w:r>
        <w:t xml:space="preserve">информацию. Накопители (B1 и B2) могут работать в 3-х режимах:</w:t>
      </w:r>
    </w:p>
    <w:p>
      <w:pPr>
        <w:pStyle w:val="Compact"/>
        <w:numPr>
          <w:ilvl w:val="0"/>
          <w:numId w:val="1002"/>
        </w:numPr>
      </w:pPr>
      <w:r>
        <w:t xml:space="preserve">B1 — занят, B2 — свободен;</w:t>
      </w:r>
    </w:p>
    <w:p>
      <w:pPr>
        <w:pStyle w:val="Compact"/>
        <w:numPr>
          <w:ilvl w:val="0"/>
          <w:numId w:val="1002"/>
        </w:numPr>
      </w:pPr>
      <w:r>
        <w:t xml:space="preserve">B2 — свободен, B1 — занят;</w:t>
      </w:r>
    </w:p>
    <w:p>
      <w:pPr>
        <w:pStyle w:val="Compact"/>
        <w:numPr>
          <w:ilvl w:val="0"/>
          <w:numId w:val="1002"/>
        </w:numPr>
      </w:pPr>
      <w:r>
        <w:t xml:space="preserve">B1 — занят, B2 — занят.</w:t>
      </w:r>
    </w:p>
    <w:bookmarkEnd w:id="21"/>
    <w:bookmarkStart w:id="26" w:name="описание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Сеть Петри моделируемой системы представлена на рис. 1.</w:t>
      </w:r>
    </w:p>
    <w:p>
      <w:pPr>
        <w:pStyle w:val="BodyText"/>
      </w:pPr>
      <w:r>
        <w:t xml:space="preserve">Множество позиций:</w:t>
      </w:r>
    </w:p>
    <w:p>
      <w:pPr>
        <w:pStyle w:val="BodyText"/>
      </w:pPr>
      <w:r>
        <w:t xml:space="preserve">P1 — состояние оперативной памяти (свободна / занята);</w:t>
      </w:r>
    </w:p>
    <w:p>
      <w:pPr>
        <w:pStyle w:val="BodyText"/>
      </w:pPr>
      <w:r>
        <w:t xml:space="preserve">P2 — состояние внешнего запоминающего устройства B1 (свободно / занято);</w:t>
      </w:r>
    </w:p>
    <w:p>
      <w:pPr>
        <w:pStyle w:val="BodyText"/>
      </w:pPr>
      <w:r>
        <w:t xml:space="preserve">P3 — состояние внешнего запоминающего устройства B2 (свободно / занято);</w:t>
      </w:r>
    </w:p>
    <w:p>
      <w:pPr>
        <w:pStyle w:val="BodyText"/>
      </w:pPr>
      <w:r>
        <w:t xml:space="preserve">P4 — работа на ОП и B1 закончена;</w:t>
      </w:r>
    </w:p>
    <w:p>
      <w:pPr>
        <w:pStyle w:val="BodyText"/>
      </w:pPr>
      <w:r>
        <w:t xml:space="preserve">P5 — работа на ОП и B2 закончена;</w:t>
      </w:r>
    </w:p>
    <w:p>
      <w:pPr>
        <w:pStyle w:val="BodyText"/>
      </w:pPr>
      <w:r>
        <w:t xml:space="preserve">P6 — работа на ОП, B1 и B2 закончена;</w:t>
      </w:r>
    </w:p>
    <w:p>
      <w:pPr>
        <w:pStyle w:val="BodyText"/>
      </w:pPr>
      <w:r>
        <w:t xml:space="preserve">Множество переходов:</w:t>
      </w:r>
    </w:p>
    <w:p>
      <w:pPr>
        <w:pStyle w:val="BodyText"/>
      </w:pPr>
      <w:r>
        <w:t xml:space="preserve">T1 — ЦП работает только с RAM и B1;</w:t>
      </w:r>
    </w:p>
    <w:p>
      <w:pPr>
        <w:pStyle w:val="BodyText"/>
      </w:pPr>
      <w:r>
        <w:t xml:space="preserve">T2 — обрабатываются данные из RAM и с B1 переходят на устройство вывода;</w:t>
      </w:r>
    </w:p>
    <w:p>
      <w:pPr>
        <w:pStyle w:val="BodyText"/>
      </w:pPr>
      <w:r>
        <w:t xml:space="preserve">T3 — CPU работает только с RAM и B2;</w:t>
      </w:r>
    </w:p>
    <w:p>
      <w:pPr>
        <w:pStyle w:val="BodyText"/>
      </w:pPr>
      <w:r>
        <w:t xml:space="preserve">T4 — обрабатываются данные из RAM и с B2 переходят на устройство вывода;</w:t>
      </w:r>
    </w:p>
    <w:p>
      <w:pPr>
        <w:pStyle w:val="BodyText"/>
      </w:pPr>
      <w:r>
        <w:t xml:space="preserve">T5 — CPU работает только с RAM и с B1, B2;</w:t>
      </w:r>
    </w:p>
    <w:p>
      <w:pPr>
        <w:pStyle w:val="BodyText"/>
      </w:pPr>
      <w:r>
        <w:t xml:space="preserve">T6 — обрабатываются данные из RAM, B1, B2 и переходят на устройство вывода.</w:t>
      </w:r>
    </w:p>
    <w:p>
      <w:pPr>
        <w:pStyle w:val="BodyText"/>
      </w:pPr>
      <w:r>
        <w:t xml:space="preserve">Функционирование сети Петри можно расматривать как срабатывание переходов,</w:t>
      </w:r>
      <w:r>
        <w:t xml:space="preserve"> </w:t>
      </w:r>
      <w:r>
        <w:t xml:space="preserve">в ходе которого происходит перемещение маркеров по позициям: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B1 отображается запуском перехода T1 (удаление маркеров</w:t>
      </w:r>
      <w:r>
        <w:t xml:space="preserve"> </w:t>
      </w:r>
      <w:r>
        <w:t xml:space="preserve">из P1, P2 и появление в P1, P4), что влечет за собой срабатывание перехода T2,</w:t>
      </w:r>
      <w:r>
        <w:t xml:space="preserve"> </w:t>
      </w:r>
      <w:r>
        <w:t xml:space="preserve">т.е. передачу данных с RAM и B1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B2 отображается запуском перехода T3 (удаление маркеров</w:t>
      </w:r>
      <w:r>
        <w:t xml:space="preserve"> </w:t>
      </w:r>
      <w:r>
        <w:t xml:space="preserve">из P1 и P3 и появление в P1 и P5), что влечет за собой срабатывание перехода T4,</w:t>
      </w:r>
      <w:r>
        <w:t xml:space="preserve"> </w:t>
      </w:r>
      <w:r>
        <w:t xml:space="preserve">т.е. передачу данных с RAM и B2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RAM, B1 и B2 отображается запуском перехода T5 (удаление</w:t>
      </w:r>
      <w:r>
        <w:t xml:space="preserve"> </w:t>
      </w:r>
      <w:r>
        <w:t xml:space="preserve">маркеров из P4 и P5 и появление в P6), далее срабатывание перехода T6, и данные</w:t>
      </w:r>
      <w:r>
        <w:t xml:space="preserve"> </w:t>
      </w:r>
      <w:r>
        <w:t xml:space="preserve">из RAM, B1 и B2 передаются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состояние устройств восстанавливается при срабатывании: RAM — переходов</w:t>
      </w:r>
      <w:r>
        <w:t xml:space="preserve"> </w:t>
      </w:r>
      <w:r>
        <w:t xml:space="preserve">T1 или T2; B1 — переходов T2 или T6; B2 — переходов T4 или T6.</w:t>
      </w:r>
    </w:p>
    <w:bookmarkStart w:id="25" w:name="fig:001"/>
    <w:p>
      <w:pPr>
        <w:pStyle w:val="CaptionedFigure"/>
      </w:pPr>
      <w:r>
        <w:drawing>
          <wp:inline>
            <wp:extent cx="3733800" cy="3888994"/>
            <wp:effectExtent b="0" l="0" r="0" t="0"/>
            <wp:docPr descr="Рис. 1: Сеть для выполнения домашнего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Сеть для выполнения домашнего задания</w:t>
      </w:r>
    </w:p>
    <w:bookmarkEnd w:id="25"/>
    <w:bookmarkEnd w:id="26"/>
    <w:bookmarkStart w:id="31" w:name="анализ-сети-петр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сети Петри</w:t>
      </w:r>
    </w:p>
    <w:p>
      <w:pPr>
        <w:pStyle w:val="FirstParagraph"/>
      </w:pPr>
      <w:r>
        <w:t xml:space="preserve">Построим дерево достижимости (рис. 2).</w:t>
      </w:r>
    </w:p>
    <w:bookmarkStart w:id="30" w:name="fig:002"/>
    <w:p>
      <w:pPr>
        <w:pStyle w:val="CaptionedFigure"/>
      </w:pPr>
      <w:r>
        <w:drawing>
          <wp:inline>
            <wp:extent cx="3733800" cy="3517347"/>
            <wp:effectExtent b="0" l="0" r="0" t="0"/>
            <wp:docPr descr="Рис. 2: Дерево достижимост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Дерево достижимости</w:t>
      </w:r>
    </w:p>
    <w:bookmarkEnd w:id="30"/>
    <w:p>
      <w:pPr>
        <w:pStyle w:val="BodyText"/>
      </w:pPr>
      <w:r>
        <w:t xml:space="preserve">Можем увидеть, что представленная сеть:</w:t>
      </w:r>
    </w:p>
    <w:p>
      <w:pPr>
        <w:pStyle w:val="Compact"/>
        <w:numPr>
          <w:ilvl w:val="0"/>
          <w:numId w:val="1004"/>
        </w:numPr>
      </w:pPr>
      <w:r>
        <w:t xml:space="preserve">безопасна, поскольку в каждой</w:t>
      </w:r>
      <w:r>
        <w:t xml:space="preserve"> </w:t>
      </w:r>
      <w:r>
        <w:t xml:space="preserve">позиции количество фишек не превышает 1;</w:t>
      </w:r>
    </w:p>
    <w:p>
      <w:pPr>
        <w:pStyle w:val="Compact"/>
        <w:numPr>
          <w:ilvl w:val="0"/>
          <w:numId w:val="1004"/>
        </w:numPr>
      </w:pPr>
      <w:r>
        <w:t xml:space="preserve">ограничена, так как существует такое целое k, что число</w:t>
      </w:r>
      <w:r>
        <w:t xml:space="preserve"> </w:t>
      </w:r>
      <w:r>
        <w:t xml:space="preserve">фишек в каждой позиции не может превысить k (в данном случае k=1);</w:t>
      </w:r>
    </w:p>
    <w:p>
      <w:pPr>
        <w:pStyle w:val="Compact"/>
        <w:numPr>
          <w:ilvl w:val="0"/>
          <w:numId w:val="1004"/>
        </w:numPr>
      </w:pPr>
      <w:r>
        <w:t xml:space="preserve">сеть не имеет тупиков;</w:t>
      </w:r>
    </w:p>
    <w:p>
      <w:pPr>
        <w:pStyle w:val="Compact"/>
        <w:numPr>
          <w:ilvl w:val="0"/>
          <w:numId w:val="1004"/>
        </w:numPr>
      </w:pPr>
      <w:r>
        <w:t xml:space="preserve">сеть не является сохраняющей, так как при переходах t5 и t6 количество фишек меняется.</w:t>
      </w:r>
    </w:p>
    <w:bookmarkEnd w:id="31"/>
    <w:bookmarkStart w:id="44" w:name="реализация-модели-в-cpn-tool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модели в CPN Tools</w:t>
      </w:r>
    </w:p>
    <w:p>
      <w:pPr>
        <w:pStyle w:val="FirstParagraph"/>
      </w:pPr>
      <w:r>
        <w:t xml:space="preserve">Реализуем описанную ранее модель в CPN Tools. С помощью контекстного меню создаем новую сеть, далее нам понадобятся 6 позиций и 6 блоков переходов, затем их нужно соединить, а также задать параметры и начальные значения. Получаем готовую модель (рис. 3).</w:t>
      </w:r>
    </w:p>
    <w:bookmarkStart w:id="35" w:name="fig:003"/>
    <w:p>
      <w:pPr>
        <w:pStyle w:val="CaptionedFigure"/>
      </w:pPr>
      <w:r>
        <w:drawing>
          <wp:inline>
            <wp:extent cx="3733800" cy="2597426"/>
            <wp:effectExtent b="0" l="0" r="0" t="0"/>
            <wp:docPr descr="Рис. 3: Модель задачи в CPN Tools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задачи в CPN Tools</w:t>
      </w:r>
    </w:p>
    <w:bookmarkEnd w:id="35"/>
    <w:p>
      <w:pPr>
        <w:pStyle w:val="BodyText"/>
      </w:pPr>
      <w:r>
        <w:t xml:space="preserve">Также зададим нужные декларации (рис. 4).</w:t>
      </w:r>
    </w:p>
    <w:bookmarkStart w:id="39" w:name="fig:004"/>
    <w:p>
      <w:pPr>
        <w:pStyle w:val="CaptionedFigure"/>
      </w:pPr>
      <w:r>
        <w:drawing>
          <wp:inline>
            <wp:extent cx="2005532" cy="1544490"/>
            <wp:effectExtent b="0" l="0" r="0" t="0"/>
            <wp:docPr descr="Рис. 4: Задание деклараций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532" cy="15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деклараций</w:t>
      </w:r>
    </w:p>
    <w:bookmarkEnd w:id="39"/>
    <w:p>
      <w:pPr>
        <w:pStyle w:val="BodyText"/>
      </w:pPr>
      <w:r>
        <w:t xml:space="preserve">Запустив модель, можно посмотреть, как она работает (рис. 5).</w:t>
      </w:r>
    </w:p>
    <w:bookmarkStart w:id="43" w:name="fig:005"/>
    <w:p>
      <w:pPr>
        <w:pStyle w:val="CaptionedFigure"/>
      </w:pPr>
      <w:r>
        <w:drawing>
          <wp:inline>
            <wp:extent cx="3733800" cy="2477012"/>
            <wp:effectExtent b="0" l="0" r="0" t="0"/>
            <wp:docPr descr="Рис. 5: Запуск модел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модели</w:t>
      </w:r>
    </w:p>
    <w:bookmarkEnd w:id="43"/>
    <w:bookmarkEnd w:id="44"/>
    <w:bookmarkStart w:id="49" w:name="пространство-состояний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Пространство состояний</w:t>
      </w:r>
    </w:p>
    <w:p>
      <w:pPr>
        <w:pStyle w:val="FirstParagraph"/>
      </w:pPr>
      <w:r>
        <w:t xml:space="preserve">Изучим пространство состояний. Сформируем граф пространства состояний, их всего 5 (6).</w:t>
      </w:r>
    </w:p>
    <w:bookmarkStart w:id="48" w:name="fig:006"/>
    <w:p>
      <w:pPr>
        <w:pStyle w:val="CaptionedFigure"/>
      </w:pPr>
      <w:r>
        <w:drawing>
          <wp:inline>
            <wp:extent cx="3733800" cy="2362477"/>
            <wp:effectExtent b="0" l="0" r="0" t="0"/>
            <wp:docPr descr="Рис. 6: Граф пространства состояни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 пространства состояний</w:t>
      </w:r>
    </w:p>
    <w:bookmarkEnd w:id="48"/>
    <w:p>
      <w:pPr>
        <w:pStyle w:val="BodyText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отчета можно увидеть:</w:t>
      </w:r>
    </w:p>
    <w:p>
      <w:pPr>
        <w:pStyle w:val="Compact"/>
        <w:numPr>
          <w:ilvl w:val="0"/>
          <w:numId w:val="1005"/>
        </w:numPr>
      </w:pPr>
      <w:r>
        <w:t xml:space="preserve">есть 5 состояний и 10 переходов между ними, strongly connected components (SCC) graph содержит 1 вершину и 0 переходов.</w:t>
      </w:r>
    </w:p>
    <w:p>
      <w:pPr>
        <w:pStyle w:val="Compact"/>
        <w:numPr>
          <w:ilvl w:val="0"/>
          <w:numId w:val="1005"/>
        </w:numPr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pStyle w:val="Compact"/>
        <w:numPr>
          <w:ilvl w:val="0"/>
          <w:numId w:val="1005"/>
        </w:numPr>
      </w:pPr>
      <w:r>
        <w:t xml:space="preserve">Также указаны границы в виде мультимножеств.</w:t>
      </w:r>
    </w:p>
    <w:p>
      <w:pPr>
        <w:pStyle w:val="Compact"/>
        <w:numPr>
          <w:ilvl w:val="0"/>
          <w:numId w:val="1005"/>
        </w:numPr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pStyle w:val="Compact"/>
        <w:numPr>
          <w:ilvl w:val="0"/>
          <w:numId w:val="1005"/>
        </w:numPr>
      </w:pPr>
      <w:r>
        <w:t xml:space="preserve">Маркировка dead равная None, так как нет состояний, из которых переходов быть не может.</w:t>
      </w:r>
    </w:p>
    <w:p>
      <w:pPr>
        <w:pStyle w:val="Compact"/>
        <w:numPr>
          <w:ilvl w:val="0"/>
          <w:numId w:val="1005"/>
        </w:numPr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/home/openmodelica/petri_net.cpn</w:t>
      </w:r>
      <w:r>
        <w:br/>
      </w:r>
      <w:r>
        <w:rPr>
          <w:rStyle w:val="VerbatimChar"/>
        </w:rPr>
        <w:t xml:space="preserve">Report generated: Sat Jun  1 00:38:28 2024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petri'P1 1              1          1</w:t>
      </w:r>
      <w:r>
        <w:br/>
      </w:r>
      <w:r>
        <w:rPr>
          <w:rStyle w:val="VerbatimChar"/>
        </w:rPr>
        <w:t xml:space="preserve">     petri'P2 1              1          0</w:t>
      </w:r>
      <w:r>
        <w:br/>
      </w:r>
      <w:r>
        <w:rPr>
          <w:rStyle w:val="VerbatimChar"/>
        </w:rPr>
        <w:t xml:space="preserve">     petri'P3 1              1          0</w:t>
      </w:r>
      <w:r>
        <w:br/>
      </w:r>
      <w:r>
        <w:rPr>
          <w:rStyle w:val="VerbatimChar"/>
        </w:rPr>
        <w:t xml:space="preserve">     petri'P4 1              1          0</w:t>
      </w:r>
      <w:r>
        <w:br/>
      </w:r>
      <w:r>
        <w:rPr>
          <w:rStyle w:val="VerbatimChar"/>
        </w:rPr>
        <w:t xml:space="preserve">     petri'P5 1              1          0</w:t>
      </w:r>
      <w:r>
        <w:br/>
      </w:r>
      <w:r>
        <w:rPr>
          <w:rStyle w:val="VerbatimChar"/>
        </w:rPr>
        <w:t xml:space="preserve">     petri'P6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1`storage1</w:t>
      </w:r>
      <w:r>
        <w:br/>
      </w:r>
      <w:r>
        <w:rPr>
          <w:rStyle w:val="VerbatimChar"/>
        </w:rPr>
        <w:t xml:space="preserve">     petri'P3 1          1`storage2</w:t>
      </w:r>
      <w:r>
        <w:br/>
      </w:r>
      <w:r>
        <w:rPr>
          <w:rStyle w:val="VerbatimChar"/>
        </w:rPr>
        <w:t xml:space="preserve">     petri'P4 1          1`storage1</w:t>
      </w:r>
      <w:r>
        <w:br/>
      </w:r>
      <w:r>
        <w:rPr>
          <w:rStyle w:val="VerbatimChar"/>
        </w:rPr>
        <w:t xml:space="preserve">     petri'P5 1          1`storage2</w:t>
      </w:r>
      <w:r>
        <w:br/>
      </w:r>
      <w:r>
        <w:rPr>
          <w:rStyle w:val="VerbatimChar"/>
        </w:rPr>
        <w:t xml:space="preserve">     petri'P6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empty</w:t>
      </w:r>
      <w:r>
        <w:br/>
      </w:r>
      <w:r>
        <w:rPr>
          <w:rStyle w:val="VerbatimChar"/>
        </w:rPr>
        <w:t xml:space="preserve">     petri'P3 1          empty</w:t>
      </w:r>
      <w:r>
        <w:br/>
      </w:r>
      <w:r>
        <w:rPr>
          <w:rStyle w:val="VerbatimChar"/>
        </w:rPr>
        <w:t xml:space="preserve">     petri'P4 1          empty</w:t>
      </w:r>
      <w:r>
        <w:br/>
      </w:r>
      <w:r>
        <w:rPr>
          <w:rStyle w:val="VerbatimChar"/>
        </w:rPr>
        <w:t xml:space="preserve">     petri'P5 1          empty</w:t>
      </w:r>
      <w:r>
        <w:br/>
      </w:r>
      <w:r>
        <w:rPr>
          <w:rStyle w:val="VerbatimChar"/>
        </w:rPr>
        <w:t xml:space="preserve">     petri'P6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petri'T1 1             No Fairness</w:t>
      </w:r>
      <w:r>
        <w:br/>
      </w:r>
      <w:r>
        <w:rPr>
          <w:rStyle w:val="VerbatimChar"/>
        </w:rPr>
        <w:t xml:space="preserve">       petri'T2 1             No Fairness</w:t>
      </w:r>
      <w:r>
        <w:br/>
      </w:r>
      <w:r>
        <w:rPr>
          <w:rStyle w:val="VerbatimChar"/>
        </w:rPr>
        <w:t xml:space="preserve">       petri'T3 1             No Fairness</w:t>
      </w:r>
      <w:r>
        <w:br/>
      </w:r>
      <w:r>
        <w:rPr>
          <w:rStyle w:val="VerbatimChar"/>
        </w:rPr>
        <w:t xml:space="preserve">       petri'T4 1             No Fairness</w:t>
      </w:r>
      <w:r>
        <w:br/>
      </w:r>
      <w:r>
        <w:rPr>
          <w:rStyle w:val="VerbatimChar"/>
        </w:rPr>
        <w:t xml:space="preserve">       petri'T5 1             Just</w:t>
      </w:r>
      <w:r>
        <w:br/>
      </w:r>
      <w:r>
        <w:rPr>
          <w:rStyle w:val="VerbatimChar"/>
        </w:rPr>
        <w:t xml:space="preserve">       petri'T6 1             Fair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выполнила задание для самостоятельного выполнения, а именно провела анализ сети Петри, построила сеть в CPN Tools, построила граф состояний и провела его анализ.</w:t>
      </w:r>
    </w:p>
    <w:bookmarkEnd w:id="51"/>
    <w:bookmarkStart w:id="52" w:name="литератур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Литература:</w:t>
      </w:r>
    </w:p>
    <w:p>
      <w:pPr>
        <w:pStyle w:val="SourceCode"/>
      </w:pPr>
      <w:r>
        <w:rPr>
          <w:rStyle w:val="VerbatimChar"/>
        </w:rPr>
        <w:t xml:space="preserve">Королькова, А. В. Моделирование информационных процессов / А. В. Королькова, Д. С. </w:t>
      </w:r>
      <w:r>
        <w:br/>
      </w:r>
      <w:r>
        <w:rPr>
          <w:rStyle w:val="VerbatimChar"/>
        </w:rPr>
        <w:t xml:space="preserve">Кулябов. — Москва : Издательство РУДН, 2020.  </w:t>
      </w:r>
      <w:r>
        <w:br/>
      </w:r>
      <w:r>
        <w:br/>
      </w:r>
      <w:r>
        <w:br/>
      </w:r>
      <w:r>
        <w:rPr>
          <w:rStyle w:val="VerbatimChar"/>
        </w:rPr>
        <w:t xml:space="preserve">Petri, C. A. Kommunikation mit Automaten / C. A. Petri. — Bonn : Institut für </w:t>
      </w:r>
      <w:r>
        <w:br/>
      </w:r>
      <w:r>
        <w:rPr>
          <w:rStyle w:val="VerbatimChar"/>
        </w:rPr>
        <w:t xml:space="preserve">nstrumentelle Mathematik, 1962.  </w:t>
      </w:r>
      <w:r>
        <w:br/>
      </w:r>
      <w:r>
        <w:br/>
      </w:r>
      <w:r>
        <w:br/>
      </w:r>
      <w:r>
        <w:rPr>
          <w:rStyle w:val="VerbatimChar"/>
        </w:rPr>
        <w:t xml:space="preserve">CPNTools Manual / K. Jensen, L. M. Kristensen. — Department of Computer Science, </w:t>
      </w:r>
      <w:r>
        <w:br/>
      </w:r>
      <w:r>
        <w:rPr>
          <w:rStyle w:val="VerbatimChar"/>
        </w:rPr>
        <w:t xml:space="preserve">Aarhus University, 2021. </w:t>
      </w:r>
      <w:r>
        <w:br/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Reisig, W. Place/Transition Petri Nets / W. Reisig // Lectures on Petri Nets I: </w:t>
      </w:r>
      <w:r>
        <w:br/>
      </w:r>
      <w:r>
        <w:rPr>
          <w:rStyle w:val="VerbatimChar"/>
        </w:rPr>
        <w:t xml:space="preserve">Basic Models. — Springer, 2013. — Vol. 1491. — P. 147–178.  </w:t>
      </w:r>
      <w:r>
        <w:br/>
      </w:r>
      <w:r>
        <w:br/>
      </w:r>
      <w:r>
        <w:br/>
      </w:r>
      <w:r>
        <w:rPr>
          <w:rStyle w:val="VerbatimChar"/>
        </w:rPr>
        <w:t xml:space="preserve">Murata, T. Petri nets: Properties, analysis and applications / T. Murata // </w:t>
      </w:r>
      <w:r>
        <w:br/>
      </w:r>
      <w:r>
        <w:rPr>
          <w:rStyle w:val="VerbatimChar"/>
        </w:rPr>
        <w:t xml:space="preserve">Proceedings of the IEEE. — 1989. — Vol. 77, no. 4. — P. 541–580.</w:t>
      </w:r>
      <w:r>
        <w:br/>
      </w:r>
      <w:r>
        <w:rPr>
          <w:rStyle w:val="VerbatimChar"/>
        </w:rPr>
        <w:t xml:space="preserve"> 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НВЕ МАНГЕ ХОСЕ ХЕРСОН МИКО. НКНбд-01-22</dc:creator>
  <dc:language>ru-RU</dc:language>
  <cp:keywords/>
  <dcterms:created xsi:type="dcterms:W3CDTF">2025-05-03T11:32:05Z</dcterms:created>
  <dcterms:modified xsi:type="dcterms:W3CDTF">2025-05-03T11:32:05Z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Задание для самостоятельного выполнения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