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62" w:rsidRPr="004B0262" w:rsidRDefault="004B0262" w:rsidP="004B0262">
      <w:pPr>
        <w:jc w:val="center"/>
        <w:rPr>
          <w:b/>
          <w:sz w:val="28"/>
          <w:szCs w:val="28"/>
        </w:rPr>
      </w:pPr>
      <w:r w:rsidRPr="004B0262">
        <w:rPr>
          <w:b/>
          <w:sz w:val="28"/>
          <w:szCs w:val="28"/>
        </w:rPr>
        <w:t>Data History—Scot’s Data</w:t>
      </w:r>
    </w:p>
    <w:p w:rsidR="00E4092C" w:rsidRDefault="00E4092C" w:rsidP="00E555AE">
      <w:pPr>
        <w:jc w:val="center"/>
        <w:rPr>
          <w:b/>
          <w:i/>
        </w:rPr>
      </w:pPr>
      <w:r w:rsidRPr="00E555AE">
        <w:rPr>
          <w:b/>
          <w:i/>
        </w:rPr>
        <w:t xml:space="preserve">Lixi Kong   updated </w:t>
      </w:r>
      <w:r w:rsidR="00A10948">
        <w:rPr>
          <w:b/>
          <w:i/>
        </w:rPr>
        <w:t>10/01</w:t>
      </w:r>
      <w:r w:rsidRPr="00E555AE">
        <w:rPr>
          <w:b/>
          <w:i/>
        </w:rPr>
        <w:t>/2013</w:t>
      </w:r>
    </w:p>
    <w:p w:rsidR="00BF33F9" w:rsidRDefault="000A04BF" w:rsidP="00B86E4E">
      <w:pPr>
        <w:rPr>
          <w:i/>
          <w:sz w:val="24"/>
          <w:szCs w:val="24"/>
        </w:rPr>
      </w:pPr>
      <w:r>
        <w:rPr>
          <w:i/>
          <w:sz w:val="24"/>
          <w:szCs w:val="24"/>
        </w:rPr>
        <w:t xml:space="preserve">Complete census was made at </w:t>
      </w:r>
      <w:r>
        <w:rPr>
          <w:sz w:val="24"/>
          <w:szCs w:val="24"/>
        </w:rPr>
        <w:t>0th</w:t>
      </w:r>
      <w:r w:rsidR="00BF33F9" w:rsidRPr="00354E97">
        <w:rPr>
          <w:sz w:val="24"/>
          <w:szCs w:val="24"/>
        </w:rPr>
        <w:t>, 3rd, 6th, 9th, 12th, 18th, and 24</w:t>
      </w:r>
      <w:r w:rsidR="00BF33F9" w:rsidRPr="00354E97">
        <w:rPr>
          <w:sz w:val="24"/>
          <w:szCs w:val="24"/>
          <w:vertAlign w:val="superscript"/>
        </w:rPr>
        <w:t>th</w:t>
      </w:r>
      <w:r w:rsidR="00BF33F9" w:rsidRPr="00354E97">
        <w:rPr>
          <w:sz w:val="24"/>
          <w:szCs w:val="24"/>
        </w:rPr>
        <w:t xml:space="preserve"> year</w:t>
      </w:r>
      <w:r w:rsidR="00BF33F9" w:rsidRPr="00354E97">
        <w:rPr>
          <w:i/>
          <w:sz w:val="24"/>
          <w:szCs w:val="24"/>
        </w:rPr>
        <w:t>.</w:t>
      </w:r>
      <w:r>
        <w:rPr>
          <w:i/>
          <w:sz w:val="24"/>
          <w:szCs w:val="24"/>
        </w:rPr>
        <w:t xml:space="preserve"> Different plots have different starting year, so </w:t>
      </w:r>
      <w:r w:rsidR="00BF33F9" w:rsidRPr="00354E97">
        <w:rPr>
          <w:i/>
          <w:sz w:val="24"/>
          <w:szCs w:val="24"/>
        </w:rPr>
        <w:t>0</w:t>
      </w:r>
      <w:r w:rsidRPr="000A04BF">
        <w:rPr>
          <w:i/>
          <w:sz w:val="24"/>
          <w:szCs w:val="24"/>
          <w:vertAlign w:val="superscript"/>
        </w:rPr>
        <w:t>th</w:t>
      </w:r>
      <w:r>
        <w:rPr>
          <w:i/>
          <w:sz w:val="24"/>
          <w:szCs w:val="24"/>
        </w:rPr>
        <w:t>, 3</w:t>
      </w:r>
      <w:r w:rsidRPr="000A04BF">
        <w:rPr>
          <w:i/>
          <w:sz w:val="24"/>
          <w:szCs w:val="24"/>
          <w:vertAlign w:val="superscript"/>
        </w:rPr>
        <w:t>rd</w:t>
      </w:r>
      <w:r>
        <w:rPr>
          <w:i/>
          <w:sz w:val="24"/>
          <w:szCs w:val="24"/>
        </w:rPr>
        <w:t>, 6</w:t>
      </w:r>
      <w:r w:rsidRPr="000A04BF">
        <w:rPr>
          <w:i/>
          <w:sz w:val="24"/>
          <w:szCs w:val="24"/>
          <w:vertAlign w:val="superscript"/>
        </w:rPr>
        <w:t>th</w:t>
      </w:r>
      <w:r>
        <w:rPr>
          <w:i/>
          <w:sz w:val="24"/>
          <w:szCs w:val="24"/>
        </w:rPr>
        <w:t>, 9</w:t>
      </w:r>
      <w:r w:rsidRPr="000A04BF">
        <w:rPr>
          <w:i/>
          <w:sz w:val="24"/>
          <w:szCs w:val="24"/>
          <w:vertAlign w:val="superscript"/>
        </w:rPr>
        <w:t>th</w:t>
      </w:r>
      <w:r>
        <w:rPr>
          <w:i/>
          <w:sz w:val="24"/>
          <w:szCs w:val="24"/>
        </w:rPr>
        <w:t>, 12</w:t>
      </w:r>
      <w:r w:rsidRPr="000A04BF">
        <w:rPr>
          <w:i/>
          <w:sz w:val="24"/>
          <w:szCs w:val="24"/>
          <w:vertAlign w:val="superscript"/>
        </w:rPr>
        <w:t>th</w:t>
      </w:r>
      <w:r>
        <w:rPr>
          <w:i/>
          <w:sz w:val="24"/>
          <w:szCs w:val="24"/>
        </w:rPr>
        <w:t>, 18</w:t>
      </w:r>
      <w:r w:rsidRPr="000A04BF">
        <w:rPr>
          <w:i/>
          <w:sz w:val="24"/>
          <w:szCs w:val="24"/>
          <w:vertAlign w:val="superscript"/>
        </w:rPr>
        <w:t>th</w:t>
      </w:r>
      <w:r>
        <w:rPr>
          <w:i/>
          <w:sz w:val="24"/>
          <w:szCs w:val="24"/>
        </w:rPr>
        <w:t>, 24</w:t>
      </w:r>
      <w:r w:rsidRPr="000A04BF">
        <w:rPr>
          <w:i/>
          <w:sz w:val="24"/>
          <w:szCs w:val="24"/>
          <w:vertAlign w:val="superscript"/>
        </w:rPr>
        <w:t>th</w:t>
      </w:r>
      <w:r w:rsidR="00BF33F9" w:rsidRPr="00354E97">
        <w:rPr>
          <w:i/>
          <w:sz w:val="24"/>
          <w:szCs w:val="24"/>
        </w:rPr>
        <w:t xml:space="preserve"> year could be different Calendar year</w:t>
      </w:r>
      <w:r>
        <w:rPr>
          <w:i/>
          <w:sz w:val="24"/>
          <w:szCs w:val="24"/>
        </w:rPr>
        <w:t>s</w:t>
      </w:r>
      <w:r w:rsidR="00BA0C82">
        <w:rPr>
          <w:i/>
          <w:sz w:val="24"/>
          <w:szCs w:val="24"/>
        </w:rPr>
        <w:t xml:space="preserve"> for different plots</w:t>
      </w:r>
      <w:r w:rsidR="00BF33F9" w:rsidRPr="00354E97">
        <w:rPr>
          <w:i/>
          <w:sz w:val="24"/>
          <w:szCs w:val="24"/>
        </w:rPr>
        <w:t xml:space="preserve">. And the difference could be as many as about 4 years. </w:t>
      </w:r>
      <w:r w:rsidR="00E555AE" w:rsidRPr="00354E97">
        <w:rPr>
          <w:i/>
          <w:sz w:val="24"/>
          <w:szCs w:val="24"/>
        </w:rPr>
        <w:t>DBH and Status were collected in each census year. On a sub‐sample of trees, height and height to ba</w:t>
      </w:r>
      <w:r w:rsidR="00B86E4E" w:rsidRPr="00354E97">
        <w:rPr>
          <w:i/>
          <w:sz w:val="24"/>
          <w:szCs w:val="24"/>
        </w:rPr>
        <w:t>se of live crown were measured</w:t>
      </w:r>
      <w:r w:rsidR="00354E97">
        <w:rPr>
          <w:i/>
          <w:sz w:val="24"/>
          <w:szCs w:val="24"/>
        </w:rPr>
        <w:t>.</w:t>
      </w:r>
    </w:p>
    <w:p w:rsidR="00BD4824" w:rsidRDefault="00BD4824" w:rsidP="00BD4824">
      <w:pPr>
        <w:rPr>
          <w:b/>
          <w:i/>
        </w:rPr>
      </w:pPr>
      <w:r>
        <w:rPr>
          <w:b/>
          <w:i/>
        </w:rPr>
        <w:t xml:space="preserve">All data sets got from Scot are in: </w:t>
      </w:r>
      <w:r w:rsidRPr="005C2C3A">
        <w:rPr>
          <w:b/>
          <w:i/>
        </w:rPr>
        <w:t xml:space="preserve">R:\MOOSHUBB\longterm\lixi </w:t>
      </w:r>
      <w:proofErr w:type="spellStart"/>
      <w:r w:rsidRPr="005C2C3A">
        <w:rPr>
          <w:b/>
          <w:i/>
        </w:rPr>
        <w:t>kong</w:t>
      </w:r>
      <w:proofErr w:type="spellEnd"/>
      <w:r w:rsidRPr="005C2C3A">
        <w:rPr>
          <w:b/>
          <w:i/>
        </w:rPr>
        <w:t>\Hazard\</w:t>
      </w:r>
      <w:proofErr w:type="spellStart"/>
      <w:r w:rsidRPr="005C2C3A">
        <w:rPr>
          <w:b/>
          <w:i/>
        </w:rPr>
        <w:t>usrdata</w:t>
      </w:r>
      <w:proofErr w:type="spellEnd"/>
      <w:r w:rsidRPr="005C2C3A">
        <w:rPr>
          <w:b/>
          <w:i/>
        </w:rPr>
        <w:t xml:space="preserve"> from Scot</w:t>
      </w:r>
    </w:p>
    <w:p w:rsidR="00BD4824" w:rsidRPr="00BD4824" w:rsidRDefault="00BD4824" w:rsidP="00BD4824">
      <w:pPr>
        <w:rPr>
          <w:b/>
          <w:i/>
        </w:rPr>
      </w:pPr>
      <w:r w:rsidRPr="00BD4824">
        <w:rPr>
          <w:b/>
          <w:i/>
        </w:rPr>
        <w:t xml:space="preserve">All SAS programs got from Scot are in: R:\MOOSHUBB\longterm\lixi </w:t>
      </w:r>
      <w:proofErr w:type="spellStart"/>
      <w:r w:rsidRPr="00BD4824">
        <w:rPr>
          <w:b/>
          <w:i/>
        </w:rPr>
        <w:t>kong</w:t>
      </w:r>
      <w:proofErr w:type="spellEnd"/>
      <w:r w:rsidRPr="00BD4824">
        <w:rPr>
          <w:b/>
          <w:i/>
        </w:rPr>
        <w:t>\Hazard\code from Scot</w:t>
      </w:r>
    </w:p>
    <w:p w:rsidR="00BD4824" w:rsidRDefault="00BD4824" w:rsidP="00BF33F9">
      <w:pPr>
        <w:pStyle w:val="Heading1"/>
        <w:numPr>
          <w:ilvl w:val="0"/>
          <w:numId w:val="2"/>
        </w:numPr>
        <w:rPr>
          <w:color w:val="auto"/>
          <w:sz w:val="26"/>
          <w:szCs w:val="26"/>
        </w:rPr>
      </w:pPr>
      <w:r>
        <w:rPr>
          <w:color w:val="auto"/>
          <w:sz w:val="26"/>
          <w:szCs w:val="26"/>
        </w:rPr>
        <w:t>SAS program summary</w:t>
      </w:r>
    </w:p>
    <w:p w:rsidR="00BD4824" w:rsidRPr="00BD4824" w:rsidRDefault="00BD4824" w:rsidP="00BD4824">
      <w:r>
        <w:t xml:space="preserve">Scot gave Lixi a bunch of code in 2010. Scot indicated some important ones, and Lixi copied the code (including </w:t>
      </w:r>
      <w:proofErr w:type="spellStart"/>
      <w:proofErr w:type="gramStart"/>
      <w:r>
        <w:t>inc</w:t>
      </w:r>
      <w:proofErr w:type="spellEnd"/>
      <w:proofErr w:type="gramEnd"/>
      <w:r>
        <w:t xml:space="preserve"> files included) into one word documents for convenience: </w:t>
      </w:r>
      <w:r w:rsidRPr="00BD4824">
        <w:rPr>
          <w:b/>
          <w:i/>
        </w:rPr>
        <w:t>SAS code.doc</w:t>
      </w:r>
      <w:r>
        <w:rPr>
          <w:b/>
          <w:i/>
        </w:rPr>
        <w:t xml:space="preserve">. </w:t>
      </w:r>
      <w:r>
        <w:t xml:space="preserve">It includes contents from these files: </w:t>
      </w:r>
      <w:r w:rsidRPr="00BD4824">
        <w:rPr>
          <w:b/>
          <w:i/>
        </w:rPr>
        <w:t xml:space="preserve">presci1.inc, prethina.inc, mkgrep.inc, prethinb.inc, mkpltaggg2.inc, mkperehaz1.inc, </w:t>
      </w:r>
      <w:proofErr w:type="spellStart"/>
      <w:r w:rsidRPr="00BD4824">
        <w:rPr>
          <w:b/>
          <w:i/>
        </w:rPr>
        <w:t>mkhazm</w:t>
      </w:r>
      <w:proofErr w:type="spellEnd"/>
      <w:r w:rsidRPr="00BD4824">
        <w:rPr>
          <w:b/>
          <w:i/>
        </w:rPr>
        <w:t>*.</w:t>
      </w:r>
      <w:proofErr w:type="spellStart"/>
      <w:r w:rsidRPr="00BD4824">
        <w:rPr>
          <w:b/>
          <w:i/>
        </w:rPr>
        <w:t>inc.</w:t>
      </w:r>
      <w:proofErr w:type="spellEnd"/>
    </w:p>
    <w:p w:rsidR="00BD4824" w:rsidRDefault="00BD4824" w:rsidP="00BD4824">
      <w:r>
        <w:t xml:space="preserve">SAS program estimates bole volume: </w:t>
      </w:r>
      <w:r w:rsidRPr="00BD4824">
        <w:rPr>
          <w:b/>
          <w:i/>
        </w:rPr>
        <w:t>treebvol.doc</w:t>
      </w:r>
      <w:r>
        <w:t xml:space="preserve"> (Scot discovered and sent to Lixi in 2013)</w:t>
      </w:r>
    </w:p>
    <w:p w:rsidR="00BD4824" w:rsidRPr="00BD4824" w:rsidRDefault="00BD4824" w:rsidP="00BD4824">
      <w:r>
        <w:t xml:space="preserve">SAS program fits self-thinning line: </w:t>
      </w:r>
      <w:r w:rsidRPr="00BD4824">
        <w:rPr>
          <w:b/>
          <w:i/>
        </w:rPr>
        <w:t>mkhthin.inc/mkhthin.doc</w:t>
      </w:r>
      <w:r>
        <w:t xml:space="preserve"> (Scot discovered and sent to Lixi in 2013)</w:t>
      </w:r>
    </w:p>
    <w:p w:rsidR="00DE455B" w:rsidRPr="00BF33F9" w:rsidRDefault="00BF33F9" w:rsidP="00BF33F9">
      <w:pPr>
        <w:pStyle w:val="Heading1"/>
        <w:numPr>
          <w:ilvl w:val="0"/>
          <w:numId w:val="2"/>
        </w:numPr>
        <w:rPr>
          <w:color w:val="auto"/>
          <w:sz w:val="26"/>
          <w:szCs w:val="26"/>
        </w:rPr>
      </w:pPr>
      <w:r w:rsidRPr="00BF33F9">
        <w:rPr>
          <w:color w:val="auto"/>
          <w:sz w:val="26"/>
          <w:szCs w:val="26"/>
        </w:rPr>
        <w:t>Data for</w:t>
      </w:r>
      <w:r w:rsidR="00840B5B">
        <w:rPr>
          <w:color w:val="auto"/>
          <w:sz w:val="26"/>
          <w:szCs w:val="26"/>
        </w:rPr>
        <w:t xml:space="preserve"> all</w:t>
      </w:r>
      <w:r w:rsidRPr="00BF33F9">
        <w:rPr>
          <w:color w:val="auto"/>
          <w:sz w:val="26"/>
          <w:szCs w:val="26"/>
        </w:rPr>
        <w:t xml:space="preserve"> trees in all plot</w:t>
      </w:r>
      <w:r>
        <w:rPr>
          <w:color w:val="auto"/>
          <w:sz w:val="26"/>
          <w:szCs w:val="26"/>
        </w:rPr>
        <w:t>s</w:t>
      </w:r>
    </w:p>
    <w:p w:rsidR="00042E16" w:rsidRPr="007655A4" w:rsidRDefault="00042E16" w:rsidP="00042E16">
      <w:pPr>
        <w:rPr>
          <w:b/>
          <w:i/>
          <w:sz w:val="26"/>
          <w:szCs w:val="26"/>
        </w:rPr>
      </w:pPr>
      <w:proofErr w:type="spellStart"/>
      <w:r w:rsidRPr="007655A4">
        <w:rPr>
          <w:b/>
          <w:i/>
          <w:sz w:val="26"/>
          <w:szCs w:val="26"/>
        </w:rPr>
        <w:t>Tree.ssd</w:t>
      </w:r>
      <w:proofErr w:type="spellEnd"/>
    </w:p>
    <w:p w:rsidR="00042E16" w:rsidRDefault="00042E16" w:rsidP="00042E16">
      <w:r w:rsidRPr="00400CBF">
        <w:rPr>
          <w:b/>
        </w:rPr>
        <w:t>INSTALL:</w:t>
      </w:r>
      <w:r>
        <w:t xml:space="preserve"> 22 installations (sites) in total.</w:t>
      </w:r>
    </w:p>
    <w:p w:rsidR="00042E16" w:rsidRDefault="00042E16" w:rsidP="00042E16">
      <w:r w:rsidRPr="00400CBF">
        <w:rPr>
          <w:b/>
        </w:rPr>
        <w:t>PLOT:</w:t>
      </w:r>
      <w:r>
        <w:t xml:space="preserve"> 125 plots in total. Each installation has 4~8 plots. There are replicates of control and different thinning type plots.</w:t>
      </w:r>
    </w:p>
    <w:p w:rsidR="00042E16" w:rsidRDefault="00042E16" w:rsidP="00042E16">
      <w:r w:rsidRPr="00400CBF">
        <w:rPr>
          <w:b/>
        </w:rPr>
        <w:t>SI</w:t>
      </w:r>
      <w:r>
        <w:t>: Site index (height of dominant and co-dominant trees at a specified age in a stand). A sample of healthy dominant and co-dominant trees of the predominant species on each plot was measured for total height and total age to determine site index.</w:t>
      </w:r>
    </w:p>
    <w:p w:rsidR="00042E16" w:rsidRDefault="00042E16" w:rsidP="00042E16">
      <w:r>
        <w:rPr>
          <w:b/>
        </w:rPr>
        <w:t>PLT</w:t>
      </w:r>
      <w:r w:rsidRPr="00400CBF">
        <w:rPr>
          <w:b/>
        </w:rPr>
        <w:t>AREA</w:t>
      </w:r>
      <w:r>
        <w:t>: Plot area in hectares (square shaped). 0.05(over 1200 stems per hectare), 0.07(860~1200 stems per hectare), or 0.1(600~860 stems per hectare). Plots were selected to meet the requirement of at least 60 live trees per plot before thinning.</w:t>
      </w:r>
    </w:p>
    <w:p w:rsidR="00042E16" w:rsidRDefault="00042E16" w:rsidP="00042E16">
      <w:r w:rsidRPr="00400CBF">
        <w:rPr>
          <w:b/>
        </w:rPr>
        <w:t>STORIGIN</w:t>
      </w:r>
      <w:r>
        <w:t>: C=; N=; P=.</w:t>
      </w:r>
    </w:p>
    <w:p w:rsidR="00042E16" w:rsidRDefault="00042E16" w:rsidP="00042E16">
      <w:r w:rsidRPr="00400CBF">
        <w:rPr>
          <w:b/>
        </w:rPr>
        <w:t>MAJORSPP</w:t>
      </w:r>
      <w:r>
        <w:t>: major species.</w:t>
      </w:r>
    </w:p>
    <w:p w:rsidR="00042E16" w:rsidRDefault="00042E16" w:rsidP="00042E16">
      <w:r w:rsidRPr="00400CBF">
        <w:rPr>
          <w:b/>
        </w:rPr>
        <w:lastRenderedPageBreak/>
        <w:t>ELEVAT</w:t>
      </w:r>
      <w:r>
        <w:t>: elevation in 10ms.</w:t>
      </w:r>
    </w:p>
    <w:p w:rsidR="00042E16" w:rsidRPr="00400CBF" w:rsidRDefault="00042E16" w:rsidP="00042E16">
      <w:pPr>
        <w:rPr>
          <w:b/>
        </w:rPr>
      </w:pPr>
      <w:r w:rsidRPr="00400CBF">
        <w:rPr>
          <w:b/>
        </w:rPr>
        <w:t>ASPECT</w:t>
      </w:r>
    </w:p>
    <w:p w:rsidR="00042E16" w:rsidRPr="007068CF" w:rsidRDefault="00042E16" w:rsidP="00042E16">
      <w:r w:rsidRPr="00400CBF">
        <w:rPr>
          <w:b/>
        </w:rPr>
        <w:t>SLOPE</w:t>
      </w:r>
      <w:r w:rsidR="007068CF">
        <w:rPr>
          <w:b/>
        </w:rPr>
        <w:t xml:space="preserve">: </w:t>
      </w:r>
      <w:r w:rsidR="007068CF">
        <w:t>slope in %.</w:t>
      </w:r>
    </w:p>
    <w:p w:rsidR="00042E16" w:rsidRDefault="00042E16" w:rsidP="00042E16">
      <w:pPr>
        <w:spacing w:after="0"/>
      </w:pPr>
      <w:r w:rsidRPr="00400CBF">
        <w:rPr>
          <w:b/>
        </w:rPr>
        <w:t>THINTYPE</w:t>
      </w:r>
      <w:r>
        <w:t xml:space="preserve">: </w:t>
      </w:r>
      <w:r w:rsidR="00D910FC">
        <w:t>“</w:t>
      </w:r>
      <w:r>
        <w:t>control plot</w:t>
      </w:r>
      <w:r w:rsidR="00D910FC">
        <w:t>”</w:t>
      </w:r>
      <w:r>
        <w:t xml:space="preserve">; </w:t>
      </w:r>
      <w:r w:rsidR="00D910FC">
        <w:t>“</w:t>
      </w:r>
      <w:r>
        <w:t>20%</w:t>
      </w:r>
      <w:r w:rsidR="00D910FC">
        <w:t xml:space="preserve"> removed”</w:t>
      </w:r>
      <w:r>
        <w:t xml:space="preserve">, </w:t>
      </w:r>
      <w:r w:rsidR="00D910FC">
        <w:t>“</w:t>
      </w:r>
      <w:r>
        <w:t>35%</w:t>
      </w:r>
      <w:r w:rsidR="00D910FC">
        <w:t xml:space="preserve"> removed”</w:t>
      </w:r>
      <w:r>
        <w:t>, or</w:t>
      </w:r>
      <w:r w:rsidR="00D910FC">
        <w:t>”</w:t>
      </w:r>
      <w:r>
        <w:t xml:space="preserve"> 50%</w:t>
      </w:r>
      <w:r w:rsidR="00D910FC">
        <w:t xml:space="preserve"> </w:t>
      </w:r>
      <w:r>
        <w:t>removed</w:t>
      </w:r>
      <w:r w:rsidR="00D910FC">
        <w:t>”</w:t>
      </w:r>
      <w:r>
        <w:t xml:space="preserve">. </w:t>
      </w:r>
      <w:r w:rsidRPr="005C283D">
        <w:t>A modified crown thinning was done in the dormant season, based on the following criteria:</w:t>
      </w:r>
    </w:p>
    <w:p w:rsidR="00042E16" w:rsidRDefault="00042E16" w:rsidP="00042E16">
      <w:pPr>
        <w:pStyle w:val="ListParagraph"/>
        <w:numPr>
          <w:ilvl w:val="0"/>
          <w:numId w:val="1"/>
        </w:numPr>
        <w:spacing w:after="0"/>
      </w:pPr>
      <w:r w:rsidRPr="005C283D">
        <w:t>Good quality dominant and co-dominant trees of the predominant species were favored as residuals;</w:t>
      </w:r>
    </w:p>
    <w:p w:rsidR="00042E16" w:rsidRDefault="00042E16" w:rsidP="00042E16">
      <w:pPr>
        <w:pStyle w:val="ListParagraph"/>
        <w:numPr>
          <w:ilvl w:val="0"/>
          <w:numId w:val="1"/>
        </w:numPr>
        <w:spacing w:after="0"/>
      </w:pPr>
      <w:r w:rsidRPr="005C283D">
        <w:t>Residual stems were distributed approximately uniformly throughout the plot and buffer;</w:t>
      </w:r>
    </w:p>
    <w:p w:rsidR="00042E16" w:rsidRDefault="00042E16" w:rsidP="00042E16">
      <w:pPr>
        <w:pStyle w:val="ListParagraph"/>
        <w:numPr>
          <w:ilvl w:val="0"/>
          <w:numId w:val="1"/>
        </w:numPr>
        <w:spacing w:after="0"/>
      </w:pPr>
      <w:r w:rsidRPr="005C283D">
        <w:t>A d/D ratio (mean diameter of live stems removed in thinning divided by mean stand diameter before thinning) was maintained at 0.80–0.90;</w:t>
      </w:r>
    </w:p>
    <w:p w:rsidR="00042E16" w:rsidRDefault="00042E16" w:rsidP="00042E16">
      <w:pPr>
        <w:pStyle w:val="ListParagraph"/>
        <w:numPr>
          <w:ilvl w:val="0"/>
          <w:numId w:val="1"/>
        </w:numPr>
        <w:spacing w:after="0"/>
      </w:pPr>
      <w:r w:rsidRPr="005C283D">
        <w:t>The total live basal area removed was kept within 5% of the prescribed thinning percent;</w:t>
      </w:r>
    </w:p>
    <w:p w:rsidR="00042E16" w:rsidRDefault="00042E16" w:rsidP="00042E16">
      <w:pPr>
        <w:pStyle w:val="ListParagraph"/>
        <w:numPr>
          <w:ilvl w:val="0"/>
          <w:numId w:val="1"/>
        </w:numPr>
        <w:spacing w:after="0"/>
      </w:pPr>
      <w:r w:rsidRPr="005C283D">
        <w:t xml:space="preserve"> Malformed, damaged, and diseased co-dominant and intermediate trees were removed;</w:t>
      </w:r>
    </w:p>
    <w:p w:rsidR="00042E16" w:rsidRDefault="00042E16" w:rsidP="00042E16">
      <w:pPr>
        <w:pStyle w:val="ListParagraph"/>
        <w:numPr>
          <w:ilvl w:val="0"/>
          <w:numId w:val="1"/>
        </w:numPr>
        <w:spacing w:after="0"/>
      </w:pPr>
      <w:r>
        <w:t>B</w:t>
      </w:r>
      <w:r w:rsidRPr="005C283D">
        <w:t>road-leaf species, wolf trees, and slender, wind-blown stems were removed whenever possible;</w:t>
      </w:r>
    </w:p>
    <w:p w:rsidR="00042E16" w:rsidRPr="005C283D" w:rsidRDefault="00042E16" w:rsidP="00042E16">
      <w:pPr>
        <w:pStyle w:val="ListParagraph"/>
        <w:numPr>
          <w:ilvl w:val="0"/>
          <w:numId w:val="1"/>
        </w:numPr>
        <w:spacing w:after="0"/>
      </w:pPr>
      <w:r w:rsidRPr="005C283D">
        <w:t>All dead trees were removed.</w:t>
      </w:r>
    </w:p>
    <w:p w:rsidR="00042E16" w:rsidRPr="005C283D" w:rsidRDefault="00042E16" w:rsidP="00042E16">
      <w:pPr>
        <w:spacing w:line="240" w:lineRule="auto"/>
      </w:pPr>
      <w:r w:rsidRPr="005C283D">
        <w:t>Thinning levels of 20, 35, and 50% of live basal area corresponded to approximately 80, 65, and</w:t>
      </w:r>
      <w:r>
        <w:t xml:space="preserve"> </w:t>
      </w:r>
      <w:r w:rsidRPr="005C283D">
        <w:t>50% canopy closure after thinning, respectively.</w:t>
      </w:r>
    </w:p>
    <w:p w:rsidR="00042E16" w:rsidRDefault="00042E16" w:rsidP="00042E16">
      <w:r w:rsidRPr="00400CBF">
        <w:rPr>
          <w:b/>
        </w:rPr>
        <w:t>THINLVL</w:t>
      </w:r>
      <w:r>
        <w:t>: 0=control; 1=20% removed; 2=35% removed; 3=50% removed</w:t>
      </w:r>
    </w:p>
    <w:p w:rsidR="00042E16" w:rsidRDefault="00042E16" w:rsidP="00042E16">
      <w:r w:rsidRPr="00400CBF">
        <w:rPr>
          <w:b/>
        </w:rPr>
        <w:t>TREE</w:t>
      </w:r>
      <w:r>
        <w:t>: tree tag number</w:t>
      </w:r>
    </w:p>
    <w:p w:rsidR="001F7F16" w:rsidRDefault="00042E16" w:rsidP="001F7F16">
      <w:pPr>
        <w:spacing w:after="0"/>
      </w:pPr>
      <w:r w:rsidRPr="00400CBF">
        <w:rPr>
          <w:b/>
        </w:rPr>
        <w:t>SPP:</w:t>
      </w:r>
      <w:r>
        <w:t xml:space="preserve"> </w:t>
      </w:r>
      <w:r w:rsidR="001F7F16">
        <w:t>species abbreviations.</w:t>
      </w:r>
    </w:p>
    <w:p w:rsidR="001F7F16" w:rsidRDefault="001F7F16" w:rsidP="001F7F16">
      <w:pPr>
        <w:pStyle w:val="ListParagraph"/>
        <w:numPr>
          <w:ilvl w:val="0"/>
          <w:numId w:val="9"/>
        </w:numPr>
      </w:pPr>
      <w:r>
        <w:t>FD=Douglas fir</w:t>
      </w:r>
    </w:p>
    <w:p w:rsidR="001F7F16" w:rsidRDefault="00042E16" w:rsidP="001F7F16">
      <w:pPr>
        <w:pStyle w:val="ListParagraph"/>
        <w:numPr>
          <w:ilvl w:val="0"/>
          <w:numId w:val="9"/>
        </w:numPr>
      </w:pPr>
      <w:r>
        <w:t>HW=western he</w:t>
      </w:r>
      <w:r w:rsidR="001F7F16">
        <w:t>mlock</w:t>
      </w:r>
    </w:p>
    <w:p w:rsidR="001F7F16" w:rsidRPr="001F7F16" w:rsidRDefault="001F7F16" w:rsidP="001F7F16">
      <w:pPr>
        <w:pStyle w:val="ListParagraph"/>
        <w:numPr>
          <w:ilvl w:val="0"/>
          <w:numId w:val="9"/>
        </w:numPr>
      </w:pPr>
      <w:r w:rsidRPr="001F7F16">
        <w:t>B= Balsam</w:t>
      </w:r>
    </w:p>
    <w:p w:rsidR="001F7F16" w:rsidRPr="001F7F16" w:rsidRDefault="001F7F16" w:rsidP="001F7F16">
      <w:pPr>
        <w:pStyle w:val="ListParagraph"/>
        <w:numPr>
          <w:ilvl w:val="0"/>
          <w:numId w:val="9"/>
        </w:numPr>
      </w:pPr>
      <w:r w:rsidRPr="001F7F16">
        <w:t>CW= western red cedar</w:t>
      </w:r>
    </w:p>
    <w:p w:rsidR="001F7F16" w:rsidRPr="001F7F16" w:rsidRDefault="001F7F16" w:rsidP="001F7F16">
      <w:pPr>
        <w:pStyle w:val="ListParagraph"/>
        <w:numPr>
          <w:ilvl w:val="0"/>
          <w:numId w:val="9"/>
        </w:numPr>
      </w:pPr>
      <w:r w:rsidRPr="001F7F16">
        <w:t>DR=red alder</w:t>
      </w:r>
    </w:p>
    <w:p w:rsidR="001F7F16" w:rsidRPr="001F7F16" w:rsidRDefault="001F7F16" w:rsidP="001F7F16">
      <w:pPr>
        <w:pStyle w:val="ListParagraph"/>
        <w:numPr>
          <w:ilvl w:val="0"/>
          <w:numId w:val="9"/>
        </w:numPr>
      </w:pPr>
      <w:r w:rsidRPr="001F7F16">
        <w:t>MB=</w:t>
      </w:r>
      <w:proofErr w:type="spellStart"/>
      <w:r w:rsidRPr="001F7F16">
        <w:t>bigleaf</w:t>
      </w:r>
      <w:proofErr w:type="spellEnd"/>
      <w:r w:rsidRPr="001F7F16">
        <w:t xml:space="preserve"> maple</w:t>
      </w:r>
    </w:p>
    <w:p w:rsidR="001F7F16" w:rsidRDefault="001F7F16" w:rsidP="001F7F16">
      <w:pPr>
        <w:pStyle w:val="ListParagraph"/>
        <w:numPr>
          <w:ilvl w:val="0"/>
          <w:numId w:val="9"/>
        </w:numPr>
      </w:pPr>
      <w:r w:rsidRPr="001F7F16">
        <w:t>PL=</w:t>
      </w:r>
      <w:proofErr w:type="spellStart"/>
      <w:r w:rsidRPr="001F7F16">
        <w:t>lodgepole</w:t>
      </w:r>
      <w:proofErr w:type="spellEnd"/>
      <w:r w:rsidRPr="001F7F16">
        <w:t xml:space="preserve"> pine</w:t>
      </w:r>
    </w:p>
    <w:p w:rsidR="001F7F16" w:rsidRPr="001F7F16" w:rsidRDefault="001F7F16" w:rsidP="001F7F16">
      <w:pPr>
        <w:pStyle w:val="ListParagraph"/>
        <w:numPr>
          <w:ilvl w:val="0"/>
          <w:numId w:val="9"/>
        </w:numPr>
      </w:pPr>
      <w:r w:rsidRPr="001F7F16">
        <w:t>PW=western white pine</w:t>
      </w:r>
    </w:p>
    <w:p w:rsidR="001F7F16" w:rsidRPr="001F7F16" w:rsidRDefault="001F7F16" w:rsidP="001F7F16">
      <w:pPr>
        <w:pStyle w:val="ListParagraph"/>
        <w:numPr>
          <w:ilvl w:val="0"/>
          <w:numId w:val="9"/>
        </w:numPr>
      </w:pPr>
      <w:r w:rsidRPr="001F7F16">
        <w:t xml:space="preserve">SS= </w:t>
      </w:r>
      <w:proofErr w:type="spellStart"/>
      <w:r w:rsidRPr="001F7F16">
        <w:t>sitka</w:t>
      </w:r>
      <w:proofErr w:type="spellEnd"/>
      <w:r w:rsidRPr="001F7F16">
        <w:t xml:space="preserve"> spruce</w:t>
      </w:r>
    </w:p>
    <w:p w:rsidR="001F7F16" w:rsidRPr="001F7F16" w:rsidRDefault="001F7F16" w:rsidP="001F7F16">
      <w:pPr>
        <w:pStyle w:val="ListParagraph"/>
        <w:numPr>
          <w:ilvl w:val="0"/>
          <w:numId w:val="9"/>
        </w:numPr>
      </w:pPr>
      <w:r w:rsidRPr="001F7F16">
        <w:t>VB= bitter cherry</w:t>
      </w:r>
    </w:p>
    <w:p w:rsidR="00042E16" w:rsidRDefault="001F7F16" w:rsidP="001F7F16">
      <w:pPr>
        <w:pStyle w:val="ListParagraph"/>
        <w:numPr>
          <w:ilvl w:val="0"/>
          <w:numId w:val="9"/>
        </w:numPr>
      </w:pPr>
      <w:r>
        <w:rPr>
          <w:color w:val="C00000"/>
        </w:rPr>
        <w:t>WI=some kind of willow?</w:t>
      </w:r>
    </w:p>
    <w:p w:rsidR="00042E16" w:rsidRDefault="00042E16" w:rsidP="00042E16">
      <w:r w:rsidRPr="00400CBF">
        <w:rPr>
          <w:b/>
        </w:rPr>
        <w:t>SPPSTR</w:t>
      </w:r>
      <w:r>
        <w:t xml:space="preserve">: </w:t>
      </w:r>
      <w:r w:rsidR="00C138B6">
        <w:t>“</w:t>
      </w:r>
      <w:r>
        <w:t>Douglas-fir</w:t>
      </w:r>
      <w:r w:rsidR="00C138B6">
        <w:t>”,</w:t>
      </w:r>
      <w:r>
        <w:t xml:space="preserve"> </w:t>
      </w:r>
      <w:r w:rsidR="00C138B6">
        <w:t>“</w:t>
      </w:r>
      <w:r>
        <w:t>Western hemlock</w:t>
      </w:r>
      <w:r w:rsidR="00C138B6">
        <w:t>”,</w:t>
      </w:r>
      <w:r>
        <w:t xml:space="preserve"> or </w:t>
      </w:r>
      <w:r w:rsidR="00C138B6">
        <w:t>“</w:t>
      </w:r>
      <w:r>
        <w:t>other species</w:t>
      </w:r>
      <w:r w:rsidR="00C138B6">
        <w:t>”</w:t>
      </w:r>
      <w:r>
        <w:t>.</w:t>
      </w:r>
    </w:p>
    <w:p w:rsidR="00042E16" w:rsidRDefault="00042E16" w:rsidP="00042E16">
      <w:r w:rsidRPr="00400CBF">
        <w:rPr>
          <w:b/>
        </w:rPr>
        <w:t>SPPNO:</w:t>
      </w:r>
      <w:r>
        <w:t xml:space="preserve"> 1=Douglas fir; 2=Western hemlock; 3=</w:t>
      </w:r>
      <w:proofErr w:type="gramStart"/>
      <w:r>
        <w:t>Other</w:t>
      </w:r>
      <w:proofErr w:type="gramEnd"/>
      <w:r>
        <w:t xml:space="preserve"> species.</w:t>
      </w:r>
    </w:p>
    <w:p w:rsidR="00042E16" w:rsidRDefault="00042E16" w:rsidP="00042E16">
      <w:r w:rsidRPr="00400CBF">
        <w:rPr>
          <w:b/>
        </w:rPr>
        <w:t>SPN</w:t>
      </w:r>
      <w:r>
        <w:t xml:space="preserve">: </w:t>
      </w:r>
      <w:r w:rsidR="00A60D90">
        <w:t>codes for each available species.</w:t>
      </w:r>
    </w:p>
    <w:p w:rsidR="00042E16" w:rsidRDefault="00042E16" w:rsidP="00042E16">
      <w:pPr>
        <w:rPr>
          <w:color w:val="C00000"/>
        </w:rPr>
      </w:pPr>
      <w:r w:rsidRPr="00400CBF">
        <w:rPr>
          <w:b/>
        </w:rPr>
        <w:lastRenderedPageBreak/>
        <w:t>X/Y</w:t>
      </w:r>
      <w:r>
        <w:t xml:space="preserve">: </w:t>
      </w:r>
      <w:r w:rsidR="00407E85">
        <w:t xml:space="preserve">These were determined at plot establishment by a right angle prism. </w:t>
      </w:r>
      <w:proofErr w:type="gramStart"/>
      <w:r>
        <w:rPr>
          <w:color w:val="C00000"/>
        </w:rPr>
        <w:t>location</w:t>
      </w:r>
      <w:proofErr w:type="gramEnd"/>
      <w:r>
        <w:rPr>
          <w:color w:val="C00000"/>
        </w:rPr>
        <w:t xml:space="preserve"> data with the center </w:t>
      </w:r>
      <w:r w:rsidR="00D20145">
        <w:rPr>
          <w:color w:val="C00000"/>
        </w:rPr>
        <w:t>of the plot as origin in meters.</w:t>
      </w:r>
      <w:r>
        <w:rPr>
          <w:color w:val="C00000"/>
        </w:rPr>
        <w:t xml:space="preserve"> -11.73~15.1 for </w:t>
      </w:r>
      <w:proofErr w:type="gramStart"/>
      <w:r>
        <w:rPr>
          <w:color w:val="C00000"/>
        </w:rPr>
        <w:t>0.05ha(</w:t>
      </w:r>
      <w:proofErr w:type="gramEnd"/>
      <w:r>
        <w:rPr>
          <w:color w:val="C00000"/>
        </w:rPr>
        <w:t xml:space="preserve"> </w:t>
      </w:r>
      <w:r w:rsidR="000F5C7C">
        <w:rPr>
          <w:color w:val="C00000"/>
        </w:rPr>
        <w:t xml:space="preserve">should be approximately </w:t>
      </w:r>
      <w:r>
        <w:rPr>
          <w:color w:val="C00000"/>
        </w:rPr>
        <w:t>22.36m*22.36m) plot; -13.65~13.39 for 0.07 (26.45*26.45m) plot ; -16.22~15.81 for 0.1 ha plot</w:t>
      </w:r>
      <w:r w:rsidR="003B01D7">
        <w:rPr>
          <w:color w:val="C00000"/>
        </w:rPr>
        <w:t>(31.62m*31.62m)</w:t>
      </w:r>
      <w:r>
        <w:rPr>
          <w:color w:val="C00000"/>
        </w:rPr>
        <w:t xml:space="preserve">. </w:t>
      </w:r>
      <w:proofErr w:type="gramStart"/>
      <w:r>
        <w:rPr>
          <w:color w:val="C00000"/>
        </w:rPr>
        <w:t>Missing for about 2% of all trees.</w:t>
      </w:r>
      <w:proofErr w:type="gramEnd"/>
      <w:r>
        <w:rPr>
          <w:color w:val="C00000"/>
        </w:rPr>
        <w:t xml:space="preserve"> </w:t>
      </w:r>
    </w:p>
    <w:p w:rsidR="003B01D7" w:rsidRDefault="003B01D7" w:rsidP="00042E16">
      <w:pPr>
        <w:rPr>
          <w:color w:val="C00000"/>
        </w:rPr>
      </w:pPr>
      <w:r>
        <w:rPr>
          <w:color w:val="C00000"/>
        </w:rPr>
        <w:t>In control plots</w:t>
      </w:r>
    </w:p>
    <w:tbl>
      <w:tblPr>
        <w:tblStyle w:val="TableGrid"/>
        <w:tblW w:w="0" w:type="auto"/>
        <w:tblLook w:val="04A0" w:firstRow="1" w:lastRow="0" w:firstColumn="1" w:lastColumn="0" w:noHBand="0" w:noVBand="1"/>
      </w:tblPr>
      <w:tblGrid>
        <w:gridCol w:w="1077"/>
        <w:gridCol w:w="1624"/>
        <w:gridCol w:w="1617"/>
        <w:gridCol w:w="4691"/>
      </w:tblGrid>
      <w:tr w:rsidR="003B01D7" w:rsidTr="0019692C">
        <w:tc>
          <w:tcPr>
            <w:tcW w:w="1077" w:type="dxa"/>
          </w:tcPr>
          <w:p w:rsidR="003B01D7" w:rsidRDefault="003B01D7" w:rsidP="00042E16">
            <w:pPr>
              <w:rPr>
                <w:color w:val="C00000"/>
              </w:rPr>
            </w:pPr>
            <w:proofErr w:type="spellStart"/>
            <w:r>
              <w:rPr>
                <w:color w:val="C00000"/>
              </w:rPr>
              <w:t>Plotarea</w:t>
            </w:r>
            <w:proofErr w:type="spellEnd"/>
          </w:p>
        </w:tc>
        <w:tc>
          <w:tcPr>
            <w:tcW w:w="1624" w:type="dxa"/>
          </w:tcPr>
          <w:p w:rsidR="003B01D7" w:rsidRDefault="003B01D7" w:rsidP="00042E16">
            <w:pPr>
              <w:rPr>
                <w:color w:val="C00000"/>
              </w:rPr>
            </w:pPr>
            <w:r>
              <w:rPr>
                <w:color w:val="C00000"/>
              </w:rPr>
              <w:t>Max(2*abs(X))</w:t>
            </w:r>
          </w:p>
        </w:tc>
        <w:tc>
          <w:tcPr>
            <w:tcW w:w="1617" w:type="dxa"/>
          </w:tcPr>
          <w:p w:rsidR="003B01D7" w:rsidRDefault="003B01D7" w:rsidP="00042E16">
            <w:pPr>
              <w:rPr>
                <w:color w:val="C00000"/>
              </w:rPr>
            </w:pPr>
            <w:r>
              <w:rPr>
                <w:color w:val="C00000"/>
              </w:rPr>
              <w:t>Max(2*abs(Y))</w:t>
            </w:r>
          </w:p>
        </w:tc>
        <w:tc>
          <w:tcPr>
            <w:tcW w:w="4691" w:type="dxa"/>
          </w:tcPr>
          <w:p w:rsidR="003B01D7" w:rsidRDefault="003B01D7" w:rsidP="00042E16">
            <w:pPr>
              <w:rPr>
                <w:color w:val="C00000"/>
              </w:rPr>
            </w:pPr>
            <w:r>
              <w:rPr>
                <w:color w:val="C00000"/>
              </w:rPr>
              <w:t>Estimated plot length</w:t>
            </w:r>
            <w:r w:rsidR="0019692C">
              <w:rPr>
                <w:color w:val="C00000"/>
              </w:rPr>
              <w:t>(for NI calculation purpose)</w:t>
            </w:r>
          </w:p>
        </w:tc>
      </w:tr>
      <w:tr w:rsidR="003B01D7" w:rsidTr="0019692C">
        <w:tc>
          <w:tcPr>
            <w:tcW w:w="1077" w:type="dxa"/>
          </w:tcPr>
          <w:p w:rsidR="003B01D7" w:rsidRDefault="003B01D7" w:rsidP="00042E16">
            <w:pPr>
              <w:rPr>
                <w:color w:val="C00000"/>
              </w:rPr>
            </w:pPr>
            <w:r>
              <w:rPr>
                <w:color w:val="C00000"/>
              </w:rPr>
              <w:t>0.05</w:t>
            </w:r>
          </w:p>
        </w:tc>
        <w:tc>
          <w:tcPr>
            <w:tcW w:w="1624" w:type="dxa"/>
          </w:tcPr>
          <w:p w:rsidR="003B01D7" w:rsidRDefault="003B01D7" w:rsidP="00042E16">
            <w:pPr>
              <w:rPr>
                <w:color w:val="C00000"/>
              </w:rPr>
            </w:pPr>
            <w:r>
              <w:rPr>
                <w:color w:val="C00000"/>
              </w:rPr>
              <w:t>23.46</w:t>
            </w:r>
          </w:p>
        </w:tc>
        <w:tc>
          <w:tcPr>
            <w:tcW w:w="1617" w:type="dxa"/>
          </w:tcPr>
          <w:p w:rsidR="003B01D7" w:rsidRDefault="003B01D7" w:rsidP="00042E16">
            <w:pPr>
              <w:rPr>
                <w:color w:val="C00000"/>
              </w:rPr>
            </w:pPr>
            <w:r>
              <w:rPr>
                <w:color w:val="C00000"/>
              </w:rPr>
              <w:t>23.02</w:t>
            </w:r>
          </w:p>
        </w:tc>
        <w:tc>
          <w:tcPr>
            <w:tcW w:w="4691" w:type="dxa"/>
          </w:tcPr>
          <w:p w:rsidR="003B01D7" w:rsidRDefault="00050993" w:rsidP="00042E16">
            <w:pPr>
              <w:rPr>
                <w:color w:val="C00000"/>
              </w:rPr>
            </w:pPr>
            <w:r>
              <w:rPr>
                <w:color w:val="C00000"/>
              </w:rPr>
              <w:t>24</w:t>
            </w:r>
          </w:p>
        </w:tc>
      </w:tr>
      <w:tr w:rsidR="003B01D7" w:rsidTr="0019692C">
        <w:tc>
          <w:tcPr>
            <w:tcW w:w="1077" w:type="dxa"/>
          </w:tcPr>
          <w:p w:rsidR="003B01D7" w:rsidRDefault="003B01D7" w:rsidP="00042E16">
            <w:pPr>
              <w:rPr>
                <w:color w:val="C00000"/>
              </w:rPr>
            </w:pPr>
            <w:r>
              <w:rPr>
                <w:color w:val="C00000"/>
              </w:rPr>
              <w:t>0.07</w:t>
            </w:r>
          </w:p>
        </w:tc>
        <w:tc>
          <w:tcPr>
            <w:tcW w:w="1624" w:type="dxa"/>
          </w:tcPr>
          <w:p w:rsidR="003B01D7" w:rsidRDefault="003B01D7" w:rsidP="00042E16">
            <w:pPr>
              <w:rPr>
                <w:color w:val="C00000"/>
              </w:rPr>
            </w:pPr>
            <w:r>
              <w:rPr>
                <w:color w:val="C00000"/>
              </w:rPr>
              <w:t>27.31</w:t>
            </w:r>
          </w:p>
        </w:tc>
        <w:tc>
          <w:tcPr>
            <w:tcW w:w="1617" w:type="dxa"/>
          </w:tcPr>
          <w:p w:rsidR="003B01D7" w:rsidRDefault="003B01D7" w:rsidP="00042E16">
            <w:pPr>
              <w:rPr>
                <w:color w:val="C00000"/>
              </w:rPr>
            </w:pPr>
            <w:r>
              <w:rPr>
                <w:color w:val="C00000"/>
              </w:rPr>
              <w:t>26.46</w:t>
            </w:r>
          </w:p>
        </w:tc>
        <w:tc>
          <w:tcPr>
            <w:tcW w:w="4691" w:type="dxa"/>
          </w:tcPr>
          <w:p w:rsidR="003B01D7" w:rsidRDefault="00050993" w:rsidP="00042E16">
            <w:pPr>
              <w:rPr>
                <w:color w:val="C00000"/>
              </w:rPr>
            </w:pPr>
            <w:r>
              <w:rPr>
                <w:color w:val="C00000"/>
              </w:rPr>
              <w:t>28</w:t>
            </w:r>
          </w:p>
        </w:tc>
      </w:tr>
      <w:tr w:rsidR="003B01D7" w:rsidTr="0019692C">
        <w:tc>
          <w:tcPr>
            <w:tcW w:w="1077" w:type="dxa"/>
          </w:tcPr>
          <w:p w:rsidR="003B01D7" w:rsidRDefault="003B01D7" w:rsidP="00042E16">
            <w:pPr>
              <w:rPr>
                <w:color w:val="C00000"/>
              </w:rPr>
            </w:pPr>
            <w:r>
              <w:rPr>
                <w:color w:val="C00000"/>
              </w:rPr>
              <w:t>0.1</w:t>
            </w:r>
          </w:p>
        </w:tc>
        <w:tc>
          <w:tcPr>
            <w:tcW w:w="1624" w:type="dxa"/>
          </w:tcPr>
          <w:p w:rsidR="003B01D7" w:rsidRDefault="003B01D7" w:rsidP="00042E16">
            <w:pPr>
              <w:rPr>
                <w:color w:val="C00000"/>
              </w:rPr>
            </w:pPr>
            <w:r>
              <w:rPr>
                <w:color w:val="C00000"/>
              </w:rPr>
              <w:t>32.46</w:t>
            </w:r>
          </w:p>
        </w:tc>
        <w:tc>
          <w:tcPr>
            <w:tcW w:w="1617" w:type="dxa"/>
          </w:tcPr>
          <w:p w:rsidR="003B01D7" w:rsidRDefault="003B01D7" w:rsidP="00042E16">
            <w:pPr>
              <w:rPr>
                <w:color w:val="C00000"/>
              </w:rPr>
            </w:pPr>
            <w:r>
              <w:rPr>
                <w:color w:val="C00000"/>
              </w:rPr>
              <w:t>32.39</w:t>
            </w:r>
          </w:p>
        </w:tc>
        <w:tc>
          <w:tcPr>
            <w:tcW w:w="4691" w:type="dxa"/>
          </w:tcPr>
          <w:p w:rsidR="003B01D7" w:rsidRDefault="0028770F" w:rsidP="00042E16">
            <w:pPr>
              <w:rPr>
                <w:color w:val="C00000"/>
              </w:rPr>
            </w:pPr>
            <w:r>
              <w:rPr>
                <w:color w:val="C00000"/>
              </w:rPr>
              <w:t>32</w:t>
            </w:r>
          </w:p>
        </w:tc>
      </w:tr>
    </w:tbl>
    <w:p w:rsidR="006723AC" w:rsidRDefault="006723AC" w:rsidP="00042E16">
      <w:pPr>
        <w:rPr>
          <w:color w:val="C00000"/>
        </w:rPr>
      </w:pPr>
      <w:r>
        <w:rPr>
          <w:color w:val="C00000"/>
        </w:rPr>
        <w:t>Plot was corrected for slope? (How they set up the plot for plot area? Plot area is projected plot area?) Look into the protocols.</w:t>
      </w:r>
    </w:p>
    <w:p w:rsidR="00C84B9D" w:rsidRDefault="00C84B9D" w:rsidP="00042E16">
      <w:pPr>
        <w:rPr>
          <w:color w:val="C00000"/>
        </w:rPr>
      </w:pPr>
      <w:r>
        <w:rPr>
          <w:color w:val="C00000"/>
        </w:rPr>
        <w:t xml:space="preserve">Divide plots into 4*4 m </w:t>
      </w:r>
      <w:proofErr w:type="spellStart"/>
      <w:r>
        <w:rPr>
          <w:color w:val="C00000"/>
        </w:rPr>
        <w:t>quadarts</w:t>
      </w:r>
      <w:proofErr w:type="spellEnd"/>
      <w:r>
        <w:rPr>
          <w:color w:val="C00000"/>
        </w:rPr>
        <w:t xml:space="preserve"> for NI calculation.</w:t>
      </w:r>
      <w:r w:rsidR="0028770F">
        <w:rPr>
          <w:color w:val="C00000"/>
        </w:rPr>
        <w:t xml:space="preserve"> For 0.05 and 0.01, have to exclude plants in the outer quadrat because not all trees were tagged. </w:t>
      </w:r>
      <w:r w:rsidR="00E74593">
        <w:rPr>
          <w:color w:val="C00000"/>
        </w:rPr>
        <w:t xml:space="preserve"> (</w:t>
      </w:r>
      <w:r w:rsidR="0028770F">
        <w:rPr>
          <w:color w:val="C00000"/>
        </w:rPr>
        <w:t xml:space="preserve">25-quadrats </w:t>
      </w:r>
      <w:proofErr w:type="gramStart"/>
      <w:r w:rsidR="0028770F">
        <w:rPr>
          <w:color w:val="C00000"/>
        </w:rPr>
        <w:t>is</w:t>
      </w:r>
      <w:proofErr w:type="gramEnd"/>
      <w:r w:rsidR="0028770F">
        <w:rPr>
          <w:color w:val="C00000"/>
        </w:rPr>
        <w:t xml:space="preserve"> not</w:t>
      </w:r>
      <w:r w:rsidR="00E74593">
        <w:rPr>
          <w:color w:val="C00000"/>
        </w:rPr>
        <w:t xml:space="preserve"> quite</w:t>
      </w:r>
      <w:r>
        <w:rPr>
          <w:color w:val="C00000"/>
        </w:rPr>
        <w:t xml:space="preserve"> available</w:t>
      </w:r>
      <w:r w:rsidR="0028770F">
        <w:rPr>
          <w:color w:val="C00000"/>
        </w:rPr>
        <w:t>.</w:t>
      </w:r>
      <w:r w:rsidR="00E74593">
        <w:rPr>
          <w:color w:val="C00000"/>
        </w:rPr>
        <w:t>)</w:t>
      </w:r>
    </w:p>
    <w:p w:rsidR="00042E16" w:rsidRPr="007E77EF" w:rsidRDefault="00042E16" w:rsidP="00042E16">
      <w:r w:rsidRPr="00400CBF">
        <w:rPr>
          <w:b/>
        </w:rPr>
        <w:t>XY</w:t>
      </w:r>
      <w:r w:rsidRPr="007E77EF">
        <w:t>: X*Y.</w:t>
      </w:r>
    </w:p>
    <w:p w:rsidR="00042E16" w:rsidRPr="001513C5" w:rsidRDefault="00042E16" w:rsidP="00042E16">
      <w:pPr>
        <w:rPr>
          <w:color w:val="C00000"/>
        </w:rPr>
      </w:pPr>
      <w:r w:rsidRPr="00D20145">
        <w:rPr>
          <w:b/>
        </w:rPr>
        <w:t xml:space="preserve">X97/y97: </w:t>
      </w:r>
      <w:r w:rsidRPr="00773EC2">
        <w:t>Missing for about 35 % of all trees.</w:t>
      </w:r>
      <w:r w:rsidRPr="00773EC2">
        <w:rPr>
          <w:b/>
        </w:rPr>
        <w:t xml:space="preserve"> </w:t>
      </w:r>
      <w:proofErr w:type="gramStart"/>
      <w:r w:rsidRPr="001513C5">
        <w:rPr>
          <w:color w:val="C00000"/>
        </w:rPr>
        <w:t>Missing for about 6% of the fir in CONTROL plots.</w:t>
      </w:r>
      <w:proofErr w:type="gramEnd"/>
    </w:p>
    <w:p w:rsidR="00042E16" w:rsidRDefault="00042E16" w:rsidP="00042E16">
      <w:r w:rsidRPr="00400CBF">
        <w:rPr>
          <w:b/>
        </w:rPr>
        <w:t>STAT0-STAT6, STAT97:</w:t>
      </w:r>
      <w:r>
        <w:t xml:space="preserve"> 1=LIVE; 0=DEAD; </w:t>
      </w:r>
      <w:r w:rsidRPr="004C3611">
        <w:rPr>
          <w:color w:val="C00000"/>
        </w:rPr>
        <w:t xml:space="preserve">2=? </w:t>
      </w:r>
      <w:r>
        <w:t>(</w:t>
      </w:r>
      <w:proofErr w:type="gramStart"/>
      <w:r>
        <w:t>only</w:t>
      </w:r>
      <w:proofErr w:type="gramEnd"/>
      <w:r>
        <w:t xml:space="preserve"> in </w:t>
      </w:r>
      <w:r w:rsidR="00B52DE4">
        <w:t>18</w:t>
      </w:r>
      <w:r w:rsidR="00B52DE4" w:rsidRPr="00B52DE4">
        <w:rPr>
          <w:vertAlign w:val="superscript"/>
        </w:rPr>
        <w:t>th</w:t>
      </w:r>
      <w:r w:rsidR="00B52DE4">
        <w:t xml:space="preserve"> and 24</w:t>
      </w:r>
      <w:r w:rsidR="00B52DE4" w:rsidRPr="00B52DE4">
        <w:rPr>
          <w:vertAlign w:val="superscript"/>
        </w:rPr>
        <w:t>th</w:t>
      </w:r>
      <w:r w:rsidR="00B52DE4">
        <w:t xml:space="preserve"> year</w:t>
      </w:r>
      <w:r>
        <w:t>).</w:t>
      </w:r>
    </w:p>
    <w:p w:rsidR="001F0C05" w:rsidRDefault="001F0C05" w:rsidP="00042E16">
      <w:r>
        <w:t>Trees come back alive:</w:t>
      </w:r>
    </w:p>
    <w:tbl>
      <w:tblPr>
        <w:tblStyle w:val="TableGrid"/>
        <w:tblW w:w="0" w:type="auto"/>
        <w:tblLook w:val="04A0" w:firstRow="1" w:lastRow="0" w:firstColumn="1" w:lastColumn="0" w:noHBand="0" w:noVBand="1"/>
      </w:tblPr>
      <w:tblGrid>
        <w:gridCol w:w="1915"/>
        <w:gridCol w:w="2049"/>
      </w:tblGrid>
      <w:tr w:rsidR="001F0C05" w:rsidTr="00175E56">
        <w:tc>
          <w:tcPr>
            <w:tcW w:w="1915" w:type="dxa"/>
          </w:tcPr>
          <w:p w:rsidR="001F0C05" w:rsidRDefault="001F0C05" w:rsidP="00175E56">
            <w:pPr>
              <w:rPr>
                <w:color w:val="C00000"/>
              </w:rPr>
            </w:pPr>
            <w:r>
              <w:rPr>
                <w:color w:val="C00000"/>
              </w:rPr>
              <w:t>YRMORT</w:t>
            </w:r>
          </w:p>
        </w:tc>
        <w:tc>
          <w:tcPr>
            <w:tcW w:w="2049" w:type="dxa"/>
          </w:tcPr>
          <w:p w:rsidR="001F0C05" w:rsidRDefault="001F0C05" w:rsidP="00175E56">
            <w:pPr>
              <w:rPr>
                <w:color w:val="C00000"/>
              </w:rPr>
            </w:pPr>
            <w:r>
              <w:rPr>
                <w:color w:val="C00000"/>
              </w:rPr>
              <w:t>N(Come back alive)</w:t>
            </w:r>
          </w:p>
        </w:tc>
      </w:tr>
      <w:tr w:rsidR="001F0C05" w:rsidTr="00175E56">
        <w:tc>
          <w:tcPr>
            <w:tcW w:w="1915" w:type="dxa"/>
          </w:tcPr>
          <w:p w:rsidR="001F0C05" w:rsidRDefault="001F0C05" w:rsidP="00175E56">
            <w:pPr>
              <w:rPr>
                <w:color w:val="C00000"/>
              </w:rPr>
            </w:pPr>
            <w:r>
              <w:rPr>
                <w:color w:val="C00000"/>
              </w:rPr>
              <w:t>0</w:t>
            </w:r>
            <w:r w:rsidRPr="001F0C05">
              <w:rPr>
                <w:color w:val="C00000"/>
                <w:vertAlign w:val="superscript"/>
              </w:rPr>
              <w:t>th</w:t>
            </w:r>
          </w:p>
        </w:tc>
        <w:tc>
          <w:tcPr>
            <w:tcW w:w="2049" w:type="dxa"/>
          </w:tcPr>
          <w:p w:rsidR="001F0C05" w:rsidRDefault="001F0C05" w:rsidP="00175E56">
            <w:pPr>
              <w:rPr>
                <w:color w:val="C00000"/>
              </w:rPr>
            </w:pPr>
            <w:r>
              <w:rPr>
                <w:color w:val="C00000"/>
              </w:rPr>
              <w:t>0</w:t>
            </w:r>
          </w:p>
        </w:tc>
      </w:tr>
      <w:tr w:rsidR="001F0C05" w:rsidTr="00175E56">
        <w:tc>
          <w:tcPr>
            <w:tcW w:w="1915" w:type="dxa"/>
          </w:tcPr>
          <w:p w:rsidR="001F0C05" w:rsidRDefault="001F0C05" w:rsidP="00175E56">
            <w:pPr>
              <w:rPr>
                <w:color w:val="C00000"/>
              </w:rPr>
            </w:pPr>
            <w:r>
              <w:rPr>
                <w:color w:val="C00000"/>
              </w:rPr>
              <w:t>3</w:t>
            </w:r>
            <w:r w:rsidRPr="001F0C05">
              <w:rPr>
                <w:color w:val="C00000"/>
                <w:vertAlign w:val="superscript"/>
              </w:rPr>
              <w:t>rd</w:t>
            </w:r>
          </w:p>
        </w:tc>
        <w:tc>
          <w:tcPr>
            <w:tcW w:w="2049" w:type="dxa"/>
          </w:tcPr>
          <w:p w:rsidR="001F0C05" w:rsidRDefault="001F0C05" w:rsidP="00175E56">
            <w:pPr>
              <w:rPr>
                <w:color w:val="C00000"/>
              </w:rPr>
            </w:pPr>
            <w:r>
              <w:rPr>
                <w:color w:val="C00000"/>
              </w:rPr>
              <w:t>2</w:t>
            </w:r>
          </w:p>
        </w:tc>
      </w:tr>
      <w:tr w:rsidR="001F0C05" w:rsidTr="00175E56">
        <w:tc>
          <w:tcPr>
            <w:tcW w:w="1915" w:type="dxa"/>
          </w:tcPr>
          <w:p w:rsidR="001F0C05" w:rsidRDefault="001F0C05" w:rsidP="00175E56">
            <w:pPr>
              <w:rPr>
                <w:color w:val="C00000"/>
              </w:rPr>
            </w:pPr>
            <w:r>
              <w:rPr>
                <w:color w:val="C00000"/>
              </w:rPr>
              <w:t>6</w:t>
            </w:r>
            <w:r w:rsidRPr="001F0C05">
              <w:rPr>
                <w:color w:val="C00000"/>
                <w:vertAlign w:val="superscript"/>
              </w:rPr>
              <w:t>th</w:t>
            </w:r>
          </w:p>
        </w:tc>
        <w:tc>
          <w:tcPr>
            <w:tcW w:w="2049" w:type="dxa"/>
          </w:tcPr>
          <w:p w:rsidR="001F0C05" w:rsidRDefault="001F0C05" w:rsidP="00175E56">
            <w:pPr>
              <w:rPr>
                <w:color w:val="C00000"/>
              </w:rPr>
            </w:pPr>
            <w:r>
              <w:rPr>
                <w:color w:val="C00000"/>
              </w:rPr>
              <w:t>5</w:t>
            </w:r>
          </w:p>
        </w:tc>
      </w:tr>
      <w:tr w:rsidR="001F0C05" w:rsidTr="00175E56">
        <w:tc>
          <w:tcPr>
            <w:tcW w:w="1915" w:type="dxa"/>
          </w:tcPr>
          <w:p w:rsidR="001F0C05" w:rsidRDefault="001F0C05" w:rsidP="00175E56">
            <w:pPr>
              <w:rPr>
                <w:color w:val="C00000"/>
              </w:rPr>
            </w:pPr>
            <w:r>
              <w:rPr>
                <w:color w:val="C00000"/>
              </w:rPr>
              <w:t>9</w:t>
            </w:r>
            <w:r w:rsidRPr="001F0C05">
              <w:rPr>
                <w:color w:val="C00000"/>
                <w:vertAlign w:val="superscript"/>
              </w:rPr>
              <w:t>th</w:t>
            </w:r>
          </w:p>
        </w:tc>
        <w:tc>
          <w:tcPr>
            <w:tcW w:w="2049" w:type="dxa"/>
          </w:tcPr>
          <w:p w:rsidR="001F0C05" w:rsidRDefault="001F0C05" w:rsidP="00175E56">
            <w:pPr>
              <w:rPr>
                <w:color w:val="C00000"/>
              </w:rPr>
            </w:pPr>
            <w:r>
              <w:rPr>
                <w:color w:val="C00000"/>
              </w:rPr>
              <w:t>3</w:t>
            </w:r>
          </w:p>
        </w:tc>
      </w:tr>
      <w:tr w:rsidR="001F0C05" w:rsidTr="00175E56">
        <w:tc>
          <w:tcPr>
            <w:tcW w:w="1915" w:type="dxa"/>
          </w:tcPr>
          <w:p w:rsidR="001F0C05" w:rsidRDefault="001F0C05" w:rsidP="00175E56">
            <w:pPr>
              <w:rPr>
                <w:color w:val="C00000"/>
              </w:rPr>
            </w:pPr>
            <w:r>
              <w:rPr>
                <w:color w:val="C00000"/>
              </w:rPr>
              <w:t>12</w:t>
            </w:r>
            <w:r w:rsidRPr="001F0C05">
              <w:rPr>
                <w:color w:val="C00000"/>
                <w:vertAlign w:val="superscript"/>
              </w:rPr>
              <w:t>th</w:t>
            </w:r>
          </w:p>
        </w:tc>
        <w:tc>
          <w:tcPr>
            <w:tcW w:w="2049" w:type="dxa"/>
          </w:tcPr>
          <w:p w:rsidR="001F0C05" w:rsidRDefault="001F0C05" w:rsidP="00175E56">
            <w:pPr>
              <w:rPr>
                <w:color w:val="C00000"/>
              </w:rPr>
            </w:pPr>
            <w:r>
              <w:rPr>
                <w:color w:val="C00000"/>
              </w:rPr>
              <w:t>3</w:t>
            </w:r>
          </w:p>
        </w:tc>
      </w:tr>
      <w:tr w:rsidR="001F0C05" w:rsidTr="00175E56">
        <w:tc>
          <w:tcPr>
            <w:tcW w:w="1915" w:type="dxa"/>
          </w:tcPr>
          <w:p w:rsidR="001F0C05" w:rsidRDefault="001F0C05" w:rsidP="00175E56">
            <w:pPr>
              <w:rPr>
                <w:color w:val="C00000"/>
              </w:rPr>
            </w:pPr>
            <w:r>
              <w:rPr>
                <w:color w:val="C00000"/>
              </w:rPr>
              <w:t>18th</w:t>
            </w:r>
          </w:p>
        </w:tc>
        <w:tc>
          <w:tcPr>
            <w:tcW w:w="2049" w:type="dxa"/>
          </w:tcPr>
          <w:p w:rsidR="001F0C05" w:rsidRDefault="001F0C05" w:rsidP="00175E56">
            <w:pPr>
              <w:rPr>
                <w:color w:val="C00000"/>
              </w:rPr>
            </w:pPr>
            <w:r>
              <w:rPr>
                <w:color w:val="C00000"/>
              </w:rPr>
              <w:t>22</w:t>
            </w:r>
          </w:p>
        </w:tc>
      </w:tr>
    </w:tbl>
    <w:p w:rsidR="001F0C05" w:rsidRPr="004C3611" w:rsidRDefault="001F0C05" w:rsidP="00042E16"/>
    <w:p w:rsidR="00042E16" w:rsidRDefault="00042E16" w:rsidP="00042E16">
      <w:r>
        <w:rPr>
          <w:b/>
        </w:rPr>
        <w:t xml:space="preserve">DBH0-DBH6, </w:t>
      </w:r>
      <w:r w:rsidR="00294EB1">
        <w:rPr>
          <w:b/>
        </w:rPr>
        <w:t>DBH7</w:t>
      </w:r>
      <w:r>
        <w:rPr>
          <w:b/>
        </w:rPr>
        <w:t>/</w:t>
      </w:r>
      <w:r w:rsidRPr="00400CBF">
        <w:rPr>
          <w:b/>
        </w:rPr>
        <w:t>D1-D7</w:t>
      </w:r>
      <w:r w:rsidR="00E12F1F">
        <w:t>:</w:t>
      </w:r>
      <w:r>
        <w:t xml:space="preserve">  DBH measured in cm at plot establishment before thinning (censu</w:t>
      </w:r>
      <w:r w:rsidR="000A04BF">
        <w:t xml:space="preserve">s 0), and after thinning in </w:t>
      </w:r>
      <w:r w:rsidR="00294EB1" w:rsidRPr="00354E97">
        <w:rPr>
          <w:sz w:val="24"/>
          <w:szCs w:val="24"/>
        </w:rPr>
        <w:t>0th, 3rd, 6th, 9th, 12th, 18th, and 24</w:t>
      </w:r>
      <w:r w:rsidR="00294EB1" w:rsidRPr="00354E97">
        <w:rPr>
          <w:sz w:val="24"/>
          <w:szCs w:val="24"/>
          <w:vertAlign w:val="superscript"/>
        </w:rPr>
        <w:t>th</w:t>
      </w:r>
      <w:r w:rsidR="00294EB1" w:rsidRPr="00354E97">
        <w:rPr>
          <w:sz w:val="24"/>
          <w:szCs w:val="24"/>
        </w:rPr>
        <w:t xml:space="preserve"> year</w:t>
      </w:r>
      <w:r w:rsidR="00E12F1F" w:rsidRPr="00E12F1F">
        <w:t xml:space="preserve">. </w:t>
      </w:r>
      <w:r w:rsidR="00494325" w:rsidRPr="00494325">
        <w:t>Different plots have different starting year, so 0th, 3rd, 6th, 9th, 12th, 18th, 24th year could be different Calendar years fo</w:t>
      </w:r>
      <w:r w:rsidR="00494325">
        <w:t xml:space="preserve">r different plots. </w:t>
      </w:r>
      <w:r w:rsidR="00E12F1F" w:rsidRPr="00E12F1F">
        <w:t xml:space="preserve">DBH0 is DBH measured at plot establishment, then </w:t>
      </w:r>
      <w:r w:rsidR="006B59E2">
        <w:t xml:space="preserve">for most of the cases, </w:t>
      </w:r>
      <w:r w:rsidR="00E12F1F" w:rsidRPr="00E12F1F">
        <w:t>D</w:t>
      </w:r>
      <w:r w:rsidR="00E12F1F">
        <w:t>BH1=D1; DBH2=D2…..DBH97=D7.</w:t>
      </w:r>
      <w:r w:rsidR="00DA00CB">
        <w:t xml:space="preserve"> Details see the table below.</w:t>
      </w:r>
    </w:p>
    <w:p w:rsidR="003025DE" w:rsidRPr="00294EB1" w:rsidRDefault="003025DE" w:rsidP="00042E16">
      <w:pPr>
        <w:rPr>
          <w:color w:val="FF0000"/>
        </w:rPr>
      </w:pPr>
      <w:r>
        <w:rPr>
          <w:color w:val="FF0000"/>
        </w:rPr>
        <w:t>DBH7 was only collected for installation 71 and 72, and for these plants had DBH7 collected, there is also a DBH97 collected. For other installation where DBH97 was collected, DBH7 was NOT recorded.</w:t>
      </w:r>
    </w:p>
    <w:tbl>
      <w:tblPr>
        <w:tblStyle w:val="TableGrid"/>
        <w:tblW w:w="9812" w:type="dxa"/>
        <w:tblLook w:val="04A0" w:firstRow="1" w:lastRow="0" w:firstColumn="1" w:lastColumn="0" w:noHBand="0" w:noVBand="1"/>
      </w:tblPr>
      <w:tblGrid>
        <w:gridCol w:w="901"/>
        <w:gridCol w:w="876"/>
        <w:gridCol w:w="8035"/>
      </w:tblGrid>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p>
        </w:tc>
        <w:tc>
          <w:tcPr>
            <w:tcW w:w="876" w:type="dxa"/>
          </w:tcPr>
          <w:p w:rsidR="00775697" w:rsidRDefault="00775697" w:rsidP="00175E56">
            <w:pPr>
              <w:pStyle w:val="ListParagraph"/>
              <w:spacing w:line="360" w:lineRule="auto"/>
              <w:ind w:left="0"/>
              <w:rPr>
                <w:rFonts w:ascii="Times New Roman" w:hAnsi="Times New Roman" w:cs="Times New Roman"/>
              </w:rPr>
            </w:pPr>
            <w:proofErr w:type="spellStart"/>
            <w:r>
              <w:rPr>
                <w:rFonts w:ascii="Times New Roman" w:hAnsi="Times New Roman" w:cs="Times New Roman"/>
              </w:rPr>
              <w:t>cnt</w:t>
            </w:r>
            <w:proofErr w:type="spellEnd"/>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Consistency with D#</w:t>
            </w:r>
          </w:p>
        </w:tc>
      </w:tr>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DBH1</w:t>
            </w:r>
          </w:p>
        </w:tc>
        <w:tc>
          <w:tcPr>
            <w:tcW w:w="876"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16294</w:t>
            </w:r>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6 DBH1 is NOT equal to D1 (all 6 plants have DBH0=DBH1). The rest consistent</w:t>
            </w:r>
          </w:p>
        </w:tc>
      </w:tr>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lastRenderedPageBreak/>
              <w:t>DBH2</w:t>
            </w:r>
          </w:p>
        </w:tc>
        <w:tc>
          <w:tcPr>
            <w:tcW w:w="876"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10324</w:t>
            </w:r>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160 DBH2 is NOT equal to D2 (all 160 plants have DBH1=DBH2). The rest consistent.</w:t>
            </w:r>
          </w:p>
        </w:tc>
      </w:tr>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DBH3</w:t>
            </w:r>
          </w:p>
        </w:tc>
        <w:tc>
          <w:tcPr>
            <w:tcW w:w="876"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10284</w:t>
            </w:r>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377 DBH3 is NOT equal to D3 (375 plants have DBH2=DBH3). The rest consistent.</w:t>
            </w:r>
          </w:p>
        </w:tc>
      </w:tr>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DBH4</w:t>
            </w:r>
          </w:p>
        </w:tc>
        <w:tc>
          <w:tcPr>
            <w:tcW w:w="876"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9886</w:t>
            </w:r>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354 DBH4 is NOT equal to D4 (352 plants have DBH3=DBH4). The rest consistent.</w:t>
            </w:r>
          </w:p>
        </w:tc>
      </w:tr>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DBH5</w:t>
            </w:r>
          </w:p>
        </w:tc>
        <w:tc>
          <w:tcPr>
            <w:tcW w:w="876"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9605</w:t>
            </w:r>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304 DHB5 is NOT equal to D5 (303 plants have DBH4=DBH5). The rest consistent.</w:t>
            </w:r>
          </w:p>
        </w:tc>
      </w:tr>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DBH6</w:t>
            </w:r>
          </w:p>
        </w:tc>
        <w:tc>
          <w:tcPr>
            <w:tcW w:w="876"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9373</w:t>
            </w:r>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830 DBH6 is NOT equal to D6 (818 plants have DBH5=DBH6). The rest consistent.</w:t>
            </w:r>
          </w:p>
        </w:tc>
      </w:tr>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DBH97</w:t>
            </w:r>
          </w:p>
        </w:tc>
        <w:tc>
          <w:tcPr>
            <w:tcW w:w="876"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9894</w:t>
            </w:r>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531 DBH97 is NOT equal to D7 (516 plants have DBH6=DBH97). The rest consistent</w:t>
            </w:r>
          </w:p>
        </w:tc>
      </w:tr>
      <w:tr w:rsidR="00775697" w:rsidTr="00175E56">
        <w:tc>
          <w:tcPr>
            <w:tcW w:w="901"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DBH7</w:t>
            </w:r>
          </w:p>
        </w:tc>
        <w:tc>
          <w:tcPr>
            <w:tcW w:w="876"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508</w:t>
            </w:r>
          </w:p>
        </w:tc>
        <w:tc>
          <w:tcPr>
            <w:tcW w:w="8035" w:type="dxa"/>
          </w:tcPr>
          <w:p w:rsidR="00775697" w:rsidRDefault="00775697" w:rsidP="00175E56">
            <w:pPr>
              <w:pStyle w:val="ListParagraph"/>
              <w:spacing w:line="360" w:lineRule="auto"/>
              <w:ind w:left="0"/>
              <w:rPr>
                <w:rFonts w:ascii="Times New Roman" w:hAnsi="Times New Roman" w:cs="Times New Roman"/>
              </w:rPr>
            </w:pPr>
            <w:r>
              <w:rPr>
                <w:rFonts w:ascii="Times New Roman" w:hAnsi="Times New Roman" w:cs="Times New Roman"/>
              </w:rPr>
              <w:t>484 DBH7 is NOT equal to D7. The rest consistent.</w:t>
            </w:r>
          </w:p>
        </w:tc>
      </w:tr>
    </w:tbl>
    <w:p w:rsidR="00D36601" w:rsidRDefault="00D36601" w:rsidP="00042E16">
      <w:pPr>
        <w:rPr>
          <w:color w:val="C00000"/>
        </w:rPr>
      </w:pPr>
    </w:p>
    <w:p w:rsidR="00042E16" w:rsidRDefault="00042E16" w:rsidP="00042E16">
      <w:pPr>
        <w:rPr>
          <w:color w:val="C00000"/>
        </w:rPr>
      </w:pPr>
      <w:r>
        <w:rPr>
          <w:b/>
        </w:rPr>
        <w:t>HTMEA0-HTMEA6, HT97/</w:t>
      </w:r>
      <w:r w:rsidRPr="00400CBF">
        <w:rPr>
          <w:b/>
        </w:rPr>
        <w:t>H1-H7</w:t>
      </w:r>
      <w:r>
        <w:t xml:space="preserve">: HT measured in m at plot establishment before thinning (census 0), and after thinning in year of </w:t>
      </w:r>
      <w:r w:rsidRPr="00AF2925">
        <w:rPr>
          <w:color w:val="C00000"/>
        </w:rPr>
        <w:t xml:space="preserve">In pure stands at least </w:t>
      </w:r>
      <w:r>
        <w:rPr>
          <w:color w:val="C00000"/>
        </w:rPr>
        <w:t xml:space="preserve">10 trees per plot were measured </w:t>
      </w:r>
      <w:r w:rsidRPr="00AF2925">
        <w:rPr>
          <w:color w:val="C00000"/>
        </w:rPr>
        <w:t>for height (most sample trees were co-dominants, although some dominants were also measured); 2) in</w:t>
      </w:r>
      <w:r>
        <w:rPr>
          <w:color w:val="C00000"/>
        </w:rPr>
        <w:t xml:space="preserve"> </w:t>
      </w:r>
      <w:r w:rsidRPr="00AF2925">
        <w:rPr>
          <w:color w:val="C00000"/>
        </w:rPr>
        <w:t>stands with an approximately even mix of fir and hemlock at least 10 trees were measured for each</w:t>
      </w:r>
      <w:r>
        <w:rPr>
          <w:color w:val="C00000"/>
        </w:rPr>
        <w:t xml:space="preserve"> </w:t>
      </w:r>
      <w:r w:rsidRPr="00AF2925">
        <w:rPr>
          <w:color w:val="C00000"/>
        </w:rPr>
        <w:t>species; Selection of</w:t>
      </w:r>
      <w:r>
        <w:rPr>
          <w:color w:val="C00000"/>
        </w:rPr>
        <w:t xml:space="preserve"> </w:t>
      </w:r>
      <w:r w:rsidRPr="00AF2925">
        <w:rPr>
          <w:color w:val="C00000"/>
        </w:rPr>
        <w:t>height sample trees was altered over the course of the project</w:t>
      </w:r>
      <w:r>
        <w:rPr>
          <w:color w:val="C00000"/>
        </w:rPr>
        <w:t>. (Darling 1989)</w:t>
      </w:r>
    </w:p>
    <w:tbl>
      <w:tblPr>
        <w:tblStyle w:val="TableGrid"/>
        <w:tblW w:w="9812" w:type="dxa"/>
        <w:tblLook w:val="04A0" w:firstRow="1" w:lastRow="0" w:firstColumn="1" w:lastColumn="0" w:noHBand="0" w:noVBand="1"/>
      </w:tblPr>
      <w:tblGrid>
        <w:gridCol w:w="1109"/>
        <w:gridCol w:w="869"/>
        <w:gridCol w:w="7834"/>
      </w:tblGrid>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p>
        </w:tc>
        <w:tc>
          <w:tcPr>
            <w:tcW w:w="869" w:type="dxa"/>
          </w:tcPr>
          <w:p w:rsidR="00FD638F" w:rsidRDefault="00FD638F" w:rsidP="00175E56">
            <w:pPr>
              <w:pStyle w:val="ListParagraph"/>
              <w:spacing w:line="360" w:lineRule="auto"/>
              <w:ind w:left="0"/>
              <w:rPr>
                <w:rFonts w:ascii="Times New Roman" w:hAnsi="Times New Roman" w:cs="Times New Roman"/>
              </w:rPr>
            </w:pPr>
            <w:proofErr w:type="spellStart"/>
            <w:r>
              <w:rPr>
                <w:rFonts w:ascii="Times New Roman" w:hAnsi="Times New Roman" w:cs="Times New Roman"/>
              </w:rPr>
              <w:t>cnt</w:t>
            </w:r>
            <w:proofErr w:type="spellEnd"/>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Consistency with HT1-HT7</w:t>
            </w:r>
          </w:p>
        </w:tc>
      </w:tr>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HTMEA1</w:t>
            </w:r>
          </w:p>
        </w:tc>
        <w:tc>
          <w:tcPr>
            <w:tcW w:w="86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1565</w:t>
            </w:r>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3 HEMEA1 is NOT equal to H1. The rest consistent</w:t>
            </w:r>
          </w:p>
        </w:tc>
      </w:tr>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HTMEA2</w:t>
            </w:r>
          </w:p>
        </w:tc>
        <w:tc>
          <w:tcPr>
            <w:tcW w:w="86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1458</w:t>
            </w:r>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1 HEMEA2 is NOT equal to H2. The rest consistent</w:t>
            </w:r>
          </w:p>
        </w:tc>
      </w:tr>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HTMEA3</w:t>
            </w:r>
          </w:p>
        </w:tc>
        <w:tc>
          <w:tcPr>
            <w:tcW w:w="86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1928</w:t>
            </w:r>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2 HTMEA3 is NOT equal to H3. The rest consistent</w:t>
            </w:r>
          </w:p>
        </w:tc>
      </w:tr>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HTMEA4</w:t>
            </w:r>
          </w:p>
        </w:tc>
        <w:tc>
          <w:tcPr>
            <w:tcW w:w="86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2538</w:t>
            </w:r>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1 HTMEA4 is NOT equal to H4. The rest consistent.</w:t>
            </w:r>
          </w:p>
        </w:tc>
      </w:tr>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HTMEA5</w:t>
            </w:r>
          </w:p>
        </w:tc>
        <w:tc>
          <w:tcPr>
            <w:tcW w:w="86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2426</w:t>
            </w:r>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1 HTMEA5 is NOT equal to H5. The rest consistent</w:t>
            </w:r>
          </w:p>
        </w:tc>
      </w:tr>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HTMEA6</w:t>
            </w:r>
          </w:p>
        </w:tc>
        <w:tc>
          <w:tcPr>
            <w:tcW w:w="86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3699</w:t>
            </w:r>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3 HTMEA6 is NOT equal to H6. The rest consistent</w:t>
            </w:r>
          </w:p>
        </w:tc>
      </w:tr>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HT97</w:t>
            </w:r>
          </w:p>
        </w:tc>
        <w:tc>
          <w:tcPr>
            <w:tcW w:w="86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3709</w:t>
            </w:r>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8 HT97 is NOT equal to H7. The rest consistent</w:t>
            </w:r>
          </w:p>
        </w:tc>
      </w:tr>
      <w:tr w:rsidR="00FD638F" w:rsidTr="00FD638F">
        <w:tc>
          <w:tcPr>
            <w:tcW w:w="110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HTMEA7</w:t>
            </w:r>
          </w:p>
        </w:tc>
        <w:tc>
          <w:tcPr>
            <w:tcW w:w="869"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186</w:t>
            </w:r>
          </w:p>
        </w:tc>
        <w:tc>
          <w:tcPr>
            <w:tcW w:w="7834" w:type="dxa"/>
          </w:tcPr>
          <w:p w:rsidR="00FD638F" w:rsidRDefault="00FD638F" w:rsidP="00175E56">
            <w:pPr>
              <w:pStyle w:val="ListParagraph"/>
              <w:spacing w:line="360" w:lineRule="auto"/>
              <w:ind w:left="0"/>
              <w:rPr>
                <w:rFonts w:ascii="Times New Roman" w:hAnsi="Times New Roman" w:cs="Times New Roman"/>
              </w:rPr>
            </w:pPr>
            <w:r>
              <w:rPr>
                <w:rFonts w:ascii="Times New Roman" w:hAnsi="Times New Roman" w:cs="Times New Roman"/>
              </w:rPr>
              <w:t>167 HTMEA7 is NOT equal to H7. The rest consistent</w:t>
            </w:r>
          </w:p>
        </w:tc>
      </w:tr>
    </w:tbl>
    <w:p w:rsidR="001D5DC5" w:rsidRPr="00294EB1" w:rsidRDefault="001D5DC5" w:rsidP="001D5DC5">
      <w:pPr>
        <w:rPr>
          <w:color w:val="FF0000"/>
        </w:rPr>
      </w:pPr>
      <w:r>
        <w:rPr>
          <w:color w:val="FF0000"/>
        </w:rPr>
        <w:t>HTMEA7 was only collected for installation 71 and 72, and for these plants had HTMEA7 collected, there is also a HT97 collected. For other installation where HT97 was collected, DBH7 was NOT recorded.</w:t>
      </w:r>
    </w:p>
    <w:p w:rsidR="00FD638F" w:rsidRDefault="00FD638F" w:rsidP="00042E16">
      <w:pPr>
        <w:rPr>
          <w:color w:val="C00000"/>
        </w:rPr>
      </w:pPr>
    </w:p>
    <w:p w:rsidR="00042E16" w:rsidRPr="00C12DD1" w:rsidRDefault="00042E16" w:rsidP="00042E16">
      <w:pPr>
        <w:rPr>
          <w:color w:val="C00000"/>
        </w:rPr>
      </w:pPr>
      <w:r w:rsidRPr="00400CBF">
        <w:rPr>
          <w:b/>
        </w:rPr>
        <w:t>HTTR0-HTTR7</w:t>
      </w:r>
      <w:r>
        <w:t xml:space="preserve">: </w:t>
      </w:r>
      <w:r w:rsidRPr="00C12DD1">
        <w:rPr>
          <w:color w:val="C00000"/>
        </w:rPr>
        <w:t xml:space="preserve">All integers. </w:t>
      </w:r>
      <w:proofErr w:type="gramStart"/>
      <w:r w:rsidRPr="00C12DD1">
        <w:rPr>
          <w:color w:val="C00000"/>
        </w:rPr>
        <w:t>Recorded for more trees that had HTMEA.</w:t>
      </w:r>
      <w:proofErr w:type="gramEnd"/>
    </w:p>
    <w:p w:rsidR="0009104C" w:rsidRDefault="00042E16" w:rsidP="0009104C">
      <w:pPr>
        <w:spacing w:after="0"/>
      </w:pPr>
      <w:r w:rsidRPr="00400CBF">
        <w:rPr>
          <w:b/>
        </w:rPr>
        <w:t>CRNCLS0-CRNCL7:</w:t>
      </w:r>
      <w:r>
        <w:t xml:space="preserve"> </w:t>
      </w:r>
    </w:p>
    <w:p w:rsidR="0009104C" w:rsidRDefault="0009104C" w:rsidP="00042E16">
      <w:pPr>
        <w:pStyle w:val="ListParagraph"/>
        <w:numPr>
          <w:ilvl w:val="0"/>
          <w:numId w:val="7"/>
        </w:numPr>
      </w:pPr>
      <w:r>
        <w:t>1=dominant</w:t>
      </w:r>
    </w:p>
    <w:p w:rsidR="0009104C" w:rsidRDefault="0009104C" w:rsidP="00042E16">
      <w:pPr>
        <w:pStyle w:val="ListParagraph"/>
        <w:numPr>
          <w:ilvl w:val="0"/>
          <w:numId w:val="7"/>
        </w:numPr>
      </w:pPr>
      <w:r>
        <w:t>2=co-dominant</w:t>
      </w:r>
    </w:p>
    <w:p w:rsidR="0009104C" w:rsidRDefault="0009104C" w:rsidP="00042E16">
      <w:pPr>
        <w:pStyle w:val="ListParagraph"/>
        <w:numPr>
          <w:ilvl w:val="0"/>
          <w:numId w:val="7"/>
        </w:numPr>
      </w:pPr>
      <w:r>
        <w:t>3=intermediate</w:t>
      </w:r>
    </w:p>
    <w:p w:rsidR="0009104C" w:rsidRDefault="0009104C" w:rsidP="00042E16">
      <w:pPr>
        <w:pStyle w:val="ListParagraph"/>
        <w:numPr>
          <w:ilvl w:val="0"/>
          <w:numId w:val="7"/>
        </w:numPr>
      </w:pPr>
      <w:r>
        <w:t>4=overtopped</w:t>
      </w:r>
    </w:p>
    <w:p w:rsidR="00042E16" w:rsidRDefault="00042E16" w:rsidP="00042E16">
      <w:pPr>
        <w:pStyle w:val="ListParagraph"/>
        <w:numPr>
          <w:ilvl w:val="0"/>
          <w:numId w:val="7"/>
        </w:numPr>
      </w:pPr>
      <w:r>
        <w:t xml:space="preserve"> 5=</w:t>
      </w:r>
      <w:proofErr w:type="gramStart"/>
      <w:r>
        <w:t>vete</w:t>
      </w:r>
      <w:r w:rsidR="001F7F16">
        <w:t>ran</w:t>
      </w:r>
      <w:r>
        <w:t xml:space="preserve">  (</w:t>
      </w:r>
      <w:proofErr w:type="gramEnd"/>
      <w:r>
        <w:t>only in the 6</w:t>
      </w:r>
      <w:r w:rsidRPr="0009104C">
        <w:rPr>
          <w:vertAlign w:val="superscript"/>
        </w:rPr>
        <w:t>th</w:t>
      </w:r>
      <w:r>
        <w:t xml:space="preserve"> census year, year of 1991).</w:t>
      </w:r>
    </w:p>
    <w:p w:rsidR="0009104C" w:rsidRDefault="0009104C" w:rsidP="00042E16">
      <w:pPr>
        <w:pStyle w:val="ListParagraph"/>
        <w:numPr>
          <w:ilvl w:val="0"/>
          <w:numId w:val="7"/>
        </w:numPr>
      </w:pPr>
      <w:r w:rsidRPr="0009104C">
        <w:rPr>
          <w:color w:val="FF0000"/>
        </w:rPr>
        <w:t>6=understory in hard copy documents?</w:t>
      </w:r>
      <w:r w:rsidR="001F7F16">
        <w:rPr>
          <w:color w:val="FF0000"/>
        </w:rPr>
        <w:t xml:space="preserve"> Not found in the data?</w:t>
      </w:r>
    </w:p>
    <w:p w:rsidR="00425D47" w:rsidRDefault="00042E16" w:rsidP="00425D47">
      <w:pPr>
        <w:spacing w:after="0"/>
      </w:pPr>
      <w:r w:rsidRPr="00400CBF">
        <w:rPr>
          <w:b/>
        </w:rPr>
        <w:lastRenderedPageBreak/>
        <w:t>TREECLS0-TREECLS7</w:t>
      </w:r>
      <w:r>
        <w:t xml:space="preserve">: </w:t>
      </w:r>
    </w:p>
    <w:p w:rsidR="00425D47" w:rsidRDefault="00425D47" w:rsidP="00425D47">
      <w:pPr>
        <w:pStyle w:val="ListParagraph"/>
        <w:numPr>
          <w:ilvl w:val="0"/>
          <w:numId w:val="3"/>
        </w:numPr>
      </w:pPr>
      <w:r>
        <w:t>1=residual.</w:t>
      </w:r>
      <w:r w:rsidR="00042E16">
        <w:t xml:space="preserve"> </w:t>
      </w:r>
    </w:p>
    <w:p w:rsidR="00425D47" w:rsidRDefault="00042E16" w:rsidP="00425D47">
      <w:pPr>
        <w:pStyle w:val="ListParagraph"/>
        <w:numPr>
          <w:ilvl w:val="0"/>
          <w:numId w:val="3"/>
        </w:numPr>
      </w:pPr>
      <w:r>
        <w:t>2=suspect</w:t>
      </w:r>
      <w:r w:rsidR="00425D47">
        <w:t>.</w:t>
      </w:r>
      <w:r>
        <w:t xml:space="preserve">  </w:t>
      </w:r>
    </w:p>
    <w:p w:rsidR="00425D47" w:rsidRDefault="00425D47" w:rsidP="00425D47">
      <w:pPr>
        <w:pStyle w:val="ListParagraph"/>
        <w:numPr>
          <w:ilvl w:val="0"/>
          <w:numId w:val="3"/>
        </w:numPr>
      </w:pPr>
      <w:r>
        <w:t>3=dead potential</w:t>
      </w:r>
    </w:p>
    <w:p w:rsidR="00425D47" w:rsidRDefault="00425D47" w:rsidP="00425D47">
      <w:pPr>
        <w:pStyle w:val="ListParagraph"/>
        <w:numPr>
          <w:ilvl w:val="0"/>
          <w:numId w:val="3"/>
        </w:numPr>
      </w:pPr>
      <w:r>
        <w:t>4=dead useless</w:t>
      </w:r>
    </w:p>
    <w:p w:rsidR="00425D47" w:rsidRDefault="00425D47" w:rsidP="00425D47">
      <w:pPr>
        <w:pStyle w:val="ListParagraph"/>
        <w:numPr>
          <w:ilvl w:val="0"/>
          <w:numId w:val="3"/>
        </w:numPr>
      </w:pPr>
      <w:r>
        <w:t xml:space="preserve">5: </w:t>
      </w:r>
      <w:r w:rsidR="00042E16">
        <w:t xml:space="preserve">veteran </w:t>
      </w:r>
      <w:r>
        <w:t xml:space="preserve">or wolf </w:t>
      </w:r>
      <w:r w:rsidR="00042E16">
        <w:t>tree (trees in distinctly older age class than the main stand being sampled</w:t>
      </w:r>
      <w:r>
        <w:t>)</w:t>
      </w:r>
      <w:r w:rsidR="00042E16">
        <w:t>.</w:t>
      </w:r>
    </w:p>
    <w:p w:rsidR="00042E16" w:rsidRDefault="00425D47" w:rsidP="00425D47">
      <w:pPr>
        <w:pStyle w:val="ListParagraph"/>
        <w:numPr>
          <w:ilvl w:val="0"/>
          <w:numId w:val="3"/>
        </w:numPr>
      </w:pPr>
      <w:r>
        <w:t>6=cut down. A tree that has been cut since the last measurement.</w:t>
      </w:r>
    </w:p>
    <w:p w:rsidR="00042E16" w:rsidRDefault="00042E16" w:rsidP="008906BD">
      <w:pPr>
        <w:spacing w:after="0"/>
      </w:pPr>
      <w:r w:rsidRPr="00400CBF">
        <w:rPr>
          <w:b/>
        </w:rPr>
        <w:t>SCARBOT0-SCARBOT7</w:t>
      </w:r>
      <w:r w:rsidR="009079CC">
        <w:rPr>
          <w:b/>
        </w:rPr>
        <w:t>/</w:t>
      </w:r>
      <w:r w:rsidRPr="00400CBF">
        <w:rPr>
          <w:b/>
        </w:rPr>
        <w:t>SCARMID0-SCARMID7</w:t>
      </w:r>
      <w:r w:rsidR="009079CC">
        <w:rPr>
          <w:b/>
        </w:rPr>
        <w:t>/</w:t>
      </w:r>
      <w:r w:rsidRPr="00400CBF">
        <w:rPr>
          <w:b/>
        </w:rPr>
        <w:t>SCARTOP0-SCARTOP7</w:t>
      </w:r>
      <w:r w:rsidR="009079CC">
        <w:rPr>
          <w:b/>
        </w:rPr>
        <w:t xml:space="preserve">: </w:t>
      </w:r>
      <w:r w:rsidR="008906BD">
        <w:t xml:space="preserve">scar classification at the base (below breast height at 1.3 m); mid (between breast height and half the total tree height), and top (between half the total tree </w:t>
      </w:r>
      <w:r w:rsidR="00C42012">
        <w:t xml:space="preserve">height and the top of the tree) </w:t>
      </w:r>
      <w:r w:rsidR="00501D5E">
        <w:t xml:space="preserve">collected </w:t>
      </w:r>
      <w:r w:rsidR="00C42012">
        <w:t>at plot establishment, 0</w:t>
      </w:r>
      <w:r w:rsidR="00C42012" w:rsidRPr="00C42012">
        <w:rPr>
          <w:vertAlign w:val="superscript"/>
        </w:rPr>
        <w:t>th</w:t>
      </w:r>
      <w:r w:rsidR="00C42012">
        <w:t>, 3</w:t>
      </w:r>
      <w:r w:rsidR="00C42012" w:rsidRPr="00C42012">
        <w:rPr>
          <w:vertAlign w:val="superscript"/>
        </w:rPr>
        <w:t>rd</w:t>
      </w:r>
      <w:r w:rsidR="00C42012">
        <w:t>, 6</w:t>
      </w:r>
      <w:r w:rsidR="00C42012" w:rsidRPr="00C42012">
        <w:rPr>
          <w:vertAlign w:val="superscript"/>
        </w:rPr>
        <w:t>th</w:t>
      </w:r>
      <w:r w:rsidR="00C42012">
        <w:t>, 9</w:t>
      </w:r>
      <w:r w:rsidR="00C42012" w:rsidRPr="00C42012">
        <w:rPr>
          <w:vertAlign w:val="superscript"/>
        </w:rPr>
        <w:t>th</w:t>
      </w:r>
      <w:r w:rsidR="00C42012">
        <w:t>, 12</w:t>
      </w:r>
      <w:r w:rsidR="00C42012" w:rsidRPr="00C42012">
        <w:rPr>
          <w:vertAlign w:val="superscript"/>
        </w:rPr>
        <w:t>th</w:t>
      </w:r>
      <w:r w:rsidR="00C42012">
        <w:t>, 18</w:t>
      </w:r>
      <w:r w:rsidR="00C42012" w:rsidRPr="00C42012">
        <w:rPr>
          <w:vertAlign w:val="superscript"/>
        </w:rPr>
        <w:t>th</w:t>
      </w:r>
      <w:r w:rsidR="00C42012">
        <w:t>, and 24</w:t>
      </w:r>
      <w:r w:rsidR="00C42012" w:rsidRPr="00C42012">
        <w:rPr>
          <w:vertAlign w:val="superscript"/>
        </w:rPr>
        <w:t>th</w:t>
      </w:r>
      <w:r w:rsidR="00C42012">
        <w:t xml:space="preserve"> year.</w:t>
      </w:r>
    </w:p>
    <w:p w:rsidR="008906BD" w:rsidRDefault="008906BD" w:rsidP="008906BD">
      <w:pPr>
        <w:pStyle w:val="ListParagraph"/>
        <w:numPr>
          <w:ilvl w:val="0"/>
          <w:numId w:val="4"/>
        </w:numPr>
        <w:spacing w:after="0"/>
      </w:pPr>
      <w:r>
        <w:t>1=single open scar</w:t>
      </w:r>
    </w:p>
    <w:p w:rsidR="008906BD" w:rsidRDefault="008906BD" w:rsidP="008906BD">
      <w:pPr>
        <w:pStyle w:val="ListParagraph"/>
        <w:numPr>
          <w:ilvl w:val="0"/>
          <w:numId w:val="4"/>
        </w:numPr>
        <w:spacing w:after="0"/>
      </w:pPr>
      <w:r>
        <w:t>2=single closed scar</w:t>
      </w:r>
    </w:p>
    <w:p w:rsidR="008906BD" w:rsidRDefault="008906BD" w:rsidP="008906BD">
      <w:pPr>
        <w:pStyle w:val="ListParagraph"/>
        <w:numPr>
          <w:ilvl w:val="0"/>
          <w:numId w:val="4"/>
        </w:numPr>
        <w:spacing w:after="0"/>
      </w:pPr>
      <w:r>
        <w:t>3=single open scar and single closed scar</w:t>
      </w:r>
    </w:p>
    <w:p w:rsidR="008906BD" w:rsidRDefault="008906BD" w:rsidP="008906BD">
      <w:pPr>
        <w:pStyle w:val="ListParagraph"/>
        <w:numPr>
          <w:ilvl w:val="0"/>
          <w:numId w:val="4"/>
        </w:numPr>
        <w:spacing w:after="0"/>
      </w:pPr>
      <w:r>
        <w:t>4=multiple open scars</w:t>
      </w:r>
    </w:p>
    <w:p w:rsidR="008906BD" w:rsidRDefault="008906BD" w:rsidP="008906BD">
      <w:pPr>
        <w:pStyle w:val="ListParagraph"/>
        <w:numPr>
          <w:ilvl w:val="0"/>
          <w:numId w:val="4"/>
        </w:numPr>
        <w:spacing w:after="0"/>
      </w:pPr>
      <w:r>
        <w:t>5=multiple closed scars</w:t>
      </w:r>
    </w:p>
    <w:p w:rsidR="008906BD" w:rsidRDefault="008906BD" w:rsidP="008906BD">
      <w:pPr>
        <w:pStyle w:val="ListParagraph"/>
        <w:numPr>
          <w:ilvl w:val="0"/>
          <w:numId w:val="4"/>
        </w:numPr>
        <w:spacing w:after="0"/>
      </w:pPr>
      <w:r>
        <w:t>6=single closed scar and multiple open scars</w:t>
      </w:r>
    </w:p>
    <w:p w:rsidR="008906BD" w:rsidRDefault="008906BD" w:rsidP="008906BD">
      <w:pPr>
        <w:pStyle w:val="ListParagraph"/>
        <w:numPr>
          <w:ilvl w:val="0"/>
          <w:numId w:val="4"/>
        </w:numPr>
        <w:spacing w:after="0"/>
      </w:pPr>
      <w:r>
        <w:t>7=single open scar and multiple closed scars</w:t>
      </w:r>
    </w:p>
    <w:p w:rsidR="008906BD" w:rsidRDefault="008906BD" w:rsidP="008906BD">
      <w:pPr>
        <w:pStyle w:val="ListParagraph"/>
        <w:numPr>
          <w:ilvl w:val="0"/>
          <w:numId w:val="4"/>
        </w:numPr>
        <w:spacing w:after="0"/>
      </w:pPr>
      <w:r>
        <w:t>8=multiple open scars and multiple closed scars.</w:t>
      </w:r>
    </w:p>
    <w:p w:rsidR="00501D5E" w:rsidRDefault="00042E16" w:rsidP="00501D5E">
      <w:pPr>
        <w:spacing w:after="0"/>
      </w:pPr>
      <w:r w:rsidRPr="00400CBF">
        <w:rPr>
          <w:b/>
        </w:rPr>
        <w:t>CONK0-CONK7</w:t>
      </w:r>
      <w:r w:rsidR="00501D5E">
        <w:rPr>
          <w:b/>
        </w:rPr>
        <w:t>/</w:t>
      </w:r>
      <w:r w:rsidRPr="00400CBF">
        <w:rPr>
          <w:b/>
        </w:rPr>
        <w:t xml:space="preserve">FORKCRK0-FORKCRK7 </w:t>
      </w:r>
      <w:r w:rsidR="00501D5E">
        <w:rPr>
          <w:b/>
        </w:rPr>
        <w:t>/</w:t>
      </w:r>
      <w:r w:rsidRPr="00400CBF">
        <w:rPr>
          <w:b/>
        </w:rPr>
        <w:t>FROST0-FROST7</w:t>
      </w:r>
      <w:r w:rsidR="00501D5E">
        <w:rPr>
          <w:b/>
        </w:rPr>
        <w:t xml:space="preserve">: </w:t>
      </w:r>
      <w:r w:rsidR="00501D5E">
        <w:t>position of conks(fruiting body of a wood destroying fungus), forks and crooks(a fork is the result of two leaders on a tree having grown at the same time, a crook is an old fork beginning to disappear)</w:t>
      </w:r>
      <w:r w:rsidR="00025928">
        <w:t xml:space="preserve">, and frost crack </w:t>
      </w:r>
      <w:r w:rsidR="00501D5E">
        <w:t>collected at plot establishment, 0</w:t>
      </w:r>
      <w:r w:rsidR="00501D5E" w:rsidRPr="00C42012">
        <w:rPr>
          <w:vertAlign w:val="superscript"/>
        </w:rPr>
        <w:t>th</w:t>
      </w:r>
      <w:r w:rsidR="00501D5E">
        <w:t>, 3</w:t>
      </w:r>
      <w:r w:rsidR="00501D5E" w:rsidRPr="00C42012">
        <w:rPr>
          <w:vertAlign w:val="superscript"/>
        </w:rPr>
        <w:t>rd</w:t>
      </w:r>
      <w:r w:rsidR="00501D5E">
        <w:t>, 6</w:t>
      </w:r>
      <w:r w:rsidR="00501D5E" w:rsidRPr="00C42012">
        <w:rPr>
          <w:vertAlign w:val="superscript"/>
        </w:rPr>
        <w:t>th</w:t>
      </w:r>
      <w:r w:rsidR="00501D5E">
        <w:t>, 9</w:t>
      </w:r>
      <w:r w:rsidR="00501D5E" w:rsidRPr="00C42012">
        <w:rPr>
          <w:vertAlign w:val="superscript"/>
        </w:rPr>
        <w:t>th</w:t>
      </w:r>
      <w:r w:rsidR="00501D5E">
        <w:t>, 12</w:t>
      </w:r>
      <w:r w:rsidR="00501D5E" w:rsidRPr="00C42012">
        <w:rPr>
          <w:vertAlign w:val="superscript"/>
        </w:rPr>
        <w:t>th</w:t>
      </w:r>
      <w:r w:rsidR="00501D5E">
        <w:t>, 18</w:t>
      </w:r>
      <w:r w:rsidR="00501D5E" w:rsidRPr="00C42012">
        <w:rPr>
          <w:vertAlign w:val="superscript"/>
        </w:rPr>
        <w:t>th</w:t>
      </w:r>
      <w:r w:rsidR="00501D5E">
        <w:t>, and 24</w:t>
      </w:r>
      <w:r w:rsidR="00501D5E" w:rsidRPr="00C42012">
        <w:rPr>
          <w:vertAlign w:val="superscript"/>
        </w:rPr>
        <w:t>th</w:t>
      </w:r>
      <w:r w:rsidR="00501D5E">
        <w:t xml:space="preserve"> year.</w:t>
      </w:r>
    </w:p>
    <w:p w:rsidR="00042E16" w:rsidRDefault="00501D5E" w:rsidP="00501D5E">
      <w:pPr>
        <w:pStyle w:val="ListParagraph"/>
        <w:numPr>
          <w:ilvl w:val="0"/>
          <w:numId w:val="5"/>
        </w:numPr>
      </w:pPr>
      <w:r>
        <w:t>1=lower third of total tree height</w:t>
      </w:r>
    </w:p>
    <w:p w:rsidR="00501D5E" w:rsidRDefault="00501D5E" w:rsidP="00501D5E">
      <w:pPr>
        <w:pStyle w:val="ListParagraph"/>
        <w:numPr>
          <w:ilvl w:val="0"/>
          <w:numId w:val="5"/>
        </w:numPr>
      </w:pPr>
      <w:r>
        <w:t>2=middle third of total tree height</w:t>
      </w:r>
    </w:p>
    <w:p w:rsidR="00501D5E" w:rsidRDefault="00501D5E" w:rsidP="00501D5E">
      <w:pPr>
        <w:pStyle w:val="ListParagraph"/>
        <w:numPr>
          <w:ilvl w:val="0"/>
          <w:numId w:val="5"/>
        </w:numPr>
      </w:pPr>
      <w:r>
        <w:t>3=upper third of total tree height</w:t>
      </w:r>
    </w:p>
    <w:p w:rsidR="00501D5E" w:rsidRDefault="00501D5E" w:rsidP="00501D5E">
      <w:pPr>
        <w:pStyle w:val="ListParagraph"/>
        <w:numPr>
          <w:ilvl w:val="0"/>
          <w:numId w:val="5"/>
        </w:numPr>
      </w:pPr>
      <w:r>
        <w:t>4=lower and middle thirds of total tree height</w:t>
      </w:r>
    </w:p>
    <w:p w:rsidR="00501D5E" w:rsidRDefault="00501D5E" w:rsidP="00501D5E">
      <w:pPr>
        <w:pStyle w:val="ListParagraph"/>
        <w:numPr>
          <w:ilvl w:val="0"/>
          <w:numId w:val="5"/>
        </w:numPr>
      </w:pPr>
      <w:r>
        <w:t>5=middle and upper thirds of total tree height</w:t>
      </w:r>
    </w:p>
    <w:p w:rsidR="00501D5E" w:rsidRDefault="00501D5E" w:rsidP="00501D5E">
      <w:pPr>
        <w:pStyle w:val="ListParagraph"/>
        <w:numPr>
          <w:ilvl w:val="0"/>
          <w:numId w:val="5"/>
        </w:numPr>
      </w:pPr>
      <w:r>
        <w:t>6=Lower and upper thirds of total tree height</w:t>
      </w:r>
    </w:p>
    <w:p w:rsidR="00501D5E" w:rsidRPr="00501D5E" w:rsidRDefault="00501D5E" w:rsidP="00501D5E">
      <w:pPr>
        <w:pStyle w:val="ListParagraph"/>
        <w:numPr>
          <w:ilvl w:val="0"/>
          <w:numId w:val="5"/>
        </w:numPr>
      </w:pPr>
      <w:r>
        <w:t>7=all three sections of the tree</w:t>
      </w:r>
    </w:p>
    <w:p w:rsidR="00042E16" w:rsidRDefault="00042E16" w:rsidP="006846AD">
      <w:pPr>
        <w:spacing w:after="0"/>
      </w:pPr>
      <w:r w:rsidRPr="00400CBF">
        <w:rPr>
          <w:b/>
        </w:rPr>
        <w:t>MISTLTO0-MISTLTO7</w:t>
      </w:r>
      <w:r w:rsidR="005004CC">
        <w:rPr>
          <w:b/>
        </w:rPr>
        <w:t xml:space="preserve">: </w:t>
      </w:r>
      <w:r w:rsidR="006846AD">
        <w:t>at plot establishment, 0</w:t>
      </w:r>
      <w:r w:rsidR="006846AD" w:rsidRPr="00C42012">
        <w:rPr>
          <w:vertAlign w:val="superscript"/>
        </w:rPr>
        <w:t>th</w:t>
      </w:r>
      <w:r w:rsidR="006846AD">
        <w:t>, 3</w:t>
      </w:r>
      <w:r w:rsidR="006846AD" w:rsidRPr="00C42012">
        <w:rPr>
          <w:vertAlign w:val="superscript"/>
        </w:rPr>
        <w:t>rd</w:t>
      </w:r>
      <w:r w:rsidR="006846AD">
        <w:t>, 6</w:t>
      </w:r>
      <w:r w:rsidR="006846AD" w:rsidRPr="00C42012">
        <w:rPr>
          <w:vertAlign w:val="superscript"/>
        </w:rPr>
        <w:t>th</w:t>
      </w:r>
      <w:r w:rsidR="006846AD">
        <w:t>, 9</w:t>
      </w:r>
      <w:r w:rsidR="006846AD" w:rsidRPr="00C42012">
        <w:rPr>
          <w:vertAlign w:val="superscript"/>
        </w:rPr>
        <w:t>th</w:t>
      </w:r>
      <w:r w:rsidR="006846AD">
        <w:t>, 12</w:t>
      </w:r>
      <w:r w:rsidR="006846AD" w:rsidRPr="00C42012">
        <w:rPr>
          <w:vertAlign w:val="superscript"/>
        </w:rPr>
        <w:t>th</w:t>
      </w:r>
      <w:r w:rsidR="006846AD">
        <w:t>, 18</w:t>
      </w:r>
      <w:r w:rsidR="006846AD" w:rsidRPr="00C42012">
        <w:rPr>
          <w:vertAlign w:val="superscript"/>
        </w:rPr>
        <w:t>th</w:t>
      </w:r>
      <w:r w:rsidR="006846AD">
        <w:t>, and 24</w:t>
      </w:r>
      <w:r w:rsidR="006846AD" w:rsidRPr="00C42012">
        <w:rPr>
          <w:vertAlign w:val="superscript"/>
        </w:rPr>
        <w:t>th</w:t>
      </w:r>
      <w:r w:rsidR="006846AD">
        <w:t xml:space="preserve"> year, degree of crown infection was estimated for each third of the tree height by the number of branches within that third which have been infected by mistletoe as follows, and the codes were added up to get a total rating for the tree. </w:t>
      </w:r>
    </w:p>
    <w:p w:rsidR="006846AD" w:rsidRDefault="006846AD" w:rsidP="006846AD">
      <w:pPr>
        <w:pStyle w:val="ListParagraph"/>
        <w:numPr>
          <w:ilvl w:val="0"/>
          <w:numId w:val="6"/>
        </w:numPr>
      </w:pPr>
      <w:r>
        <w:t>0= no infection</w:t>
      </w:r>
    </w:p>
    <w:p w:rsidR="006846AD" w:rsidRDefault="006846AD" w:rsidP="006846AD">
      <w:pPr>
        <w:pStyle w:val="ListParagraph"/>
        <w:numPr>
          <w:ilvl w:val="0"/>
          <w:numId w:val="6"/>
        </w:numPr>
      </w:pPr>
      <w:r>
        <w:t>1= less than 50%</w:t>
      </w:r>
    </w:p>
    <w:p w:rsidR="006846AD" w:rsidRPr="006846AD" w:rsidRDefault="006846AD" w:rsidP="006846AD">
      <w:pPr>
        <w:pStyle w:val="ListParagraph"/>
        <w:numPr>
          <w:ilvl w:val="0"/>
          <w:numId w:val="6"/>
        </w:numPr>
      </w:pPr>
      <w:r>
        <w:t>2: more than 50%.</w:t>
      </w:r>
    </w:p>
    <w:p w:rsidR="00042E16" w:rsidRPr="00400CBF" w:rsidRDefault="00042E16" w:rsidP="00042E16">
      <w:pPr>
        <w:rPr>
          <w:b/>
        </w:rPr>
      </w:pPr>
      <w:r w:rsidRPr="00400CBF">
        <w:rPr>
          <w:b/>
        </w:rPr>
        <w:t>ROOTROT0-</w:t>
      </w:r>
      <w:r w:rsidR="007C2ED0">
        <w:rPr>
          <w:b/>
        </w:rPr>
        <w:t>ROOTROT2, ROOTROT6</w:t>
      </w:r>
      <w:r w:rsidR="003630C4">
        <w:rPr>
          <w:b/>
        </w:rPr>
        <w:t xml:space="preserve">: </w:t>
      </w:r>
    </w:p>
    <w:p w:rsidR="008D28F3" w:rsidRPr="00400CBF" w:rsidRDefault="00042E16" w:rsidP="008D28F3">
      <w:pPr>
        <w:rPr>
          <w:b/>
        </w:rPr>
      </w:pPr>
      <w:r w:rsidRPr="00400CBF">
        <w:rPr>
          <w:b/>
        </w:rPr>
        <w:lastRenderedPageBreak/>
        <w:t>DEADTOP0-DEADTOP7</w:t>
      </w:r>
      <w:r w:rsidR="008D28F3">
        <w:rPr>
          <w:b/>
        </w:rPr>
        <w:t xml:space="preserve">: </w:t>
      </w:r>
      <w:r w:rsidR="008D28F3" w:rsidRPr="008D28F3">
        <w:t>a 3 was recorded if there is a dead top at</w:t>
      </w:r>
      <w:r w:rsidR="008D28F3">
        <w:t xml:space="preserve"> plot establishment, 0</w:t>
      </w:r>
      <w:r w:rsidR="008D28F3" w:rsidRPr="00C42012">
        <w:rPr>
          <w:vertAlign w:val="superscript"/>
        </w:rPr>
        <w:t>th</w:t>
      </w:r>
      <w:r w:rsidR="008D28F3">
        <w:t>, 3</w:t>
      </w:r>
      <w:r w:rsidR="008D28F3" w:rsidRPr="00C42012">
        <w:rPr>
          <w:vertAlign w:val="superscript"/>
        </w:rPr>
        <w:t>rd</w:t>
      </w:r>
      <w:r w:rsidR="008D28F3">
        <w:t>, 6</w:t>
      </w:r>
      <w:r w:rsidR="008D28F3" w:rsidRPr="00C42012">
        <w:rPr>
          <w:vertAlign w:val="superscript"/>
        </w:rPr>
        <w:t>th</w:t>
      </w:r>
      <w:r w:rsidR="008D28F3">
        <w:t>, 9</w:t>
      </w:r>
      <w:r w:rsidR="008D28F3" w:rsidRPr="00C42012">
        <w:rPr>
          <w:vertAlign w:val="superscript"/>
        </w:rPr>
        <w:t>th</w:t>
      </w:r>
      <w:r w:rsidR="008D28F3">
        <w:t>, 12</w:t>
      </w:r>
      <w:r w:rsidR="008D28F3" w:rsidRPr="00C42012">
        <w:rPr>
          <w:vertAlign w:val="superscript"/>
        </w:rPr>
        <w:t>th</w:t>
      </w:r>
      <w:r w:rsidR="008D28F3">
        <w:t>, 18</w:t>
      </w:r>
      <w:r w:rsidR="008D28F3" w:rsidRPr="00C42012">
        <w:rPr>
          <w:vertAlign w:val="superscript"/>
        </w:rPr>
        <w:t>th</w:t>
      </w:r>
      <w:r w:rsidR="008D28F3">
        <w:t>, and 24</w:t>
      </w:r>
      <w:r w:rsidR="008D28F3" w:rsidRPr="00C42012">
        <w:rPr>
          <w:vertAlign w:val="superscript"/>
        </w:rPr>
        <w:t>th</w:t>
      </w:r>
      <w:r w:rsidR="008D28F3">
        <w:t xml:space="preserve"> year</w:t>
      </w:r>
    </w:p>
    <w:p w:rsidR="000A3F83" w:rsidRPr="00400CBF" w:rsidRDefault="00042E16" w:rsidP="000A3F83">
      <w:pPr>
        <w:rPr>
          <w:b/>
        </w:rPr>
      </w:pPr>
      <w:r w:rsidRPr="00400CBF">
        <w:rPr>
          <w:b/>
        </w:rPr>
        <w:t>BRKNTOP0-BRKNTOP7</w:t>
      </w:r>
      <w:r w:rsidR="008D28F3">
        <w:rPr>
          <w:b/>
        </w:rPr>
        <w:t>:</w:t>
      </w:r>
      <w:r w:rsidR="000A3F83">
        <w:rPr>
          <w:b/>
        </w:rPr>
        <w:t xml:space="preserve"> </w:t>
      </w:r>
      <w:r w:rsidR="000A3F83" w:rsidRPr="008D28F3">
        <w:t>a 3</w:t>
      </w:r>
      <w:r w:rsidR="000A3F83">
        <w:t xml:space="preserve"> was recorded if there is a broken</w:t>
      </w:r>
      <w:r w:rsidR="000A3F83" w:rsidRPr="008D28F3">
        <w:t xml:space="preserve"> top at</w:t>
      </w:r>
      <w:r w:rsidR="000A3F83">
        <w:t xml:space="preserve"> plot establishment, 0</w:t>
      </w:r>
      <w:r w:rsidR="000A3F83" w:rsidRPr="00C42012">
        <w:rPr>
          <w:vertAlign w:val="superscript"/>
        </w:rPr>
        <w:t>th</w:t>
      </w:r>
      <w:r w:rsidR="000A3F83">
        <w:t>, 3</w:t>
      </w:r>
      <w:r w:rsidR="000A3F83" w:rsidRPr="00C42012">
        <w:rPr>
          <w:vertAlign w:val="superscript"/>
        </w:rPr>
        <w:t>rd</w:t>
      </w:r>
      <w:r w:rsidR="000A3F83">
        <w:t>, 6</w:t>
      </w:r>
      <w:r w:rsidR="000A3F83" w:rsidRPr="00C42012">
        <w:rPr>
          <w:vertAlign w:val="superscript"/>
        </w:rPr>
        <w:t>th</w:t>
      </w:r>
      <w:r w:rsidR="000A3F83">
        <w:t>, 9</w:t>
      </w:r>
      <w:r w:rsidR="000A3F83" w:rsidRPr="00C42012">
        <w:rPr>
          <w:vertAlign w:val="superscript"/>
        </w:rPr>
        <w:t>th</w:t>
      </w:r>
      <w:r w:rsidR="000A3F83">
        <w:t>, 12</w:t>
      </w:r>
      <w:r w:rsidR="000A3F83" w:rsidRPr="00C42012">
        <w:rPr>
          <w:vertAlign w:val="superscript"/>
        </w:rPr>
        <w:t>th</w:t>
      </w:r>
      <w:r w:rsidR="000A3F83">
        <w:t>, 18</w:t>
      </w:r>
      <w:r w:rsidR="000A3F83" w:rsidRPr="00C42012">
        <w:rPr>
          <w:vertAlign w:val="superscript"/>
        </w:rPr>
        <w:t>th</w:t>
      </w:r>
      <w:r w:rsidR="000A3F83">
        <w:t>, and 24</w:t>
      </w:r>
      <w:r w:rsidR="000A3F83" w:rsidRPr="00C42012">
        <w:rPr>
          <w:vertAlign w:val="superscript"/>
        </w:rPr>
        <w:t>th</w:t>
      </w:r>
      <w:r w:rsidR="000A3F83">
        <w:t xml:space="preserve"> year</w:t>
      </w:r>
    </w:p>
    <w:p w:rsidR="00042E16" w:rsidRPr="00400CBF" w:rsidRDefault="00042E16" w:rsidP="00042E16">
      <w:pPr>
        <w:rPr>
          <w:b/>
        </w:rPr>
      </w:pPr>
      <w:r w:rsidRPr="00400CBF">
        <w:rPr>
          <w:b/>
        </w:rPr>
        <w:t>HTBRK0-HTBRK7</w:t>
      </w:r>
      <w:r w:rsidR="008D28F3">
        <w:rPr>
          <w:b/>
        </w:rPr>
        <w:t xml:space="preserve">: </w:t>
      </w:r>
      <w:r w:rsidR="008D28F3" w:rsidRPr="008D28F3">
        <w:t>height to the broken top recorded</w:t>
      </w:r>
      <w:r w:rsidR="008D28F3">
        <w:rPr>
          <w:b/>
        </w:rPr>
        <w:t xml:space="preserve"> </w:t>
      </w:r>
      <w:r w:rsidR="008D28F3">
        <w:t>at plot establishment, 0</w:t>
      </w:r>
      <w:r w:rsidR="008D28F3" w:rsidRPr="00C42012">
        <w:rPr>
          <w:vertAlign w:val="superscript"/>
        </w:rPr>
        <w:t>th</w:t>
      </w:r>
      <w:r w:rsidR="008D28F3">
        <w:t>, 3</w:t>
      </w:r>
      <w:r w:rsidR="008D28F3" w:rsidRPr="00C42012">
        <w:rPr>
          <w:vertAlign w:val="superscript"/>
        </w:rPr>
        <w:t>rd</w:t>
      </w:r>
      <w:r w:rsidR="008D28F3">
        <w:t>, 6</w:t>
      </w:r>
      <w:r w:rsidR="008D28F3" w:rsidRPr="00C42012">
        <w:rPr>
          <w:vertAlign w:val="superscript"/>
        </w:rPr>
        <w:t>th</w:t>
      </w:r>
      <w:r w:rsidR="008D28F3">
        <w:t>, 9</w:t>
      </w:r>
      <w:r w:rsidR="008D28F3" w:rsidRPr="00C42012">
        <w:rPr>
          <w:vertAlign w:val="superscript"/>
        </w:rPr>
        <w:t>th</w:t>
      </w:r>
      <w:r w:rsidR="008D28F3">
        <w:t>, 12</w:t>
      </w:r>
      <w:r w:rsidR="008D28F3" w:rsidRPr="00C42012">
        <w:rPr>
          <w:vertAlign w:val="superscript"/>
        </w:rPr>
        <w:t>th</w:t>
      </w:r>
      <w:r w:rsidR="008D28F3">
        <w:t>, 18</w:t>
      </w:r>
      <w:r w:rsidR="008D28F3" w:rsidRPr="00C42012">
        <w:rPr>
          <w:vertAlign w:val="superscript"/>
        </w:rPr>
        <w:t>th</w:t>
      </w:r>
      <w:r w:rsidR="008D28F3">
        <w:t>, and 24</w:t>
      </w:r>
      <w:r w:rsidR="008D28F3" w:rsidRPr="00C42012">
        <w:rPr>
          <w:vertAlign w:val="superscript"/>
        </w:rPr>
        <w:t>th</w:t>
      </w:r>
      <w:r w:rsidR="008D28F3">
        <w:t xml:space="preserve"> year</w:t>
      </w:r>
    </w:p>
    <w:p w:rsidR="00042E16" w:rsidRPr="00887EB2" w:rsidRDefault="00042E16" w:rsidP="004B51F6">
      <w:pPr>
        <w:spacing w:after="0"/>
      </w:pPr>
      <w:r w:rsidRPr="00400CBF">
        <w:rPr>
          <w:b/>
        </w:rPr>
        <w:t>LEANSWP0-LEANSWP7</w:t>
      </w:r>
      <w:r w:rsidR="0009104C">
        <w:rPr>
          <w:b/>
        </w:rPr>
        <w:t>:</w:t>
      </w:r>
      <w:r w:rsidR="00887EB2">
        <w:rPr>
          <w:b/>
        </w:rPr>
        <w:t xml:space="preserve"> </w:t>
      </w:r>
      <w:r w:rsidR="00887EB2" w:rsidRPr="00887EB2">
        <w:t>a lean is measured as the deviation of the stem of a tree from the vertical, and ta sweep is a gradual bending in the stem of a tree and is measured as the deviation between an imaginary line drawn from the point of germination through the center of the seep and another imaginary line drawn from the point of germination to the top of the tree</w:t>
      </w:r>
    </w:p>
    <w:p w:rsidR="004B51F6" w:rsidRPr="004B51F6" w:rsidRDefault="004B51F6" w:rsidP="004B51F6">
      <w:pPr>
        <w:pStyle w:val="ListParagraph"/>
        <w:numPr>
          <w:ilvl w:val="0"/>
          <w:numId w:val="8"/>
        </w:numPr>
        <w:spacing w:after="0"/>
        <w:rPr>
          <w:b/>
        </w:rPr>
      </w:pPr>
      <w:r>
        <w:t>1=minor. The deviation is between 5 and 10 degrees</w:t>
      </w:r>
    </w:p>
    <w:p w:rsidR="004B51F6" w:rsidRPr="004B51F6" w:rsidRDefault="004B51F6" w:rsidP="004B51F6">
      <w:pPr>
        <w:pStyle w:val="ListParagraph"/>
        <w:numPr>
          <w:ilvl w:val="0"/>
          <w:numId w:val="8"/>
        </w:numPr>
        <w:spacing w:after="0"/>
        <w:rPr>
          <w:b/>
        </w:rPr>
      </w:pPr>
      <w:r>
        <w:t>2=major. The deviation is greater than 10 degrees.</w:t>
      </w:r>
    </w:p>
    <w:p w:rsidR="00042E16" w:rsidRPr="00400CBF" w:rsidRDefault="00042E16" w:rsidP="00042E16">
      <w:pPr>
        <w:rPr>
          <w:b/>
        </w:rPr>
      </w:pPr>
      <w:r w:rsidRPr="00400CBF">
        <w:rPr>
          <w:b/>
        </w:rPr>
        <w:t>CRNBS0-CRNBS7</w:t>
      </w:r>
    </w:p>
    <w:p w:rsidR="00042E16" w:rsidRPr="00400CBF" w:rsidRDefault="00042E16" w:rsidP="00042E16">
      <w:pPr>
        <w:rPr>
          <w:b/>
        </w:rPr>
      </w:pPr>
      <w:r w:rsidRPr="00400CBF">
        <w:rPr>
          <w:b/>
        </w:rPr>
        <w:t>CRNWD1-3</w:t>
      </w:r>
    </w:p>
    <w:p w:rsidR="00042E16" w:rsidRPr="00400CBF" w:rsidRDefault="00042E16" w:rsidP="00042E16">
      <w:pPr>
        <w:rPr>
          <w:b/>
        </w:rPr>
      </w:pPr>
      <w:r w:rsidRPr="00400CBF">
        <w:rPr>
          <w:b/>
        </w:rPr>
        <w:t>CRNWDMD1</w:t>
      </w:r>
      <w:proofErr w:type="gramStart"/>
      <w:r w:rsidRPr="00400CBF">
        <w:rPr>
          <w:b/>
        </w:rPr>
        <w:t>,2</w:t>
      </w:r>
      <w:proofErr w:type="gramEnd"/>
    </w:p>
    <w:p w:rsidR="00042E16" w:rsidRPr="00400CBF" w:rsidRDefault="00042E16" w:rsidP="00042E16">
      <w:pPr>
        <w:rPr>
          <w:b/>
        </w:rPr>
      </w:pPr>
      <w:r w:rsidRPr="00400CBF">
        <w:rPr>
          <w:b/>
        </w:rPr>
        <w:t>CRNHT1-3</w:t>
      </w:r>
    </w:p>
    <w:p w:rsidR="00042E16" w:rsidRPr="00400CBF" w:rsidRDefault="00042E16" w:rsidP="00042E16">
      <w:pPr>
        <w:rPr>
          <w:b/>
        </w:rPr>
      </w:pPr>
      <w:r w:rsidRPr="00400CBF">
        <w:rPr>
          <w:b/>
        </w:rPr>
        <w:t>CRNHTMD1, 2</w:t>
      </w:r>
    </w:p>
    <w:p w:rsidR="00042E16" w:rsidRPr="00400CBF" w:rsidRDefault="00042E16" w:rsidP="00042E16">
      <w:pPr>
        <w:rPr>
          <w:b/>
        </w:rPr>
      </w:pPr>
      <w:r w:rsidRPr="00400CBF">
        <w:rPr>
          <w:b/>
        </w:rPr>
        <w:t>AGEBOR6</w:t>
      </w:r>
    </w:p>
    <w:p w:rsidR="00042E16" w:rsidRPr="00400CBF" w:rsidRDefault="00042E16" w:rsidP="00042E16">
      <w:pPr>
        <w:rPr>
          <w:b/>
        </w:rPr>
      </w:pPr>
      <w:r w:rsidRPr="00400CBF">
        <w:rPr>
          <w:b/>
        </w:rPr>
        <w:t>HTBOR6</w:t>
      </w:r>
    </w:p>
    <w:p w:rsidR="00042E16" w:rsidRPr="00400CBF" w:rsidRDefault="00042E16" w:rsidP="00042E16">
      <w:pPr>
        <w:rPr>
          <w:b/>
        </w:rPr>
      </w:pPr>
      <w:r w:rsidRPr="00400CBF">
        <w:rPr>
          <w:b/>
        </w:rPr>
        <w:t>BORYEAR6</w:t>
      </w:r>
    </w:p>
    <w:p w:rsidR="00042E16" w:rsidRPr="00400CBF" w:rsidRDefault="00042E16" w:rsidP="00042E16">
      <w:pPr>
        <w:rPr>
          <w:b/>
        </w:rPr>
      </w:pPr>
      <w:r w:rsidRPr="00400CBF">
        <w:rPr>
          <w:b/>
        </w:rPr>
        <w:t>HTCRWN97</w:t>
      </w:r>
    </w:p>
    <w:p w:rsidR="00042E16" w:rsidRPr="00400CBF" w:rsidRDefault="00042E16" w:rsidP="00042E16">
      <w:pPr>
        <w:rPr>
          <w:b/>
        </w:rPr>
      </w:pPr>
      <w:r w:rsidRPr="00400CBF">
        <w:rPr>
          <w:b/>
        </w:rPr>
        <w:t>DECAY97</w:t>
      </w:r>
    </w:p>
    <w:p w:rsidR="00042E16" w:rsidRPr="00400CBF" w:rsidRDefault="00042E16" w:rsidP="00042E16">
      <w:pPr>
        <w:rPr>
          <w:b/>
        </w:rPr>
      </w:pPr>
      <w:r w:rsidRPr="00400CBF">
        <w:rPr>
          <w:b/>
        </w:rPr>
        <w:t>INJRY97</w:t>
      </w:r>
    </w:p>
    <w:p w:rsidR="00042E16" w:rsidRPr="00400CBF" w:rsidRDefault="00042E16" w:rsidP="00042E16">
      <w:pPr>
        <w:rPr>
          <w:b/>
        </w:rPr>
      </w:pPr>
      <w:r w:rsidRPr="00400CBF">
        <w:rPr>
          <w:b/>
        </w:rPr>
        <w:t>BOL97</w:t>
      </w:r>
    </w:p>
    <w:p w:rsidR="00042E16" w:rsidRPr="00400CBF" w:rsidRDefault="00042E16" w:rsidP="00042E16">
      <w:pPr>
        <w:rPr>
          <w:b/>
        </w:rPr>
      </w:pPr>
      <w:r w:rsidRPr="00400CBF">
        <w:rPr>
          <w:b/>
        </w:rPr>
        <w:t>LEAN97</w:t>
      </w:r>
    </w:p>
    <w:p w:rsidR="00042E16" w:rsidRPr="00400CBF" w:rsidRDefault="00042E16" w:rsidP="00042E16">
      <w:pPr>
        <w:rPr>
          <w:b/>
        </w:rPr>
      </w:pPr>
      <w:r w:rsidRPr="00400CBF">
        <w:rPr>
          <w:b/>
        </w:rPr>
        <w:t>HCOND97</w:t>
      </w:r>
    </w:p>
    <w:p w:rsidR="00042E16" w:rsidRPr="00400CBF" w:rsidRDefault="00042E16" w:rsidP="00042E16">
      <w:pPr>
        <w:rPr>
          <w:b/>
        </w:rPr>
      </w:pPr>
      <w:r w:rsidRPr="00400CBF">
        <w:rPr>
          <w:b/>
        </w:rPr>
        <w:t>ZWL97</w:t>
      </w:r>
    </w:p>
    <w:p w:rsidR="00042E16" w:rsidRPr="00400CBF" w:rsidRDefault="00042E16" w:rsidP="00042E16">
      <w:pPr>
        <w:rPr>
          <w:b/>
        </w:rPr>
      </w:pPr>
      <w:r w:rsidRPr="00400CBF">
        <w:rPr>
          <w:b/>
        </w:rPr>
        <w:t>JOIN97</w:t>
      </w:r>
    </w:p>
    <w:p w:rsidR="00042E16" w:rsidRPr="00400CBF" w:rsidRDefault="00042E16" w:rsidP="00042E16">
      <w:pPr>
        <w:rPr>
          <w:b/>
        </w:rPr>
      </w:pPr>
      <w:r w:rsidRPr="00400CBF">
        <w:rPr>
          <w:b/>
        </w:rPr>
        <w:t>NOTE97</w:t>
      </w:r>
    </w:p>
    <w:p w:rsidR="00042E16" w:rsidRPr="00400CBF" w:rsidRDefault="00042E16" w:rsidP="00042E16">
      <w:pPr>
        <w:rPr>
          <w:b/>
        </w:rPr>
      </w:pPr>
    </w:p>
    <w:p w:rsidR="00042E16" w:rsidRPr="00400CBF" w:rsidRDefault="00042E16" w:rsidP="00042E16">
      <w:pPr>
        <w:rPr>
          <w:b/>
        </w:rPr>
      </w:pPr>
      <w:r w:rsidRPr="00400CBF">
        <w:rPr>
          <w:b/>
        </w:rPr>
        <w:t>LEADER97</w:t>
      </w:r>
    </w:p>
    <w:p w:rsidR="00042E16" w:rsidRPr="00400CBF" w:rsidRDefault="00042E16" w:rsidP="00042E16">
      <w:pPr>
        <w:rPr>
          <w:b/>
        </w:rPr>
      </w:pPr>
      <w:r w:rsidRPr="00400CBF">
        <w:rPr>
          <w:b/>
        </w:rPr>
        <w:t>BOLE97</w:t>
      </w:r>
    </w:p>
    <w:p w:rsidR="00042E16" w:rsidRPr="00400CBF" w:rsidRDefault="00042E16" w:rsidP="00042E16">
      <w:pPr>
        <w:rPr>
          <w:b/>
        </w:rPr>
      </w:pPr>
      <w:r w:rsidRPr="00400CBF">
        <w:rPr>
          <w:b/>
        </w:rPr>
        <w:t>DECAYY97</w:t>
      </w:r>
    </w:p>
    <w:p w:rsidR="00042E16" w:rsidRPr="00400CBF" w:rsidRDefault="00042E16" w:rsidP="00042E16">
      <w:pPr>
        <w:rPr>
          <w:b/>
        </w:rPr>
      </w:pPr>
      <w:r w:rsidRPr="00400CBF">
        <w:rPr>
          <w:b/>
        </w:rPr>
        <w:t>STATWARN</w:t>
      </w:r>
    </w:p>
    <w:p w:rsidR="00042E16" w:rsidRPr="00400CBF" w:rsidRDefault="00042E16" w:rsidP="00042E16">
      <w:pPr>
        <w:rPr>
          <w:b/>
        </w:rPr>
      </w:pPr>
      <w:r w:rsidRPr="00400CBF">
        <w:rPr>
          <w:b/>
        </w:rPr>
        <w:t>DEACYFLG</w:t>
      </w:r>
    </w:p>
    <w:p w:rsidR="00042E16" w:rsidRPr="00400CBF" w:rsidRDefault="00042E16" w:rsidP="00042E16">
      <w:pPr>
        <w:rPr>
          <w:b/>
        </w:rPr>
      </w:pPr>
      <w:r w:rsidRPr="00400CBF">
        <w:rPr>
          <w:b/>
        </w:rPr>
        <w:t>FOC1-FOC10</w:t>
      </w:r>
    </w:p>
    <w:p w:rsidR="00042E16" w:rsidRPr="00400CBF" w:rsidRDefault="00042E16" w:rsidP="00042E16">
      <w:pPr>
        <w:rPr>
          <w:b/>
        </w:rPr>
      </w:pPr>
      <w:r w:rsidRPr="00400CBF">
        <w:rPr>
          <w:b/>
        </w:rPr>
        <w:t xml:space="preserve">CUT: </w:t>
      </w:r>
    </w:p>
    <w:p w:rsidR="00042E16" w:rsidRPr="00400CBF" w:rsidRDefault="00042E16" w:rsidP="00042E16">
      <w:pPr>
        <w:rPr>
          <w:b/>
        </w:rPr>
      </w:pPr>
      <w:r w:rsidRPr="00400CBF">
        <w:rPr>
          <w:b/>
        </w:rPr>
        <w:t>YTHIN</w:t>
      </w:r>
    </w:p>
    <w:p w:rsidR="00042E16" w:rsidRPr="00400CBF" w:rsidRDefault="00042E16" w:rsidP="00042E16">
      <w:pPr>
        <w:rPr>
          <w:b/>
        </w:rPr>
      </w:pPr>
      <w:r w:rsidRPr="00400CBF">
        <w:rPr>
          <w:b/>
        </w:rPr>
        <w:t xml:space="preserve">MTHIN </w:t>
      </w:r>
    </w:p>
    <w:p w:rsidR="00042E16" w:rsidRPr="00400CBF" w:rsidRDefault="00042E16" w:rsidP="00042E16">
      <w:pPr>
        <w:rPr>
          <w:b/>
        </w:rPr>
      </w:pPr>
      <w:r w:rsidRPr="00400CBF">
        <w:rPr>
          <w:b/>
        </w:rPr>
        <w:t>DTHIN</w:t>
      </w:r>
    </w:p>
    <w:p w:rsidR="00042E16" w:rsidRPr="00400CBF" w:rsidRDefault="00042E16" w:rsidP="00042E16">
      <w:pPr>
        <w:rPr>
          <w:b/>
        </w:rPr>
      </w:pPr>
      <w:r w:rsidRPr="00400CBF">
        <w:rPr>
          <w:b/>
        </w:rPr>
        <w:t>TRTPLTEQ</w:t>
      </w:r>
    </w:p>
    <w:p w:rsidR="00042E16" w:rsidRPr="00400CBF" w:rsidRDefault="00042E16" w:rsidP="00042E16">
      <w:pPr>
        <w:rPr>
          <w:b/>
        </w:rPr>
      </w:pPr>
      <w:r w:rsidRPr="00400CBF">
        <w:rPr>
          <w:b/>
        </w:rPr>
        <w:t>IN</w:t>
      </w:r>
    </w:p>
    <w:p w:rsidR="00042E16" w:rsidRPr="00400CBF" w:rsidRDefault="00042E16" w:rsidP="00042E16">
      <w:pPr>
        <w:rPr>
          <w:b/>
        </w:rPr>
      </w:pPr>
      <w:r w:rsidRPr="00400CBF">
        <w:rPr>
          <w:b/>
        </w:rPr>
        <w:t>FSTAT1E</w:t>
      </w:r>
    </w:p>
    <w:p w:rsidR="00042E16" w:rsidRPr="00400CBF" w:rsidRDefault="00042E16" w:rsidP="00042E16">
      <w:pPr>
        <w:rPr>
          <w:b/>
        </w:rPr>
      </w:pPr>
      <w:r w:rsidRPr="00400CBF">
        <w:rPr>
          <w:b/>
        </w:rPr>
        <w:t>FSTAT0-FSTAT6</w:t>
      </w:r>
    </w:p>
    <w:p w:rsidR="00042E16" w:rsidRPr="00400CBF" w:rsidRDefault="00042E16" w:rsidP="00042E16">
      <w:pPr>
        <w:rPr>
          <w:b/>
        </w:rPr>
      </w:pPr>
      <w:r w:rsidRPr="00400CBF">
        <w:rPr>
          <w:b/>
        </w:rPr>
        <w:t>DEAD</w:t>
      </w:r>
    </w:p>
    <w:p w:rsidR="00042E16" w:rsidRPr="00400CBF" w:rsidRDefault="00042E16" w:rsidP="00042E16">
      <w:pPr>
        <w:rPr>
          <w:b/>
        </w:rPr>
      </w:pPr>
      <w:r w:rsidRPr="00400CBF">
        <w:rPr>
          <w:b/>
        </w:rPr>
        <w:t>XYCHK</w:t>
      </w:r>
    </w:p>
    <w:p w:rsidR="00042E16" w:rsidRPr="00400CBF" w:rsidRDefault="00042E16" w:rsidP="00042E16">
      <w:pPr>
        <w:rPr>
          <w:b/>
        </w:rPr>
      </w:pPr>
      <w:r w:rsidRPr="00400CBF">
        <w:rPr>
          <w:b/>
        </w:rPr>
        <w:t>IDPLOT</w:t>
      </w:r>
    </w:p>
    <w:p w:rsidR="00042E16" w:rsidRPr="00400CBF" w:rsidRDefault="00042E16" w:rsidP="00042E16">
      <w:pPr>
        <w:rPr>
          <w:b/>
        </w:rPr>
      </w:pPr>
      <w:r w:rsidRPr="00400CBF">
        <w:rPr>
          <w:b/>
        </w:rPr>
        <w:t>IDTREE</w:t>
      </w:r>
    </w:p>
    <w:p w:rsidR="00042E16" w:rsidRPr="00400CBF" w:rsidRDefault="00042E16" w:rsidP="00042E16">
      <w:pPr>
        <w:rPr>
          <w:b/>
        </w:rPr>
      </w:pPr>
      <w:r w:rsidRPr="00400CBF">
        <w:rPr>
          <w:b/>
        </w:rPr>
        <w:t>OFFSET</w:t>
      </w:r>
    </w:p>
    <w:p w:rsidR="00042E16" w:rsidRPr="00400CBF" w:rsidRDefault="00042E16" w:rsidP="00042E16">
      <w:pPr>
        <w:rPr>
          <w:b/>
        </w:rPr>
      </w:pPr>
      <w:r w:rsidRPr="00400CBF">
        <w:rPr>
          <w:b/>
        </w:rPr>
        <w:t>ROTPLT</w:t>
      </w:r>
    </w:p>
    <w:p w:rsidR="00042E16" w:rsidRPr="00400CBF" w:rsidRDefault="00042E16" w:rsidP="00042E16">
      <w:pPr>
        <w:rPr>
          <w:b/>
        </w:rPr>
      </w:pPr>
      <w:r w:rsidRPr="00400CBF">
        <w:rPr>
          <w:b/>
        </w:rPr>
        <w:t>DBHAGEST</w:t>
      </w:r>
    </w:p>
    <w:p w:rsidR="00042E16" w:rsidRPr="00400CBF" w:rsidRDefault="00042E16" w:rsidP="00042E16">
      <w:pPr>
        <w:rPr>
          <w:b/>
        </w:rPr>
      </w:pPr>
      <w:r w:rsidRPr="00400CBF">
        <w:rPr>
          <w:b/>
        </w:rPr>
        <w:t>TOTAGEST</w:t>
      </w:r>
    </w:p>
    <w:p w:rsidR="00042E16" w:rsidRPr="00400CBF" w:rsidRDefault="00042E16" w:rsidP="00042E16">
      <w:pPr>
        <w:rPr>
          <w:b/>
        </w:rPr>
      </w:pPr>
      <w:r w:rsidRPr="00400CBF">
        <w:rPr>
          <w:b/>
        </w:rPr>
        <w:t>DPLTWT</w:t>
      </w:r>
    </w:p>
    <w:p w:rsidR="00042E16" w:rsidRPr="00400CBF" w:rsidRDefault="00042E16" w:rsidP="00042E16">
      <w:pPr>
        <w:rPr>
          <w:b/>
        </w:rPr>
      </w:pPr>
      <w:r w:rsidRPr="00400CBF">
        <w:rPr>
          <w:b/>
        </w:rPr>
        <w:t>DTRTWT</w:t>
      </w:r>
    </w:p>
    <w:p w:rsidR="00042E16" w:rsidRPr="00400CBF" w:rsidRDefault="00042E16" w:rsidP="00042E16">
      <w:pPr>
        <w:rPr>
          <w:b/>
        </w:rPr>
      </w:pPr>
      <w:r w:rsidRPr="00400CBF">
        <w:rPr>
          <w:b/>
        </w:rPr>
        <w:lastRenderedPageBreak/>
        <w:t>Z</w:t>
      </w:r>
    </w:p>
    <w:p w:rsidR="00042E16" w:rsidRPr="00400CBF" w:rsidRDefault="00042E16" w:rsidP="00042E16">
      <w:pPr>
        <w:rPr>
          <w:b/>
        </w:rPr>
      </w:pPr>
      <w:r w:rsidRPr="00400CBF">
        <w:rPr>
          <w:b/>
        </w:rPr>
        <w:t>B0-B7</w:t>
      </w:r>
    </w:p>
    <w:p w:rsidR="00042E16" w:rsidRPr="00400CBF" w:rsidRDefault="00042E16" w:rsidP="00042E16">
      <w:pPr>
        <w:rPr>
          <w:b/>
        </w:rPr>
      </w:pPr>
      <w:r w:rsidRPr="00400CBF">
        <w:rPr>
          <w:b/>
        </w:rPr>
        <w:t>CRNHTI</w:t>
      </w:r>
    </w:p>
    <w:p w:rsidR="00042E16" w:rsidRPr="00400CBF" w:rsidRDefault="00042E16" w:rsidP="00042E16">
      <w:pPr>
        <w:rPr>
          <w:b/>
        </w:rPr>
      </w:pPr>
      <w:r w:rsidRPr="00400CBF">
        <w:rPr>
          <w:b/>
        </w:rPr>
        <w:t>HTI</w:t>
      </w:r>
    </w:p>
    <w:p w:rsidR="00042E16" w:rsidRPr="00400CBF" w:rsidRDefault="00042E16" w:rsidP="00042E16">
      <w:pPr>
        <w:rPr>
          <w:b/>
        </w:rPr>
      </w:pPr>
      <w:r w:rsidRPr="00400CBF">
        <w:rPr>
          <w:b/>
        </w:rPr>
        <w:t>DBHI</w:t>
      </w:r>
    </w:p>
    <w:p w:rsidR="00042E16" w:rsidRPr="00400CBF" w:rsidRDefault="00042E16" w:rsidP="00042E16">
      <w:pPr>
        <w:rPr>
          <w:b/>
        </w:rPr>
      </w:pPr>
      <w:r w:rsidRPr="00400CBF">
        <w:rPr>
          <w:b/>
        </w:rPr>
        <w:t>CRLENI</w:t>
      </w:r>
    </w:p>
    <w:p w:rsidR="00042E16" w:rsidRPr="00400CBF" w:rsidRDefault="00042E16" w:rsidP="00042E16">
      <w:pPr>
        <w:rPr>
          <w:b/>
        </w:rPr>
      </w:pPr>
      <w:r w:rsidRPr="00400CBF">
        <w:rPr>
          <w:b/>
        </w:rPr>
        <w:t>PLCI</w:t>
      </w:r>
    </w:p>
    <w:p w:rsidR="00042E16" w:rsidRPr="00400CBF" w:rsidRDefault="00042E16" w:rsidP="00042E16">
      <w:pPr>
        <w:rPr>
          <w:b/>
        </w:rPr>
      </w:pPr>
      <w:r w:rsidRPr="00400CBF">
        <w:rPr>
          <w:b/>
        </w:rPr>
        <w:t>CRLENE</w:t>
      </w:r>
    </w:p>
    <w:p w:rsidR="00042E16" w:rsidRPr="00400CBF" w:rsidRDefault="00042E16" w:rsidP="00042E16">
      <w:pPr>
        <w:rPr>
          <w:b/>
        </w:rPr>
      </w:pPr>
      <w:r w:rsidRPr="00400CBF">
        <w:rPr>
          <w:b/>
        </w:rPr>
        <w:t>PLCE</w:t>
      </w:r>
    </w:p>
    <w:p w:rsidR="00042E16" w:rsidRPr="00400CBF" w:rsidRDefault="00042E16" w:rsidP="00042E16">
      <w:pPr>
        <w:rPr>
          <w:b/>
        </w:rPr>
      </w:pPr>
      <w:r w:rsidRPr="00400CBF">
        <w:rPr>
          <w:b/>
        </w:rPr>
        <w:t>ID</w:t>
      </w:r>
    </w:p>
    <w:p w:rsidR="00042E16" w:rsidRPr="00400CBF" w:rsidRDefault="00042E16" w:rsidP="00042E16">
      <w:pPr>
        <w:rPr>
          <w:b/>
        </w:rPr>
      </w:pPr>
      <w:r w:rsidRPr="00400CBF">
        <w:rPr>
          <w:b/>
        </w:rPr>
        <w:t>S0-S7</w:t>
      </w:r>
    </w:p>
    <w:p w:rsidR="00042E16" w:rsidRDefault="00042E16" w:rsidP="00042E16">
      <w:pPr>
        <w:rPr>
          <w:b/>
        </w:rPr>
      </w:pPr>
      <w:r w:rsidRPr="00400CBF">
        <w:rPr>
          <w:b/>
        </w:rPr>
        <w:t>HFLAG0-HFLAG7</w:t>
      </w:r>
    </w:p>
    <w:p w:rsidR="00AF7344" w:rsidRDefault="00AF7344" w:rsidP="00042E16">
      <w:pPr>
        <w:rPr>
          <w:b/>
        </w:rPr>
      </w:pPr>
    </w:p>
    <w:p w:rsidR="00BB24D6" w:rsidRPr="00AF7344" w:rsidRDefault="00BB24D6" w:rsidP="00AF7344">
      <w:pPr>
        <w:pStyle w:val="Heading1"/>
        <w:numPr>
          <w:ilvl w:val="0"/>
          <w:numId w:val="2"/>
        </w:numPr>
        <w:rPr>
          <w:color w:val="auto"/>
          <w:sz w:val="26"/>
          <w:szCs w:val="26"/>
        </w:rPr>
      </w:pPr>
      <w:r w:rsidRPr="00AF7344">
        <w:rPr>
          <w:color w:val="auto"/>
          <w:sz w:val="26"/>
          <w:szCs w:val="26"/>
        </w:rPr>
        <w:t>Data with DBH interpolation</w:t>
      </w:r>
    </w:p>
    <w:p w:rsidR="00BB24D6" w:rsidRDefault="00BB24D6" w:rsidP="00BB24D6">
      <w:pPr>
        <w:rPr>
          <w:b/>
        </w:rPr>
      </w:pPr>
      <w:proofErr w:type="spellStart"/>
      <w:r>
        <w:rPr>
          <w:b/>
        </w:rPr>
        <w:t>Ttree.ssd</w:t>
      </w:r>
      <w:proofErr w:type="spellEnd"/>
    </w:p>
    <w:p w:rsidR="00BB24D6" w:rsidRPr="00BB24D6" w:rsidRDefault="00BB24D6" w:rsidP="00BB24D6">
      <w:pPr>
        <w:rPr>
          <w:color w:val="FF0000"/>
        </w:rPr>
      </w:pPr>
      <w:r w:rsidRPr="00BB24D6">
        <w:rPr>
          <w:color w:val="FF0000"/>
        </w:rPr>
        <w:t>Scot will</w:t>
      </w:r>
      <w:r w:rsidR="000623D0">
        <w:rPr>
          <w:color w:val="FF0000"/>
        </w:rPr>
        <w:t xml:space="preserve"> need to</w:t>
      </w:r>
      <w:r w:rsidRPr="00BB24D6">
        <w:rPr>
          <w:color w:val="FF0000"/>
        </w:rPr>
        <w:t xml:space="preserve"> look for it.</w:t>
      </w:r>
    </w:p>
    <w:p w:rsidR="00A86C05" w:rsidRDefault="00A86C05" w:rsidP="00A86C05">
      <w:pPr>
        <w:pStyle w:val="Heading1"/>
        <w:numPr>
          <w:ilvl w:val="0"/>
          <w:numId w:val="2"/>
        </w:numPr>
        <w:rPr>
          <w:color w:val="auto"/>
          <w:sz w:val="26"/>
          <w:szCs w:val="26"/>
        </w:rPr>
      </w:pPr>
      <w:r w:rsidRPr="00A86C05">
        <w:rPr>
          <w:color w:val="auto"/>
          <w:sz w:val="26"/>
          <w:szCs w:val="26"/>
        </w:rPr>
        <w:t xml:space="preserve">Installation (site) Data </w:t>
      </w:r>
    </w:p>
    <w:p w:rsidR="007655A4" w:rsidRDefault="007655A4" w:rsidP="007655A4">
      <w:pPr>
        <w:rPr>
          <w:b/>
          <w:sz w:val="26"/>
          <w:szCs w:val="26"/>
        </w:rPr>
      </w:pPr>
      <w:proofErr w:type="spellStart"/>
      <w:r w:rsidRPr="007655A4">
        <w:rPr>
          <w:b/>
          <w:sz w:val="26"/>
          <w:szCs w:val="26"/>
        </w:rPr>
        <w:t>Inst.ssd</w:t>
      </w:r>
      <w:proofErr w:type="spellEnd"/>
    </w:p>
    <w:p w:rsidR="007655A4" w:rsidRPr="00713809" w:rsidRDefault="007655A4" w:rsidP="007655A4">
      <w:proofErr w:type="gramStart"/>
      <w:r w:rsidRPr="00713809">
        <w:t>Site level data.</w:t>
      </w:r>
      <w:proofErr w:type="gramEnd"/>
    </w:p>
    <w:p w:rsidR="00713809" w:rsidRDefault="00713809" w:rsidP="007655A4">
      <w:pPr>
        <w:rPr>
          <w:sz w:val="26"/>
          <w:szCs w:val="26"/>
        </w:rPr>
      </w:pPr>
    </w:p>
    <w:p w:rsidR="00713809" w:rsidRDefault="00713809" w:rsidP="00713809">
      <w:pPr>
        <w:pStyle w:val="Heading1"/>
        <w:numPr>
          <w:ilvl w:val="0"/>
          <w:numId w:val="2"/>
        </w:numPr>
        <w:rPr>
          <w:color w:val="auto"/>
          <w:sz w:val="26"/>
          <w:szCs w:val="26"/>
        </w:rPr>
      </w:pPr>
      <w:r w:rsidRPr="00713809">
        <w:rPr>
          <w:color w:val="auto"/>
          <w:sz w:val="26"/>
          <w:szCs w:val="26"/>
        </w:rPr>
        <w:t>Plot data</w:t>
      </w:r>
    </w:p>
    <w:p w:rsidR="00713809" w:rsidRDefault="00713809" w:rsidP="00713809">
      <w:pPr>
        <w:rPr>
          <w:b/>
          <w:sz w:val="26"/>
          <w:szCs w:val="26"/>
        </w:rPr>
      </w:pPr>
      <w:proofErr w:type="spellStart"/>
      <w:r w:rsidRPr="00713809">
        <w:rPr>
          <w:b/>
          <w:sz w:val="26"/>
          <w:szCs w:val="26"/>
        </w:rPr>
        <w:t>Plot.ssd</w:t>
      </w:r>
      <w:proofErr w:type="spellEnd"/>
    </w:p>
    <w:p w:rsidR="001B666E" w:rsidRPr="001B666E" w:rsidRDefault="001B666E" w:rsidP="001B666E">
      <w:pPr>
        <w:rPr>
          <w:rFonts w:ascii="Times New Roman" w:hAnsi="Times New Roman" w:cs="Times New Roman"/>
          <w:sz w:val="24"/>
          <w:szCs w:val="24"/>
        </w:rPr>
      </w:pPr>
      <w:r>
        <w:rPr>
          <w:rFonts w:ascii="Times New Roman" w:hAnsi="Times New Roman" w:cs="Times New Roman"/>
          <w:sz w:val="24"/>
          <w:szCs w:val="24"/>
        </w:rPr>
        <w:t xml:space="preserve">This data set has plot level data. </w:t>
      </w:r>
      <w:r w:rsidRPr="001B666E">
        <w:rPr>
          <w:rFonts w:ascii="Times New Roman" w:hAnsi="Times New Roman" w:cs="Times New Roman"/>
          <w:sz w:val="24"/>
          <w:szCs w:val="24"/>
        </w:rPr>
        <w:t xml:space="preserve">As Scot recall, he took this data set from the </w:t>
      </w:r>
      <w:proofErr w:type="spellStart"/>
      <w:r w:rsidRPr="001B666E">
        <w:rPr>
          <w:rFonts w:ascii="Times New Roman" w:hAnsi="Times New Roman" w:cs="Times New Roman"/>
          <w:sz w:val="24"/>
          <w:szCs w:val="24"/>
        </w:rPr>
        <w:t>foresty</w:t>
      </w:r>
      <w:proofErr w:type="spellEnd"/>
      <w:r w:rsidRPr="001B666E">
        <w:rPr>
          <w:rFonts w:ascii="Times New Roman" w:hAnsi="Times New Roman" w:cs="Times New Roman"/>
          <w:sz w:val="24"/>
          <w:szCs w:val="24"/>
        </w:rPr>
        <w:t xml:space="preserve"> </w:t>
      </w:r>
      <w:proofErr w:type="spellStart"/>
      <w:r w:rsidRPr="001B666E">
        <w:rPr>
          <w:rFonts w:ascii="Times New Roman" w:hAnsi="Times New Roman" w:cs="Times New Roman"/>
          <w:sz w:val="24"/>
          <w:szCs w:val="24"/>
        </w:rPr>
        <w:t>Minisitry</w:t>
      </w:r>
      <w:proofErr w:type="spellEnd"/>
      <w:r w:rsidRPr="001B666E">
        <w:rPr>
          <w:rFonts w:ascii="Times New Roman" w:hAnsi="Times New Roman" w:cs="Times New Roman"/>
          <w:sz w:val="24"/>
          <w:szCs w:val="24"/>
        </w:rPr>
        <w:t xml:space="preserve"> and no change was made to this data set by him</w:t>
      </w:r>
    </w:p>
    <w:p w:rsidR="00C77A17" w:rsidRPr="001B666E" w:rsidRDefault="00C77A17" w:rsidP="00713809">
      <w:pPr>
        <w:rPr>
          <w:b/>
        </w:rPr>
      </w:pPr>
      <w:r w:rsidRPr="001B666E">
        <w:rPr>
          <w:b/>
        </w:rPr>
        <w:t>RECTYPE</w:t>
      </w:r>
    </w:p>
    <w:p w:rsidR="00C77A17" w:rsidRPr="001B666E" w:rsidRDefault="00C77A17" w:rsidP="00713809">
      <w:pPr>
        <w:rPr>
          <w:b/>
        </w:rPr>
      </w:pPr>
      <w:r w:rsidRPr="001B666E">
        <w:rPr>
          <w:b/>
        </w:rPr>
        <w:lastRenderedPageBreak/>
        <w:t>RECSEL</w:t>
      </w:r>
    </w:p>
    <w:p w:rsidR="00C77A17" w:rsidRPr="001B666E" w:rsidRDefault="00C77A17" w:rsidP="00713809">
      <w:pPr>
        <w:rPr>
          <w:b/>
        </w:rPr>
      </w:pPr>
      <w:r w:rsidRPr="001B666E">
        <w:rPr>
          <w:b/>
        </w:rPr>
        <w:t>INSTALL</w:t>
      </w:r>
    </w:p>
    <w:p w:rsidR="00C77A17" w:rsidRPr="001B666E" w:rsidRDefault="00C77A17" w:rsidP="00713809">
      <w:pPr>
        <w:rPr>
          <w:b/>
        </w:rPr>
      </w:pPr>
      <w:r w:rsidRPr="001B666E">
        <w:rPr>
          <w:b/>
        </w:rPr>
        <w:t>PLOT</w:t>
      </w:r>
    </w:p>
    <w:p w:rsidR="00C77A17" w:rsidRPr="001B666E" w:rsidRDefault="00C77A17" w:rsidP="00713809">
      <w:pPr>
        <w:rPr>
          <w:b/>
        </w:rPr>
      </w:pPr>
      <w:r w:rsidRPr="001B666E">
        <w:rPr>
          <w:b/>
        </w:rPr>
        <w:t>PSTAT</w:t>
      </w:r>
    </w:p>
    <w:p w:rsidR="00C77A17" w:rsidRPr="001B666E" w:rsidRDefault="00C77A17" w:rsidP="00713809">
      <w:pPr>
        <w:rPr>
          <w:b/>
        </w:rPr>
      </w:pPr>
      <w:r w:rsidRPr="001B666E">
        <w:rPr>
          <w:b/>
        </w:rPr>
        <w:t>COMFLAG</w:t>
      </w:r>
    </w:p>
    <w:p w:rsidR="00C77A17" w:rsidRPr="001B666E" w:rsidRDefault="00C77A17" w:rsidP="00713809">
      <w:pPr>
        <w:rPr>
          <w:b/>
        </w:rPr>
      </w:pPr>
      <w:r w:rsidRPr="001B666E">
        <w:rPr>
          <w:b/>
        </w:rPr>
        <w:t>BHAGEST</w:t>
      </w:r>
    </w:p>
    <w:p w:rsidR="00C77A17" w:rsidRPr="001B666E" w:rsidRDefault="00C77A17" w:rsidP="00713809">
      <w:pPr>
        <w:rPr>
          <w:b/>
        </w:rPr>
      </w:pPr>
      <w:r w:rsidRPr="001B666E">
        <w:rPr>
          <w:b/>
        </w:rPr>
        <w:t>TOTAGEST</w:t>
      </w:r>
    </w:p>
    <w:p w:rsidR="00C77A17" w:rsidRPr="001B666E" w:rsidRDefault="00C77A17" w:rsidP="00713809">
      <w:pPr>
        <w:rPr>
          <w:b/>
        </w:rPr>
      </w:pPr>
      <w:r w:rsidRPr="001B666E">
        <w:rPr>
          <w:b/>
        </w:rPr>
        <w:t>SI</w:t>
      </w:r>
    </w:p>
    <w:p w:rsidR="00C77A17" w:rsidRPr="001B666E" w:rsidRDefault="00C77A17" w:rsidP="00713809">
      <w:pPr>
        <w:rPr>
          <w:b/>
        </w:rPr>
      </w:pPr>
      <w:r w:rsidRPr="001B666E">
        <w:rPr>
          <w:b/>
        </w:rPr>
        <w:t>SISRC</w:t>
      </w:r>
    </w:p>
    <w:p w:rsidR="00C77A17" w:rsidRPr="001B666E" w:rsidRDefault="00C77A17" w:rsidP="00713809">
      <w:pPr>
        <w:rPr>
          <w:b/>
        </w:rPr>
      </w:pPr>
      <w:r w:rsidRPr="001B666E">
        <w:rPr>
          <w:b/>
        </w:rPr>
        <w:t>PLTAREA</w:t>
      </w:r>
    </w:p>
    <w:p w:rsidR="00C77A17" w:rsidRPr="001B666E" w:rsidRDefault="00C77A17" w:rsidP="00713809">
      <w:pPr>
        <w:rPr>
          <w:b/>
        </w:rPr>
      </w:pPr>
      <w:r w:rsidRPr="001B666E">
        <w:rPr>
          <w:b/>
        </w:rPr>
        <w:t>PLTSHP</w:t>
      </w:r>
    </w:p>
    <w:p w:rsidR="008D23B3" w:rsidRDefault="008D23B3" w:rsidP="00713809">
      <w:r w:rsidRPr="008D23B3">
        <w:rPr>
          <w:b/>
        </w:rPr>
        <w:t>YM1-YM7:</w:t>
      </w:r>
      <w:r w:rsidR="00C77A17">
        <w:rPr>
          <w:b/>
        </w:rPr>
        <w:t xml:space="preserve"> </w:t>
      </w:r>
      <w:r w:rsidR="00C77A17">
        <w:t>year of establishment (also year of thinning and/or fertilizer treatments applied in dormant season</w:t>
      </w:r>
      <w:r w:rsidR="00C30B77">
        <w:t>, year of preliminary measurements), initial measurement (0</w:t>
      </w:r>
      <w:r w:rsidR="00C30B77" w:rsidRPr="00C30B77">
        <w:rPr>
          <w:vertAlign w:val="superscript"/>
        </w:rPr>
        <w:t>th</w:t>
      </w:r>
      <w:r w:rsidR="00C30B77">
        <w:t xml:space="preserve"> year), 3</w:t>
      </w:r>
      <w:r w:rsidR="00C30B77" w:rsidRPr="00C30B77">
        <w:rPr>
          <w:vertAlign w:val="superscript"/>
        </w:rPr>
        <w:t>rd</w:t>
      </w:r>
      <w:r w:rsidR="00C30B77">
        <w:t>, 6</w:t>
      </w:r>
      <w:r w:rsidR="00C30B77" w:rsidRPr="00C30B77">
        <w:rPr>
          <w:vertAlign w:val="superscript"/>
        </w:rPr>
        <w:t>th</w:t>
      </w:r>
      <w:r w:rsidR="00C30B77">
        <w:t>, 9</w:t>
      </w:r>
      <w:r w:rsidR="00C30B77" w:rsidRPr="00C30B77">
        <w:rPr>
          <w:vertAlign w:val="superscript"/>
        </w:rPr>
        <w:t>th</w:t>
      </w:r>
      <w:r w:rsidR="00C30B77">
        <w:t>, 12</w:t>
      </w:r>
      <w:r w:rsidR="00C30B77" w:rsidRPr="00C30B77">
        <w:rPr>
          <w:vertAlign w:val="superscript"/>
        </w:rPr>
        <w:t>th</w:t>
      </w:r>
      <w:r w:rsidR="00C30B77">
        <w:t>, 18</w:t>
      </w:r>
      <w:r w:rsidR="00C30B77" w:rsidRPr="00C30B77">
        <w:rPr>
          <w:vertAlign w:val="superscript"/>
        </w:rPr>
        <w:t>th</w:t>
      </w:r>
      <w:r w:rsidR="00444DAB">
        <w:t xml:space="preserve"> mea</w:t>
      </w:r>
      <w:r w:rsidR="00C30B77">
        <w:t>surement.</w:t>
      </w:r>
    </w:p>
    <w:p w:rsidR="00726C2A" w:rsidRDefault="00726C2A" w:rsidP="00713809">
      <w:r>
        <w:t xml:space="preserve">This is cross checked </w:t>
      </w:r>
      <w:proofErr w:type="gramStart"/>
      <w:r>
        <w:t xml:space="preserve">with </w:t>
      </w:r>
      <w:r w:rsidR="00133C80">
        <w:t xml:space="preserve"> hard</w:t>
      </w:r>
      <w:proofErr w:type="gramEnd"/>
      <w:r w:rsidR="00133C80">
        <w:t xml:space="preserve"> c</w:t>
      </w:r>
      <w:r w:rsidR="00167B1F">
        <w:t>opy report by Darling and Stone and some are not consistent:</w:t>
      </w:r>
    </w:p>
    <w:p w:rsidR="00167B1F" w:rsidRDefault="00167B1F" w:rsidP="00713809"/>
    <w:tbl>
      <w:tblPr>
        <w:tblW w:w="12897" w:type="dxa"/>
        <w:tblInd w:w="-1440" w:type="dxa"/>
        <w:tblLook w:val="04A0" w:firstRow="1" w:lastRow="0" w:firstColumn="1" w:lastColumn="0" w:noHBand="0" w:noVBand="1"/>
      </w:tblPr>
      <w:tblGrid>
        <w:gridCol w:w="550"/>
        <w:gridCol w:w="639"/>
        <w:gridCol w:w="639"/>
        <w:gridCol w:w="639"/>
        <w:gridCol w:w="620"/>
        <w:gridCol w:w="620"/>
        <w:gridCol w:w="639"/>
        <w:gridCol w:w="605"/>
        <w:gridCol w:w="553"/>
        <w:gridCol w:w="544"/>
        <w:gridCol w:w="583"/>
        <w:gridCol w:w="539"/>
        <w:gridCol w:w="583"/>
        <w:gridCol w:w="660"/>
        <w:gridCol w:w="605"/>
        <w:gridCol w:w="553"/>
        <w:gridCol w:w="454"/>
        <w:gridCol w:w="523"/>
        <w:gridCol w:w="452"/>
        <w:gridCol w:w="452"/>
        <w:gridCol w:w="543"/>
        <w:gridCol w:w="999"/>
      </w:tblGrid>
      <w:tr w:rsidR="00167B1F" w:rsidRPr="00167B1F" w:rsidTr="00167B1F">
        <w:trPr>
          <w:trHeight w:val="285"/>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INS</w:t>
            </w:r>
          </w:p>
        </w:tc>
        <w:tc>
          <w:tcPr>
            <w:tcW w:w="639"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YM1</w:t>
            </w:r>
          </w:p>
        </w:tc>
        <w:tc>
          <w:tcPr>
            <w:tcW w:w="639"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YM2</w:t>
            </w:r>
          </w:p>
        </w:tc>
        <w:tc>
          <w:tcPr>
            <w:tcW w:w="639"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YM3</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YM4</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YM5</w:t>
            </w:r>
          </w:p>
        </w:tc>
        <w:tc>
          <w:tcPr>
            <w:tcW w:w="639"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YM6</w:t>
            </w:r>
          </w:p>
        </w:tc>
        <w:tc>
          <w:tcPr>
            <w:tcW w:w="605"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YM7</w:t>
            </w:r>
          </w:p>
        </w:tc>
        <w:tc>
          <w:tcPr>
            <w:tcW w:w="553"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pre</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proofErr w:type="spellStart"/>
            <w:r w:rsidRPr="00167B1F">
              <w:rPr>
                <w:rFonts w:ascii="Calibri" w:eastAsia="Times New Roman" w:hAnsi="Calibri" w:cs="Times New Roman"/>
                <w:sz w:val="18"/>
                <w:szCs w:val="18"/>
              </w:rPr>
              <w:t>init</w:t>
            </w:r>
            <w:proofErr w:type="spellEnd"/>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YR3</w:t>
            </w: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YR6</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YR9</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YR12</w:t>
            </w:r>
          </w:p>
        </w:tc>
        <w:tc>
          <w:tcPr>
            <w:tcW w:w="605"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YR18</w:t>
            </w:r>
          </w:p>
        </w:tc>
        <w:tc>
          <w:tcPr>
            <w:tcW w:w="5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pre</w:t>
            </w:r>
          </w:p>
        </w:tc>
        <w:tc>
          <w:tcPr>
            <w:tcW w:w="454"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proofErr w:type="spellStart"/>
            <w:r w:rsidRPr="00167B1F">
              <w:rPr>
                <w:rFonts w:ascii="Calibri" w:eastAsia="Times New Roman" w:hAnsi="Calibri" w:cs="Times New Roman"/>
                <w:sz w:val="18"/>
                <w:szCs w:val="18"/>
              </w:rPr>
              <w:t>init</w:t>
            </w:r>
            <w:proofErr w:type="spellEnd"/>
          </w:p>
        </w:tc>
        <w:tc>
          <w:tcPr>
            <w:tcW w:w="523"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yr3</w:t>
            </w:r>
          </w:p>
        </w:tc>
        <w:tc>
          <w:tcPr>
            <w:tcW w:w="452"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yr6</w:t>
            </w:r>
          </w:p>
        </w:tc>
        <w:tc>
          <w:tcPr>
            <w:tcW w:w="452"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yr9</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yr12</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yr18</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72</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72</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72</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72</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72</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15</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72</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16</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80</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72</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90</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19</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20</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21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22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23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24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25</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26</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lastRenderedPageBreak/>
              <w:t>27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28</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30</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31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92</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33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36</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37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39</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40</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86</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92</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77</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86</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92</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53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86</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92</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80</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86</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92</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58</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86</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 </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86</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92</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86</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71</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71</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89</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86</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71</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71</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89</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73</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73</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79</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91</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75</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86</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92</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74</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74</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77</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86</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92</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80</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76</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87</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93</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75</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78</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87</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93</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81</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75</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82</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75</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83</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75</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84</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 </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75</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r w:rsidR="00167B1F" w:rsidRPr="00167B1F" w:rsidTr="00167B1F">
        <w:trPr>
          <w:trHeight w:val="28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85</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76</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2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 </w:t>
            </w:r>
          </w:p>
        </w:tc>
        <w:tc>
          <w:tcPr>
            <w:tcW w:w="55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75</w:t>
            </w:r>
          </w:p>
        </w:tc>
        <w:tc>
          <w:tcPr>
            <w:tcW w:w="54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75</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78</w:t>
            </w:r>
          </w:p>
        </w:tc>
        <w:tc>
          <w:tcPr>
            <w:tcW w:w="53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81</w:t>
            </w:r>
          </w:p>
        </w:tc>
        <w:tc>
          <w:tcPr>
            <w:tcW w:w="58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84</w:t>
            </w:r>
          </w:p>
        </w:tc>
        <w:tc>
          <w:tcPr>
            <w:tcW w:w="660"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87</w:t>
            </w:r>
          </w:p>
        </w:tc>
        <w:tc>
          <w:tcPr>
            <w:tcW w:w="605"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b/>
                <w:bCs/>
                <w:sz w:val="18"/>
                <w:szCs w:val="18"/>
              </w:rPr>
            </w:pPr>
            <w:r w:rsidRPr="00167B1F">
              <w:rPr>
                <w:rFonts w:ascii="Calibri" w:eastAsia="Times New Roman" w:hAnsi="Calibri" w:cs="Times New Roman"/>
                <w:b/>
                <w:bCs/>
                <w:sz w:val="18"/>
                <w:szCs w:val="18"/>
              </w:rPr>
              <w:t>93</w:t>
            </w:r>
          </w:p>
        </w:tc>
        <w:tc>
          <w:tcPr>
            <w:tcW w:w="553" w:type="dxa"/>
            <w:tcBorders>
              <w:top w:val="nil"/>
              <w:left w:val="single" w:sz="4" w:space="0" w:color="auto"/>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4"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523"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52"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446"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c>
          <w:tcPr>
            <w:tcW w:w="999" w:type="dxa"/>
            <w:tcBorders>
              <w:top w:val="nil"/>
              <w:left w:val="nil"/>
              <w:bottom w:val="single" w:sz="4" w:space="0" w:color="auto"/>
              <w:right w:val="single" w:sz="4" w:space="0" w:color="auto"/>
            </w:tcBorders>
            <w:shd w:val="clear" w:color="auto" w:fill="auto"/>
            <w:noWrap/>
            <w:vAlign w:val="bottom"/>
            <w:hideMark/>
          </w:tcPr>
          <w:p w:rsidR="00167B1F" w:rsidRPr="00167B1F" w:rsidRDefault="00167B1F" w:rsidP="00167B1F">
            <w:pPr>
              <w:spacing w:after="0" w:line="240" w:lineRule="auto"/>
              <w:rPr>
                <w:rFonts w:ascii="Calibri" w:eastAsia="Times New Roman" w:hAnsi="Calibri" w:cs="Times New Roman"/>
                <w:sz w:val="18"/>
                <w:szCs w:val="18"/>
              </w:rPr>
            </w:pPr>
            <w:r w:rsidRPr="00167B1F">
              <w:rPr>
                <w:rFonts w:ascii="Calibri" w:eastAsia="Times New Roman" w:hAnsi="Calibri" w:cs="Times New Roman"/>
                <w:sz w:val="18"/>
                <w:szCs w:val="18"/>
              </w:rPr>
              <w:t>1</w:t>
            </w:r>
          </w:p>
        </w:tc>
      </w:tr>
    </w:tbl>
    <w:p w:rsidR="00167B1F" w:rsidRDefault="00167B1F" w:rsidP="00713809"/>
    <w:p w:rsidR="00133C80" w:rsidRPr="00C77A17" w:rsidRDefault="00133C80" w:rsidP="00713809"/>
    <w:p w:rsidR="008D23B3" w:rsidRPr="008D23B3" w:rsidRDefault="008D23B3" w:rsidP="00713809">
      <w:pPr>
        <w:rPr>
          <w:b/>
        </w:rPr>
      </w:pPr>
      <w:r w:rsidRPr="008D23B3">
        <w:rPr>
          <w:b/>
        </w:rPr>
        <w:t>MM1-MM7:</w:t>
      </w:r>
    </w:p>
    <w:p w:rsidR="008D23B3" w:rsidRPr="008D23B3" w:rsidRDefault="008D23B3" w:rsidP="00713809">
      <w:pPr>
        <w:rPr>
          <w:b/>
        </w:rPr>
      </w:pPr>
      <w:r w:rsidRPr="008D23B3">
        <w:rPr>
          <w:b/>
        </w:rPr>
        <w:t>DM1-DM7:</w:t>
      </w:r>
    </w:p>
    <w:p w:rsidR="00042E16" w:rsidRDefault="00042E16" w:rsidP="00042E16">
      <w:pPr>
        <w:pStyle w:val="Heading1"/>
        <w:numPr>
          <w:ilvl w:val="0"/>
          <w:numId w:val="2"/>
        </w:numPr>
        <w:rPr>
          <w:color w:val="auto"/>
          <w:sz w:val="26"/>
          <w:szCs w:val="26"/>
        </w:rPr>
      </w:pPr>
      <w:r w:rsidRPr="00042E16">
        <w:rPr>
          <w:color w:val="auto"/>
          <w:sz w:val="26"/>
          <w:szCs w:val="26"/>
        </w:rPr>
        <w:t>Bole Vol</w:t>
      </w:r>
      <w:r w:rsidR="0082643C">
        <w:rPr>
          <w:color w:val="auto"/>
          <w:sz w:val="26"/>
          <w:szCs w:val="26"/>
        </w:rPr>
        <w:t>ume Data for Control plots only</w:t>
      </w:r>
    </w:p>
    <w:p w:rsidR="0082643C" w:rsidRPr="007655A4" w:rsidRDefault="0082643C" w:rsidP="0082643C">
      <w:pPr>
        <w:rPr>
          <w:b/>
          <w:sz w:val="26"/>
          <w:szCs w:val="26"/>
        </w:rPr>
      </w:pPr>
      <w:proofErr w:type="spellStart"/>
      <w:r w:rsidRPr="007655A4">
        <w:rPr>
          <w:b/>
          <w:sz w:val="26"/>
          <w:szCs w:val="26"/>
        </w:rPr>
        <w:t>Treebvol.ssd</w:t>
      </w:r>
      <w:proofErr w:type="spellEnd"/>
    </w:p>
    <w:p w:rsidR="00FD14BE" w:rsidRDefault="00FD14BE" w:rsidP="00994944">
      <w:r w:rsidRPr="00FD14BE">
        <w:t>This data set has bole volume estimated for trees in all species in control plots that had DBH measured (Some Heights were estimated). Maximal basal area in each plot for hazard model was calculated basing on this part of data (variable “</w:t>
      </w:r>
      <w:proofErr w:type="spellStart"/>
      <w:r w:rsidRPr="00FD14BE">
        <w:t>maxpbv</w:t>
      </w:r>
      <w:proofErr w:type="spellEnd"/>
      <w:r w:rsidRPr="00FD14BE">
        <w:t>” in ttree2.ssd)</w:t>
      </w:r>
    </w:p>
    <w:p w:rsidR="00F76FEA" w:rsidRDefault="008609C0" w:rsidP="00F76FEA">
      <w:r w:rsidRPr="00F76FEA">
        <w:t>We</w:t>
      </w:r>
      <w:r w:rsidR="00F76FEA" w:rsidRPr="00F76FEA">
        <w:t xml:space="preserve"> estimated height in one of two ways. For tre</w:t>
      </w:r>
      <w:r w:rsidR="00F76FEA">
        <w:t xml:space="preserve">es missing measurements in only </w:t>
      </w:r>
      <w:r w:rsidR="00F76FEA" w:rsidRPr="00F76FEA">
        <w:t>some periods (n = 1088 of 3621 trees), we used non‐</w:t>
      </w:r>
      <w:r w:rsidR="00F76FEA">
        <w:t xml:space="preserve">linear growth curve </w:t>
      </w:r>
      <w:r w:rsidR="00F76FEA" w:rsidRPr="00F76FEA">
        <w:t xml:space="preserve">regressions using SAS </w:t>
      </w:r>
      <w:proofErr w:type="spellStart"/>
      <w:r w:rsidR="00F76FEA" w:rsidRPr="00F76FEA">
        <w:t>Proc</w:t>
      </w:r>
      <w:proofErr w:type="spellEnd"/>
      <w:r w:rsidR="00F76FEA" w:rsidRPr="00F76FEA">
        <w:t xml:space="preserve"> NLMIXED growth curve models (</w:t>
      </w:r>
      <w:proofErr w:type="spellStart"/>
      <w:r w:rsidR="00F76FEA" w:rsidRPr="00F76FEA">
        <w:t>Wolfinger</w:t>
      </w:r>
      <w:proofErr w:type="spellEnd"/>
      <w:r w:rsidR="00F76FEA" w:rsidRPr="00F76FEA">
        <w:t xml:space="preserve"> 1999)</w:t>
      </w:r>
      <w:r w:rsidR="00F76FEA">
        <w:t xml:space="preserve">. </w:t>
      </w:r>
      <w:r w:rsidR="00F76FEA" w:rsidRPr="00F76FEA">
        <w:t xml:space="preserve">Prediction errors were 0.2‐1.1m, with greatest errors </w:t>
      </w:r>
      <w:r w:rsidR="00F76FEA">
        <w:t xml:space="preserve">in taller trees. For trees with </w:t>
      </w:r>
      <w:r w:rsidR="00F76FEA" w:rsidRPr="00F76FEA">
        <w:t>no height measurements in any census (n = 1810),</w:t>
      </w:r>
      <w:r w:rsidR="00F76FEA">
        <w:t xml:space="preserve"> we used regression models with </w:t>
      </w:r>
      <w:r w:rsidR="00F76FEA" w:rsidRPr="00F76FEA">
        <w:t xml:space="preserve">measurement period, individual diameter, prior 3 </w:t>
      </w:r>
      <w:proofErr w:type="spellStart"/>
      <w:r w:rsidR="00F76FEA" w:rsidRPr="00F76FEA">
        <w:t>y</w:t>
      </w:r>
      <w:r w:rsidR="00F76FEA">
        <w:t>r</w:t>
      </w:r>
      <w:proofErr w:type="spellEnd"/>
      <w:r w:rsidR="00F76FEA">
        <w:t xml:space="preserve"> diameter growth, plot density </w:t>
      </w:r>
      <w:r w:rsidR="00F76FEA" w:rsidRPr="00F76FEA">
        <w:t>and the mean height of the tallest trees in each pl</w:t>
      </w:r>
      <w:r w:rsidR="00F76FEA">
        <w:t xml:space="preserve">ot. (Tree density in a plot was </w:t>
      </w:r>
      <w:r w:rsidR="00F76FEA" w:rsidRPr="00F76FEA">
        <w:t xml:space="preserve">expressed on a ha‐1 </w:t>
      </w:r>
      <w:proofErr w:type="gramStart"/>
      <w:r w:rsidR="00F76FEA" w:rsidRPr="00F76FEA">
        <w:t>basis,</w:t>
      </w:r>
      <w:proofErr w:type="gramEnd"/>
      <w:r w:rsidR="00F76FEA" w:rsidRPr="00F76FEA">
        <w:t xml:space="preserve"> and the trees corresponding to </w:t>
      </w:r>
      <w:r w:rsidR="00F76FEA" w:rsidRPr="00F76FEA">
        <w:lastRenderedPageBreak/>
        <w:t>the tallest 100 trees ha‐</w:t>
      </w:r>
      <w:r w:rsidR="00F76FEA">
        <w:t xml:space="preserve">1 </w:t>
      </w:r>
      <w:r w:rsidR="00F76FEA" w:rsidRPr="00F76FEA">
        <w:t>used in this calculation). Prediction errors were 0.5‐</w:t>
      </w:r>
      <w:r w:rsidR="00F76FEA">
        <w:t xml:space="preserve">1.9 m, with the greatest errors </w:t>
      </w:r>
      <w:r w:rsidR="00F76FEA" w:rsidRPr="00F76FEA">
        <w:t>again in taller trees.</w:t>
      </w:r>
    </w:p>
    <w:p w:rsidR="00371F98" w:rsidRDefault="00371F98" w:rsidP="00371F98">
      <w:r>
        <w:t xml:space="preserve">Individual bole volume was calculated using </w:t>
      </w:r>
      <w:proofErr w:type="spellStart"/>
      <w:r>
        <w:t>dbh</w:t>
      </w:r>
      <w:proofErr w:type="spellEnd"/>
      <w:r>
        <w:t xml:space="preserve"> and tree height, together with equations for bole taper</w:t>
      </w:r>
    </w:p>
    <w:p w:rsidR="00B92A3E" w:rsidRPr="00345CD1" w:rsidRDefault="00042E16" w:rsidP="00994944">
      <w:pPr>
        <w:rPr>
          <w:b/>
        </w:rPr>
      </w:pPr>
      <w:r w:rsidRPr="00345CD1">
        <w:rPr>
          <w:b/>
        </w:rPr>
        <w:t>SPPNO</w:t>
      </w:r>
    </w:p>
    <w:p w:rsidR="00042E16" w:rsidRPr="00345CD1" w:rsidRDefault="00042E16" w:rsidP="00994944">
      <w:pPr>
        <w:rPr>
          <w:b/>
        </w:rPr>
      </w:pPr>
      <w:r w:rsidRPr="00345CD1">
        <w:rPr>
          <w:b/>
        </w:rPr>
        <w:t>INSTALL</w:t>
      </w:r>
    </w:p>
    <w:p w:rsidR="00042E16" w:rsidRPr="00345CD1" w:rsidRDefault="00042E16" w:rsidP="00994944">
      <w:pPr>
        <w:rPr>
          <w:b/>
        </w:rPr>
      </w:pPr>
      <w:r w:rsidRPr="00345CD1">
        <w:rPr>
          <w:b/>
        </w:rPr>
        <w:t>PLOT</w:t>
      </w:r>
    </w:p>
    <w:p w:rsidR="00042E16" w:rsidRPr="00345CD1" w:rsidRDefault="00042E16" w:rsidP="00994944">
      <w:pPr>
        <w:rPr>
          <w:b/>
        </w:rPr>
      </w:pPr>
      <w:r w:rsidRPr="00345CD1">
        <w:rPr>
          <w:b/>
        </w:rPr>
        <w:t>TREE</w:t>
      </w:r>
    </w:p>
    <w:p w:rsidR="00042E16" w:rsidRPr="00446BCA" w:rsidRDefault="00042E16" w:rsidP="00994944">
      <w:pPr>
        <w:rPr>
          <w:color w:val="FF0000"/>
        </w:rPr>
      </w:pPr>
      <w:r w:rsidRPr="00345CD1">
        <w:rPr>
          <w:b/>
        </w:rPr>
        <w:t>BV0-BV7</w:t>
      </w:r>
      <w:r w:rsidR="008F1041" w:rsidRPr="00345CD1">
        <w:rPr>
          <w:b/>
        </w:rPr>
        <w:t>:</w:t>
      </w:r>
      <w:r w:rsidR="008F1041" w:rsidRPr="008F1041">
        <w:t xml:space="preserve"> bole volume estimated at plot establishment, 0</w:t>
      </w:r>
      <w:r w:rsidR="008F1041" w:rsidRPr="008F1041">
        <w:rPr>
          <w:vertAlign w:val="superscript"/>
        </w:rPr>
        <w:t>th</w:t>
      </w:r>
      <w:r w:rsidR="008F1041" w:rsidRPr="008F1041">
        <w:t>, 3</w:t>
      </w:r>
      <w:r w:rsidR="008F1041" w:rsidRPr="008F1041">
        <w:rPr>
          <w:vertAlign w:val="superscript"/>
        </w:rPr>
        <w:t>rd</w:t>
      </w:r>
      <w:r w:rsidR="008F1041" w:rsidRPr="008F1041">
        <w:t>, 6</w:t>
      </w:r>
      <w:r w:rsidR="008F1041" w:rsidRPr="008F1041">
        <w:rPr>
          <w:vertAlign w:val="superscript"/>
        </w:rPr>
        <w:t>th</w:t>
      </w:r>
      <w:r w:rsidR="008F1041" w:rsidRPr="008F1041">
        <w:t>, 9</w:t>
      </w:r>
      <w:r w:rsidR="008F1041" w:rsidRPr="008F1041">
        <w:rPr>
          <w:vertAlign w:val="superscript"/>
        </w:rPr>
        <w:t>th</w:t>
      </w:r>
      <w:r w:rsidR="008F1041" w:rsidRPr="008F1041">
        <w:t>, 12</w:t>
      </w:r>
      <w:r w:rsidR="008F1041" w:rsidRPr="008F1041">
        <w:rPr>
          <w:vertAlign w:val="superscript"/>
        </w:rPr>
        <w:t>th</w:t>
      </w:r>
      <w:r w:rsidR="008F1041" w:rsidRPr="008F1041">
        <w:t>, 18</w:t>
      </w:r>
      <w:r w:rsidR="008F1041" w:rsidRPr="008F1041">
        <w:rPr>
          <w:vertAlign w:val="superscript"/>
        </w:rPr>
        <w:t>th</w:t>
      </w:r>
      <w:r w:rsidR="008F1041" w:rsidRPr="008F1041">
        <w:t>, and 24</w:t>
      </w:r>
      <w:r w:rsidR="008F1041" w:rsidRPr="008F1041">
        <w:rPr>
          <w:vertAlign w:val="superscript"/>
        </w:rPr>
        <w:t>th</w:t>
      </w:r>
      <w:r w:rsidR="008F1041" w:rsidRPr="008F1041">
        <w:t xml:space="preserve"> year. If there is a decrease in bole volume, bole volume was set </w:t>
      </w:r>
      <w:r w:rsidR="00D57053">
        <w:t>to be the same as previous year in hazard analysis, but not corrected in this data set.</w:t>
      </w:r>
    </w:p>
    <w:p w:rsidR="005C376A" w:rsidRDefault="007922D2" w:rsidP="005C376A">
      <w:pPr>
        <w:pStyle w:val="Heading1"/>
        <w:numPr>
          <w:ilvl w:val="0"/>
          <w:numId w:val="2"/>
        </w:numPr>
        <w:rPr>
          <w:color w:val="auto"/>
          <w:sz w:val="26"/>
          <w:szCs w:val="26"/>
        </w:rPr>
      </w:pPr>
      <w:r>
        <w:rPr>
          <w:color w:val="auto"/>
          <w:sz w:val="26"/>
          <w:szCs w:val="26"/>
        </w:rPr>
        <w:t>Tree</w:t>
      </w:r>
      <w:r w:rsidR="00042E16" w:rsidRPr="00042E16">
        <w:rPr>
          <w:color w:val="auto"/>
          <w:sz w:val="26"/>
          <w:szCs w:val="26"/>
        </w:rPr>
        <w:t xml:space="preserve"> Data for</w:t>
      </w:r>
      <w:r>
        <w:rPr>
          <w:color w:val="auto"/>
          <w:sz w:val="26"/>
          <w:szCs w:val="26"/>
        </w:rPr>
        <w:t xml:space="preserve"> Scot’s</w:t>
      </w:r>
      <w:r w:rsidR="00042E16" w:rsidRPr="00042E16">
        <w:rPr>
          <w:color w:val="auto"/>
          <w:sz w:val="26"/>
          <w:szCs w:val="26"/>
        </w:rPr>
        <w:t xml:space="preserve"> Hazard Analysis</w:t>
      </w:r>
    </w:p>
    <w:p w:rsidR="004F3243" w:rsidRPr="004F3243" w:rsidRDefault="004F3243" w:rsidP="004F3243">
      <w:pPr>
        <w:rPr>
          <w:b/>
          <w:sz w:val="26"/>
          <w:szCs w:val="26"/>
        </w:rPr>
      </w:pPr>
      <w:r w:rsidRPr="004F3243">
        <w:rPr>
          <w:b/>
          <w:sz w:val="26"/>
          <w:szCs w:val="26"/>
        </w:rPr>
        <w:t>T</w:t>
      </w:r>
      <w:r w:rsidR="00B86E4E">
        <w:rPr>
          <w:b/>
          <w:sz w:val="26"/>
          <w:szCs w:val="26"/>
        </w:rPr>
        <w:t>t</w:t>
      </w:r>
      <w:r w:rsidRPr="004F3243">
        <w:rPr>
          <w:b/>
          <w:sz w:val="26"/>
          <w:szCs w:val="26"/>
        </w:rPr>
        <w:t>ree2.ssd</w:t>
      </w:r>
    </w:p>
    <w:p w:rsidR="0029380B" w:rsidRDefault="0029380B" w:rsidP="005C376A">
      <w:r>
        <w:t xml:space="preserve">Complete census was made at </w:t>
      </w:r>
      <w:proofErr w:type="spellStart"/>
      <w:r>
        <w:t>yr</w:t>
      </w:r>
      <w:proofErr w:type="spellEnd"/>
      <w:r>
        <w:t xml:space="preserve"> 0(year of 1973), 3(1976), 6(1979), 9(1982), 12(1985), 18(1991), and 24(1997). DBH and Status were collected in each census year. </w:t>
      </w:r>
      <w:r w:rsidRPr="004E0D68">
        <w:t>On a sub</w:t>
      </w:r>
      <w:r w:rsidRPr="004E0D68">
        <w:rPr>
          <w:rFonts w:ascii="Cambria Math" w:hAnsi="Cambria Math" w:cs="Cambria Math"/>
        </w:rPr>
        <w:t>‐</w:t>
      </w:r>
      <w:r w:rsidRPr="004E0D68">
        <w:t>sample of trees, height and height to</w:t>
      </w:r>
      <w:r>
        <w:t xml:space="preserve"> </w:t>
      </w:r>
      <w:r w:rsidRPr="004E0D68">
        <w:t>base of live crown were measured</w:t>
      </w:r>
      <w:r>
        <w:t xml:space="preserve">. Three periods were estimated for hazards: </w:t>
      </w:r>
      <w:r w:rsidR="006124EA">
        <w:t xml:space="preserve">yr6~yr12; </w:t>
      </w:r>
      <w:proofErr w:type="spellStart"/>
      <w:r>
        <w:t>yr</w:t>
      </w:r>
      <w:proofErr w:type="spellEnd"/>
      <w:r>
        <w:t xml:space="preserve"> 12~18; </w:t>
      </w:r>
      <w:proofErr w:type="spellStart"/>
      <w:r>
        <w:t>yr</w:t>
      </w:r>
      <w:proofErr w:type="spellEnd"/>
      <w:r>
        <w:t xml:space="preserve"> 18~24. For each of the 22 site (installation), 2 plots</w:t>
      </w:r>
      <w:r w:rsidR="006124EA">
        <w:t>.</w:t>
      </w:r>
    </w:p>
    <w:p w:rsidR="006124EA" w:rsidRPr="006124EA" w:rsidRDefault="006124EA" w:rsidP="005C376A">
      <w:pPr>
        <w:rPr>
          <w:color w:val="0B049A"/>
        </w:rPr>
      </w:pPr>
      <w:r w:rsidRPr="006124EA">
        <w:rPr>
          <w:color w:val="0B049A"/>
        </w:rPr>
        <w:t>The first period was said to be the 3</w:t>
      </w:r>
      <w:r w:rsidRPr="006124EA">
        <w:rPr>
          <w:color w:val="0B049A"/>
          <w:vertAlign w:val="superscript"/>
        </w:rPr>
        <w:t>rd</w:t>
      </w:r>
      <w:r w:rsidRPr="006124EA">
        <w:rPr>
          <w:color w:val="0B049A"/>
        </w:rPr>
        <w:t>~9</w:t>
      </w:r>
      <w:r w:rsidRPr="006124EA">
        <w:rPr>
          <w:color w:val="0B049A"/>
          <w:vertAlign w:val="superscript"/>
        </w:rPr>
        <w:t>th</w:t>
      </w:r>
      <w:r w:rsidRPr="006124EA">
        <w:rPr>
          <w:color w:val="0B049A"/>
        </w:rPr>
        <w:t xml:space="preserve"> year in the manuscript, but Lixi crosschecked </w:t>
      </w:r>
      <w:r>
        <w:rPr>
          <w:color w:val="0B049A"/>
        </w:rPr>
        <w:t>“</w:t>
      </w:r>
      <w:proofErr w:type="spellStart"/>
      <w:r w:rsidRPr="006124EA">
        <w:rPr>
          <w:color w:val="0B049A"/>
        </w:rPr>
        <w:t>pbv</w:t>
      </w:r>
      <w:proofErr w:type="spellEnd"/>
      <w:r>
        <w:rPr>
          <w:color w:val="0B049A"/>
        </w:rPr>
        <w:t>”</w:t>
      </w:r>
      <w:r w:rsidRPr="006124EA">
        <w:rPr>
          <w:color w:val="0B049A"/>
        </w:rPr>
        <w:t xml:space="preserve"> in </w:t>
      </w:r>
      <w:r>
        <w:rPr>
          <w:color w:val="0B049A"/>
        </w:rPr>
        <w:t>“</w:t>
      </w:r>
      <w:r w:rsidRPr="006124EA">
        <w:rPr>
          <w:color w:val="0B049A"/>
        </w:rPr>
        <w:t>ttree2</w:t>
      </w:r>
      <w:r>
        <w:rPr>
          <w:color w:val="0B049A"/>
        </w:rPr>
        <w:t>”</w:t>
      </w:r>
      <w:r w:rsidRPr="006124EA">
        <w:rPr>
          <w:color w:val="0B049A"/>
        </w:rPr>
        <w:t xml:space="preserve"> and BVs in </w:t>
      </w:r>
      <w:r>
        <w:rPr>
          <w:color w:val="0B049A"/>
        </w:rPr>
        <w:t>“</w:t>
      </w:r>
      <w:proofErr w:type="spellStart"/>
      <w:r w:rsidRPr="006124EA">
        <w:rPr>
          <w:color w:val="0B049A"/>
        </w:rPr>
        <w:t>treebvol</w:t>
      </w:r>
      <w:proofErr w:type="spellEnd"/>
      <w:r>
        <w:rPr>
          <w:color w:val="0B049A"/>
        </w:rPr>
        <w:t>”</w:t>
      </w:r>
      <w:r w:rsidRPr="006124EA">
        <w:rPr>
          <w:color w:val="0B049A"/>
        </w:rPr>
        <w:t xml:space="preserve">, and </w:t>
      </w:r>
      <w:r>
        <w:rPr>
          <w:color w:val="0B049A"/>
        </w:rPr>
        <w:t>“</w:t>
      </w:r>
      <w:r w:rsidRPr="006124EA">
        <w:rPr>
          <w:color w:val="0B049A"/>
        </w:rPr>
        <w:t>died</w:t>
      </w:r>
      <w:r>
        <w:rPr>
          <w:color w:val="0B049A"/>
        </w:rPr>
        <w:t>”</w:t>
      </w:r>
      <w:r w:rsidRPr="006124EA">
        <w:rPr>
          <w:color w:val="0B049A"/>
        </w:rPr>
        <w:t xml:space="preserve"> in </w:t>
      </w:r>
      <w:r>
        <w:rPr>
          <w:color w:val="0B049A"/>
        </w:rPr>
        <w:t>“</w:t>
      </w:r>
      <w:r w:rsidRPr="006124EA">
        <w:rPr>
          <w:color w:val="0B049A"/>
        </w:rPr>
        <w:t>ttree2</w:t>
      </w:r>
      <w:r>
        <w:rPr>
          <w:color w:val="0B049A"/>
        </w:rPr>
        <w:t>”</w:t>
      </w:r>
      <w:r w:rsidRPr="006124EA">
        <w:rPr>
          <w:color w:val="0B049A"/>
        </w:rPr>
        <w:t xml:space="preserve"> and STATs in </w:t>
      </w:r>
      <w:r>
        <w:rPr>
          <w:color w:val="0B049A"/>
        </w:rPr>
        <w:t>“</w:t>
      </w:r>
      <w:r w:rsidRPr="006124EA">
        <w:rPr>
          <w:color w:val="0B049A"/>
        </w:rPr>
        <w:t>tree</w:t>
      </w:r>
      <w:r>
        <w:rPr>
          <w:color w:val="0B049A"/>
        </w:rPr>
        <w:t>”</w:t>
      </w:r>
      <w:r w:rsidRPr="006124EA">
        <w:rPr>
          <w:color w:val="0B049A"/>
        </w:rPr>
        <w:t>, and looked at code “presci1.inc” with Scot and decided, the first period was actually 6</w:t>
      </w:r>
      <w:r w:rsidRPr="006124EA">
        <w:rPr>
          <w:color w:val="0B049A"/>
          <w:vertAlign w:val="superscript"/>
        </w:rPr>
        <w:t>th</w:t>
      </w:r>
      <w:r w:rsidRPr="006124EA">
        <w:rPr>
          <w:color w:val="0B049A"/>
        </w:rPr>
        <w:t>~12</w:t>
      </w:r>
      <w:r w:rsidRPr="006124EA">
        <w:rPr>
          <w:color w:val="0B049A"/>
          <w:vertAlign w:val="superscript"/>
        </w:rPr>
        <w:t>th</w:t>
      </w:r>
      <w:r w:rsidRPr="006124EA">
        <w:rPr>
          <w:color w:val="0B049A"/>
        </w:rPr>
        <w:t xml:space="preserve"> year.</w:t>
      </w:r>
    </w:p>
    <w:p w:rsidR="00042E16" w:rsidRDefault="00042E16" w:rsidP="00042E16">
      <w:pPr>
        <w:rPr>
          <w:i/>
        </w:rPr>
      </w:pPr>
      <w:r w:rsidRPr="002F0B7A">
        <w:rPr>
          <w:b/>
          <w:i/>
        </w:rPr>
        <w:t>Tree2.ssd</w:t>
      </w:r>
      <w:r>
        <w:t xml:space="preserve"> is the data set Scot used for his thesis, which only includes Douglas fir trees from the control plots. </w:t>
      </w:r>
      <w:proofErr w:type="spellStart"/>
      <w:r w:rsidRPr="002F0B7A">
        <w:rPr>
          <w:b/>
          <w:i/>
        </w:rPr>
        <w:t>Tree.ssd</w:t>
      </w:r>
      <w:proofErr w:type="spellEnd"/>
      <w:r>
        <w:rPr>
          <w:i/>
        </w:rPr>
        <w:t xml:space="preserve"> has other data from 20%, 35%, and 50% basal area removed plots too.</w:t>
      </w:r>
    </w:p>
    <w:p w:rsidR="00050AF6" w:rsidRDefault="00451243" w:rsidP="00994944">
      <w:r>
        <w:t xml:space="preserve">Main variables in </w:t>
      </w:r>
      <w:r w:rsidRPr="00451243">
        <w:rPr>
          <w:b/>
        </w:rPr>
        <w:t>tree2.ssd</w:t>
      </w:r>
    </w:p>
    <w:p w:rsidR="00050AF6" w:rsidRDefault="00050AF6" w:rsidP="00994944">
      <w:pPr>
        <w:rPr>
          <w:b/>
        </w:rPr>
      </w:pPr>
      <w:r>
        <w:rPr>
          <w:b/>
        </w:rPr>
        <w:t>SPPNO</w:t>
      </w:r>
      <w:r w:rsidR="00D320E0">
        <w:rPr>
          <w:b/>
        </w:rPr>
        <w:t xml:space="preserve">: </w:t>
      </w:r>
      <w:r w:rsidR="00D320E0" w:rsidRPr="00D320E0">
        <w:t xml:space="preserve">1=Douglas </w:t>
      </w:r>
      <w:proofErr w:type="gramStart"/>
      <w:r w:rsidR="00D320E0" w:rsidRPr="00D320E0">
        <w:t>Fir</w:t>
      </w:r>
      <w:proofErr w:type="gramEnd"/>
      <w:r w:rsidR="000574FA">
        <w:t>. 2=Western Hemlock. 3=other species.</w:t>
      </w:r>
    </w:p>
    <w:p w:rsidR="00050AF6" w:rsidRPr="0092331A" w:rsidRDefault="00050AF6" w:rsidP="00994944">
      <w:r>
        <w:rPr>
          <w:b/>
        </w:rPr>
        <w:t>INSTALL</w:t>
      </w:r>
      <w:r w:rsidR="0092331A">
        <w:rPr>
          <w:b/>
        </w:rPr>
        <w:t xml:space="preserve">: </w:t>
      </w:r>
      <w:r w:rsidR="0092331A">
        <w:t>installation number</w:t>
      </w:r>
    </w:p>
    <w:p w:rsidR="00050AF6" w:rsidRPr="0092331A" w:rsidRDefault="00050AF6" w:rsidP="00994944">
      <w:r>
        <w:rPr>
          <w:b/>
        </w:rPr>
        <w:t>PLOT</w:t>
      </w:r>
      <w:r w:rsidR="0092331A">
        <w:rPr>
          <w:b/>
        </w:rPr>
        <w:t xml:space="preserve">: </w:t>
      </w:r>
      <w:r w:rsidR="0092331A">
        <w:t>plot number</w:t>
      </w:r>
    </w:p>
    <w:p w:rsidR="00050AF6" w:rsidRPr="0092331A" w:rsidRDefault="00050AF6" w:rsidP="00994944">
      <w:r>
        <w:rPr>
          <w:b/>
        </w:rPr>
        <w:t>TREE</w:t>
      </w:r>
      <w:r w:rsidR="0092331A">
        <w:rPr>
          <w:b/>
        </w:rPr>
        <w:t xml:space="preserve">: </w:t>
      </w:r>
      <w:r w:rsidR="0092331A">
        <w:t>tree tag number.</w:t>
      </w:r>
    </w:p>
    <w:p w:rsidR="00050AF6" w:rsidRPr="00C465AC" w:rsidRDefault="00050AF6" w:rsidP="00994944">
      <w:r>
        <w:rPr>
          <w:b/>
        </w:rPr>
        <w:t>SI</w:t>
      </w:r>
      <w:r w:rsidR="00C465AC">
        <w:rPr>
          <w:b/>
        </w:rPr>
        <w:t xml:space="preserve">: </w:t>
      </w:r>
      <w:r w:rsidR="00C465AC">
        <w:t xml:space="preserve">site index. Scot </w:t>
      </w:r>
      <w:r w:rsidR="00C465AC" w:rsidRPr="00C465AC">
        <w:t>Divided into 3 classes</w:t>
      </w:r>
      <w:r w:rsidR="00C465AC">
        <w:t xml:space="preserve"> for hazard analysis</w:t>
      </w:r>
      <w:r w:rsidR="00C465AC" w:rsidRPr="00C465AC">
        <w:t>. If SI &lt;=24 then it’s ‘L’; if 24&lt;SI&lt;= 29 then it’s ‘M’; if SI &gt; 29, then it’s “H”</w:t>
      </w:r>
    </w:p>
    <w:p w:rsidR="00050AF6" w:rsidRPr="00F26903" w:rsidRDefault="00050AF6" w:rsidP="00994944">
      <w:r>
        <w:rPr>
          <w:b/>
        </w:rPr>
        <w:t>DWT</w:t>
      </w:r>
      <w:r w:rsidR="00F26903">
        <w:rPr>
          <w:b/>
        </w:rPr>
        <w:t xml:space="preserve">: </w:t>
      </w:r>
      <w:r w:rsidR="00F26903">
        <w:t xml:space="preserve">weight variable. </w:t>
      </w:r>
      <w:proofErr w:type="gramStart"/>
      <w:r w:rsidR="00F26903" w:rsidRPr="00F26903">
        <w:rPr>
          <w:b/>
        </w:rPr>
        <w:t>dwt=</w:t>
      </w:r>
      <w:proofErr w:type="gramEnd"/>
      <w:r w:rsidR="00F26903" w:rsidRPr="00F26903">
        <w:rPr>
          <w:b/>
        </w:rPr>
        <w:t>1/</w:t>
      </w:r>
      <w:proofErr w:type="spellStart"/>
      <w:r w:rsidR="00F26903" w:rsidRPr="00F26903">
        <w:rPr>
          <w:b/>
        </w:rPr>
        <w:t>pltarea</w:t>
      </w:r>
      <w:proofErr w:type="spellEnd"/>
    </w:p>
    <w:p w:rsidR="00D25AE2" w:rsidRPr="00BC2A8A" w:rsidRDefault="00050AF6" w:rsidP="00D25AE2">
      <w:pPr>
        <w:spacing w:after="0"/>
      </w:pPr>
      <w:proofErr w:type="gramStart"/>
      <w:r>
        <w:rPr>
          <w:b/>
        </w:rPr>
        <w:lastRenderedPageBreak/>
        <w:t>DIED</w:t>
      </w:r>
      <w:r w:rsidR="00D25AE2">
        <w:rPr>
          <w:b/>
        </w:rPr>
        <w:t xml:space="preserve">: </w:t>
      </w:r>
      <w:r w:rsidR="004A1DE4">
        <w:rPr>
          <w:b/>
        </w:rPr>
        <w:t>“</w:t>
      </w:r>
      <w:r w:rsidR="00BC2A8A">
        <w:t>died</w:t>
      </w:r>
      <w:r w:rsidR="004A1DE4">
        <w:t>”</w:t>
      </w:r>
      <w:r w:rsidR="00BC2A8A">
        <w:t xml:space="preserve"> for period 5, 6, and 7 correspond to STAT3, STAT5, and STAT6 in “tree” data set after “come back alive” trees were corrected for status.</w:t>
      </w:r>
      <w:proofErr w:type="gramEnd"/>
    </w:p>
    <w:p w:rsidR="00050AF6" w:rsidRPr="00D25AE2" w:rsidRDefault="00D25AE2" w:rsidP="00D25AE2">
      <w:pPr>
        <w:pStyle w:val="ListParagraph"/>
        <w:numPr>
          <w:ilvl w:val="0"/>
          <w:numId w:val="11"/>
        </w:numPr>
      </w:pPr>
      <w:r w:rsidRPr="00D25AE2">
        <w:t>1=dead at end of a hazard period</w:t>
      </w:r>
    </w:p>
    <w:p w:rsidR="00D25AE2" w:rsidRPr="00D25AE2" w:rsidRDefault="00D25AE2" w:rsidP="00D25AE2">
      <w:pPr>
        <w:pStyle w:val="ListParagraph"/>
        <w:numPr>
          <w:ilvl w:val="0"/>
          <w:numId w:val="11"/>
        </w:numPr>
      </w:pPr>
      <w:r w:rsidRPr="00D25AE2">
        <w:t>0=live at end of a hazard period</w:t>
      </w:r>
    </w:p>
    <w:p w:rsidR="00050AF6" w:rsidRPr="00D25AE2" w:rsidRDefault="00050AF6" w:rsidP="00055416">
      <w:pPr>
        <w:spacing w:after="0"/>
      </w:pPr>
      <w:r>
        <w:rPr>
          <w:b/>
        </w:rPr>
        <w:t>PERIOD</w:t>
      </w:r>
      <w:r w:rsidR="00055416">
        <w:rPr>
          <w:b/>
        </w:rPr>
        <w:t xml:space="preserve">: </w:t>
      </w:r>
      <w:r w:rsidR="00D25AE2">
        <w:t>hazard periods.</w:t>
      </w:r>
    </w:p>
    <w:p w:rsidR="00055416" w:rsidRPr="00055416" w:rsidRDefault="00055416" w:rsidP="00055416">
      <w:pPr>
        <w:pStyle w:val="ListParagraph"/>
        <w:numPr>
          <w:ilvl w:val="0"/>
          <w:numId w:val="10"/>
        </w:numPr>
        <w:rPr>
          <w:b/>
        </w:rPr>
      </w:pPr>
      <w:r>
        <w:t>5: first hazard period. 6</w:t>
      </w:r>
      <w:r w:rsidRPr="00055416">
        <w:rPr>
          <w:vertAlign w:val="superscript"/>
        </w:rPr>
        <w:t>th</w:t>
      </w:r>
      <w:r>
        <w:t xml:space="preserve"> ~12</w:t>
      </w:r>
      <w:r w:rsidRPr="00055416">
        <w:rPr>
          <w:vertAlign w:val="superscript"/>
        </w:rPr>
        <w:t>th</w:t>
      </w:r>
      <w:r>
        <w:t xml:space="preserve"> year.</w:t>
      </w:r>
    </w:p>
    <w:p w:rsidR="00055416" w:rsidRPr="00055416" w:rsidRDefault="00055416" w:rsidP="00055416">
      <w:pPr>
        <w:pStyle w:val="ListParagraph"/>
        <w:numPr>
          <w:ilvl w:val="0"/>
          <w:numId w:val="10"/>
        </w:numPr>
        <w:rPr>
          <w:b/>
        </w:rPr>
      </w:pPr>
      <w:r>
        <w:t>6: second hazard period. 12</w:t>
      </w:r>
      <w:r w:rsidRPr="00055416">
        <w:rPr>
          <w:vertAlign w:val="superscript"/>
        </w:rPr>
        <w:t>th</w:t>
      </w:r>
      <w:r>
        <w:t>~18</w:t>
      </w:r>
      <w:r w:rsidRPr="00055416">
        <w:rPr>
          <w:vertAlign w:val="superscript"/>
        </w:rPr>
        <w:t>th</w:t>
      </w:r>
      <w:r>
        <w:t xml:space="preserve"> year.</w:t>
      </w:r>
    </w:p>
    <w:p w:rsidR="00055416" w:rsidRPr="00055416" w:rsidRDefault="00055416" w:rsidP="00883C63">
      <w:pPr>
        <w:pStyle w:val="ListParagraph"/>
        <w:numPr>
          <w:ilvl w:val="0"/>
          <w:numId w:val="10"/>
        </w:numPr>
        <w:spacing w:after="0"/>
        <w:rPr>
          <w:b/>
        </w:rPr>
      </w:pPr>
      <w:r>
        <w:t>7: third hazard period. 18</w:t>
      </w:r>
      <w:r w:rsidRPr="00055416">
        <w:rPr>
          <w:vertAlign w:val="superscript"/>
        </w:rPr>
        <w:t>th</w:t>
      </w:r>
      <w:r>
        <w:t>~24</w:t>
      </w:r>
      <w:r w:rsidRPr="00055416">
        <w:rPr>
          <w:vertAlign w:val="superscript"/>
        </w:rPr>
        <w:t>th</w:t>
      </w:r>
      <w:r>
        <w:t xml:space="preserve"> year.</w:t>
      </w:r>
    </w:p>
    <w:p w:rsidR="00DA7D4F" w:rsidRDefault="00050AF6" w:rsidP="00DA7D4F">
      <w:r>
        <w:rPr>
          <w:b/>
        </w:rPr>
        <w:t>PPBV</w:t>
      </w:r>
      <w:r w:rsidR="00DA7D4F">
        <w:rPr>
          <w:b/>
        </w:rPr>
        <w:t xml:space="preserve">: </w:t>
      </w:r>
      <w:r w:rsidR="00DA7D4F">
        <w:t xml:space="preserve">prior </w:t>
      </w:r>
      <w:proofErr w:type="spellStart"/>
      <w:r w:rsidR="00DA7D4F">
        <w:t>prior</w:t>
      </w:r>
      <w:proofErr w:type="spellEnd"/>
      <w:r w:rsidR="00DA7D4F">
        <w:t xml:space="preserve"> bole volume. B</w:t>
      </w:r>
      <w:r w:rsidR="00F87AE3">
        <w:t>ole volume three years before the first two</w:t>
      </w:r>
      <w:r w:rsidR="00DA7D4F">
        <w:t xml:space="preserve"> hazard period</w:t>
      </w:r>
      <w:r w:rsidR="00F87AE3">
        <w:t>s, and 6 years before the 3</w:t>
      </w:r>
      <w:r w:rsidR="00F87AE3" w:rsidRPr="00F87AE3">
        <w:rPr>
          <w:vertAlign w:val="superscript"/>
        </w:rPr>
        <w:t>rd</w:t>
      </w:r>
      <w:r w:rsidR="00F87AE3">
        <w:t xml:space="preserve"> hazard period. </w:t>
      </w:r>
      <w:proofErr w:type="spellStart"/>
      <w:proofErr w:type="gramStart"/>
      <w:r w:rsidR="00F87AE3">
        <w:t>ppbv</w:t>
      </w:r>
      <w:proofErr w:type="spellEnd"/>
      <w:proofErr w:type="gramEnd"/>
      <w:r w:rsidR="00F87AE3">
        <w:t xml:space="preserve"> for period 5, 6, and 7 correspond to BV2, BV4, and BV5 in “</w:t>
      </w:r>
      <w:proofErr w:type="spellStart"/>
      <w:r w:rsidR="00F87AE3">
        <w:t>treebvol</w:t>
      </w:r>
      <w:proofErr w:type="spellEnd"/>
      <w:r w:rsidR="00F87AE3">
        <w:t>” data set.</w:t>
      </w:r>
    </w:p>
    <w:p w:rsidR="00050AF6" w:rsidRDefault="00050AF6" w:rsidP="00994944">
      <w:r>
        <w:rPr>
          <w:b/>
        </w:rPr>
        <w:t>PBV</w:t>
      </w:r>
      <w:r w:rsidR="00CA6B76">
        <w:rPr>
          <w:b/>
        </w:rPr>
        <w:t xml:space="preserve">: </w:t>
      </w:r>
      <w:r w:rsidR="00CA6B76">
        <w:t>prior bole volume for e</w:t>
      </w:r>
      <w:r w:rsidR="009A2902">
        <w:t>ach of the three hazard periods. PBV for period 5, 6, and 7 correspond to BV3, BV5, and BV6 in “</w:t>
      </w:r>
      <w:proofErr w:type="spellStart"/>
      <w:r w:rsidR="009A2902">
        <w:t>treebvol</w:t>
      </w:r>
      <w:proofErr w:type="spellEnd"/>
      <w:r w:rsidR="009A2902">
        <w:t>” after decrease in BV was corrected.</w:t>
      </w:r>
    </w:p>
    <w:p w:rsidR="00055416" w:rsidRPr="00055416" w:rsidRDefault="00055416" w:rsidP="00994944">
      <w:r w:rsidRPr="00055416">
        <w:rPr>
          <w:b/>
        </w:rPr>
        <w:t>MAXPBV</w:t>
      </w:r>
      <w:r>
        <w:rPr>
          <w:b/>
        </w:rPr>
        <w:t xml:space="preserve">: </w:t>
      </w:r>
      <w:r>
        <w:t>maximal prior bole volume</w:t>
      </w:r>
      <w:r w:rsidR="00CA4723">
        <w:t xml:space="preserve"> (</w:t>
      </w:r>
      <w:proofErr w:type="spellStart"/>
      <w:r w:rsidR="00CA4723" w:rsidRPr="00CA4723">
        <w:rPr>
          <w:b/>
        </w:rPr>
        <w:t>pbv</w:t>
      </w:r>
      <w:proofErr w:type="spellEnd"/>
      <w:proofErr w:type="gramStart"/>
      <w:r w:rsidR="00CA4723">
        <w:t xml:space="preserve">) </w:t>
      </w:r>
      <w:r>
        <w:t xml:space="preserve"> for</w:t>
      </w:r>
      <w:proofErr w:type="gramEnd"/>
      <w:r>
        <w:t xml:space="preserve"> each plot for each of the three hazard periods.</w:t>
      </w:r>
      <w:r w:rsidR="00CA4723">
        <w:t xml:space="preserve"> </w:t>
      </w:r>
    </w:p>
    <w:p w:rsidR="00B55BB2" w:rsidRPr="0024034D" w:rsidRDefault="00B55BB2" w:rsidP="00B55BB2">
      <w:pPr>
        <w:rPr>
          <w:color w:val="FF0000"/>
        </w:rPr>
      </w:pPr>
      <w:r>
        <w:rPr>
          <w:b/>
        </w:rPr>
        <w:t xml:space="preserve">EGBV: </w:t>
      </w:r>
      <w:r>
        <w:t>estimated gro</w:t>
      </w:r>
      <w:r w:rsidR="00175E56">
        <w:t>wth in bole volume over 3 years prior to</w:t>
      </w:r>
      <w:r w:rsidR="004E7079">
        <w:t xml:space="preserve"> the first two</w:t>
      </w:r>
      <w:r w:rsidR="00175E56">
        <w:t xml:space="preserve"> hazard period</w:t>
      </w:r>
      <w:r w:rsidR="004E7079">
        <w:t xml:space="preserve"> and 6 years prior to the 3</w:t>
      </w:r>
      <w:r w:rsidR="004E7079" w:rsidRPr="004E7079">
        <w:rPr>
          <w:vertAlign w:val="superscript"/>
        </w:rPr>
        <w:t>rd</w:t>
      </w:r>
      <w:r w:rsidR="004E7079">
        <w:t xml:space="preserve"> hazard period.</w:t>
      </w:r>
      <w:r w:rsidR="0024034D">
        <w:t xml:space="preserve"> </w:t>
      </w:r>
      <w:r w:rsidR="0024034D" w:rsidRPr="0024034D">
        <w:rPr>
          <w:color w:val="FF0000"/>
        </w:rPr>
        <w:t>This seem to be result from liner fit rather than nonlinear fit mentioned in the paper, which could be the reason why growth is not independent with size.</w:t>
      </w:r>
    </w:p>
    <w:p w:rsidR="00B55BB2" w:rsidRPr="00FE6477" w:rsidRDefault="00B55BB2" w:rsidP="00B55BB2">
      <w:r>
        <w:rPr>
          <w:b/>
          <w:i/>
        </w:rPr>
        <w:t xml:space="preserve">EPBV: </w:t>
      </w:r>
      <w:r>
        <w:t xml:space="preserve">estimated prior bole volume for each of the three hazard periods. </w:t>
      </w:r>
      <w:proofErr w:type="spellStart"/>
      <w:proofErr w:type="gramStart"/>
      <w:r>
        <w:rPr>
          <w:b/>
          <w:i/>
        </w:rPr>
        <w:t>epbv</w:t>
      </w:r>
      <w:proofErr w:type="spellEnd"/>
      <w:r>
        <w:rPr>
          <w:b/>
          <w:i/>
        </w:rPr>
        <w:t>=</w:t>
      </w:r>
      <w:proofErr w:type="spellStart"/>
      <w:proofErr w:type="gramEnd"/>
      <w:r>
        <w:rPr>
          <w:b/>
          <w:i/>
        </w:rPr>
        <w:t>ppbv+egbv</w:t>
      </w:r>
      <w:proofErr w:type="spellEnd"/>
      <w:r w:rsidR="00FE6477">
        <w:rPr>
          <w:b/>
          <w:i/>
        </w:rPr>
        <w:t xml:space="preserve">. </w:t>
      </w:r>
      <w:r w:rsidR="00FE6477" w:rsidRPr="00FE6477">
        <w:t xml:space="preserve">Notice this is different than </w:t>
      </w:r>
      <w:r w:rsidR="00FE6477" w:rsidRPr="00FE6477">
        <w:rPr>
          <w:b/>
        </w:rPr>
        <w:t>PBV</w:t>
      </w:r>
      <w:r w:rsidR="0092602C">
        <w:t xml:space="preserve">, sometimes when PBV is missing, there is </w:t>
      </w:r>
      <w:proofErr w:type="gramStart"/>
      <w:r w:rsidR="0092602C">
        <w:t>a</w:t>
      </w:r>
      <w:proofErr w:type="gramEnd"/>
      <w:r w:rsidR="0092602C">
        <w:t xml:space="preserve"> EPBV estimated.</w:t>
      </w:r>
    </w:p>
    <w:p w:rsidR="00050AF6" w:rsidRDefault="00050AF6" w:rsidP="00994944">
      <w:r>
        <w:rPr>
          <w:b/>
        </w:rPr>
        <w:t>GBV</w:t>
      </w:r>
      <w:r w:rsidR="00513482">
        <w:rPr>
          <w:b/>
        </w:rPr>
        <w:t xml:space="preserve">: </w:t>
      </w:r>
      <w:r w:rsidR="00F75E74">
        <w:t xml:space="preserve">actual </w:t>
      </w:r>
      <w:r w:rsidR="00513482">
        <w:t>growth in bole volume over 3</w:t>
      </w:r>
      <w:r w:rsidR="00BA16F1">
        <w:t>/6</w:t>
      </w:r>
      <w:r w:rsidR="00513482">
        <w:t xml:space="preserve"> years</w:t>
      </w:r>
      <w:r w:rsidR="00175E56">
        <w:t xml:space="preserve"> prior to hazard period</w:t>
      </w:r>
      <w:r w:rsidR="00513482">
        <w:t>.</w:t>
      </w:r>
      <w:r w:rsidR="00BA16F1">
        <w:t xml:space="preserve"> Details see CPGBV</w:t>
      </w:r>
    </w:p>
    <w:p w:rsidR="00BA16F1" w:rsidRDefault="00BA16F1" w:rsidP="00BA16F1">
      <w:r>
        <w:rPr>
          <w:b/>
        </w:rPr>
        <w:t xml:space="preserve">CPGBV: </w:t>
      </w:r>
      <w:r>
        <w:t xml:space="preserve">For the last hazard </w:t>
      </w:r>
      <w:r w:rsidR="0030561A">
        <w:t>period (</w:t>
      </w:r>
      <w:r>
        <w:t xml:space="preserve">yr18~yr24), because we didn’t have census in </w:t>
      </w:r>
      <w:proofErr w:type="spellStart"/>
      <w:r>
        <w:t>yr</w:t>
      </w:r>
      <w:proofErr w:type="spellEnd"/>
      <w:r>
        <w:t xml:space="preserve"> 15, so we only have growth from previous 6 years (yr12~yr18), so </w:t>
      </w:r>
      <w:proofErr w:type="spellStart"/>
      <w:r>
        <w:rPr>
          <w:b/>
          <w:i/>
        </w:rPr>
        <w:t>cpgbv</w:t>
      </w:r>
      <w:proofErr w:type="spellEnd"/>
      <w:r>
        <w:rPr>
          <w:b/>
          <w:i/>
        </w:rPr>
        <w:t>=</w:t>
      </w:r>
      <w:proofErr w:type="spellStart"/>
      <w:r>
        <w:rPr>
          <w:b/>
          <w:i/>
        </w:rPr>
        <w:t>gbv</w:t>
      </w:r>
      <w:proofErr w:type="spellEnd"/>
      <w:r>
        <w:rPr>
          <w:b/>
          <w:i/>
        </w:rPr>
        <w:t>/2</w:t>
      </w:r>
      <w:r>
        <w:t xml:space="preserve"> for the last period. </w:t>
      </w:r>
      <w:proofErr w:type="spellStart"/>
      <w:proofErr w:type="gramStart"/>
      <w:r>
        <w:rPr>
          <w:b/>
          <w:i/>
        </w:rPr>
        <w:t>cpgbv</w:t>
      </w:r>
      <w:proofErr w:type="spellEnd"/>
      <w:r>
        <w:rPr>
          <w:b/>
          <w:i/>
        </w:rPr>
        <w:t>=</w:t>
      </w:r>
      <w:proofErr w:type="spellStart"/>
      <w:proofErr w:type="gramEnd"/>
      <w:r>
        <w:rPr>
          <w:b/>
          <w:i/>
        </w:rPr>
        <w:t>gbv</w:t>
      </w:r>
      <w:proofErr w:type="spellEnd"/>
      <w:r>
        <w:t xml:space="preserve"> for the other two hazard periods.</w:t>
      </w:r>
      <w:r w:rsidR="00CA4723">
        <w:t xml:space="preserve"> Because estimated BV was corrected the same as pervious census when there is a decrease in BV, so for this case, </w:t>
      </w:r>
      <w:proofErr w:type="spellStart"/>
      <w:r w:rsidR="00CA4723">
        <w:t>gbv</w:t>
      </w:r>
      <w:proofErr w:type="spellEnd"/>
      <w:r w:rsidR="00CA4723">
        <w:t xml:space="preserve">=0, in order to avoid taking log of 0s, </w:t>
      </w:r>
      <w:proofErr w:type="spellStart"/>
      <w:r w:rsidR="00CA4723" w:rsidRPr="00CA4723">
        <w:rPr>
          <w:b/>
        </w:rPr>
        <w:t>cpgbv</w:t>
      </w:r>
      <w:proofErr w:type="spellEnd"/>
      <w:r w:rsidR="00CA4723">
        <w:t xml:space="preserve"> was set to be </w:t>
      </w:r>
      <w:r w:rsidR="00CA4723" w:rsidRPr="00CA4723">
        <w:rPr>
          <w:b/>
        </w:rPr>
        <w:t>0.0003</w:t>
      </w:r>
      <w:r w:rsidR="00CA4723">
        <w:t xml:space="preserve"> for this case.</w:t>
      </w:r>
    </w:p>
    <w:p w:rsidR="00A66832" w:rsidRDefault="00EB1110" w:rsidP="00BA16F1">
      <w:r w:rsidRPr="00EB1110">
        <w:rPr>
          <w:b/>
        </w:rPr>
        <w:t>LTPN</w:t>
      </w:r>
      <w:r w:rsidR="00A66832">
        <w:t>: Ln of total prior density for each plot.</w:t>
      </w:r>
      <w:r w:rsidR="00175E56">
        <w:t xml:space="preserve"> </w:t>
      </w:r>
      <w:proofErr w:type="gramStart"/>
      <w:r w:rsidR="00175E56" w:rsidRPr="00175E56">
        <w:rPr>
          <w:color w:val="FF0000"/>
        </w:rPr>
        <w:t>Unit?</w:t>
      </w:r>
      <w:proofErr w:type="gramEnd"/>
    </w:p>
    <w:p w:rsidR="00055416" w:rsidRDefault="00A66832" w:rsidP="00055416">
      <w:r w:rsidRPr="00EB1110">
        <w:rPr>
          <w:b/>
        </w:rPr>
        <w:t>LTN:</w:t>
      </w:r>
      <w:r>
        <w:t xml:space="preserve"> Ln of total density for each plot.</w:t>
      </w:r>
    </w:p>
    <w:p w:rsidR="00055416" w:rsidRPr="00C52B28" w:rsidRDefault="00055416" w:rsidP="00055416">
      <w:r w:rsidRPr="00055416">
        <w:rPr>
          <w:b/>
        </w:rPr>
        <w:t>DCMH:</w:t>
      </w:r>
      <w:r w:rsidRPr="00C52B28">
        <w:rPr>
          <w:b/>
          <w:i/>
        </w:rPr>
        <w:t xml:space="preserve"> </w:t>
      </w:r>
      <w:r w:rsidR="00C97C7B">
        <w:t xml:space="preserve">offset variable. </w:t>
      </w:r>
      <w:proofErr w:type="spellStart"/>
      <w:proofErr w:type="gramStart"/>
      <w:r w:rsidR="00C97C7B">
        <w:rPr>
          <w:b/>
        </w:rPr>
        <w:t>d</w:t>
      </w:r>
      <w:r w:rsidR="00C97C7B" w:rsidRPr="00C97C7B">
        <w:rPr>
          <w:b/>
        </w:rPr>
        <w:t>cmh</w:t>
      </w:r>
      <w:proofErr w:type="spellEnd"/>
      <w:r w:rsidR="00C97C7B" w:rsidRPr="00C97C7B">
        <w:rPr>
          <w:b/>
        </w:rPr>
        <w:t>=</w:t>
      </w:r>
      <w:proofErr w:type="gramEnd"/>
      <w:r w:rsidR="00C97C7B" w:rsidRPr="00C97C7B">
        <w:rPr>
          <w:b/>
        </w:rPr>
        <w:t>log(-1*(</w:t>
      </w:r>
      <w:proofErr w:type="spellStart"/>
      <w:r w:rsidR="00C97C7B" w:rsidRPr="00C97C7B">
        <w:rPr>
          <w:b/>
        </w:rPr>
        <w:t>ltn-ltpn</w:t>
      </w:r>
      <w:proofErr w:type="spellEnd"/>
      <w:r w:rsidR="00C97C7B" w:rsidRPr="00C97C7B">
        <w:rPr>
          <w:b/>
        </w:rPr>
        <w:t>));</w:t>
      </w:r>
    </w:p>
    <w:p w:rsidR="00175E56" w:rsidRPr="00E30E81" w:rsidRDefault="00175E56" w:rsidP="00BA16F1">
      <w:pPr>
        <w:rPr>
          <w:b/>
          <w:i/>
        </w:rPr>
      </w:pPr>
      <w:r w:rsidRPr="00E30E81">
        <w:rPr>
          <w:b/>
          <w:i/>
        </w:rPr>
        <w:t>Main variable in Hazard analysis</w:t>
      </w:r>
      <w:r w:rsidR="00F8778E">
        <w:rPr>
          <w:b/>
          <w:i/>
        </w:rPr>
        <w:t xml:space="preserve"> that </w:t>
      </w:r>
      <w:proofErr w:type="gramStart"/>
      <w:r w:rsidR="00F8778E">
        <w:rPr>
          <w:b/>
          <w:i/>
        </w:rPr>
        <w:t>were</w:t>
      </w:r>
      <w:proofErr w:type="gramEnd"/>
      <w:r w:rsidR="00F8778E">
        <w:rPr>
          <w:b/>
          <w:i/>
        </w:rPr>
        <w:t xml:space="preserve"> not in the ttree2 data set</w:t>
      </w:r>
      <w:r w:rsidRPr="00E30E81">
        <w:rPr>
          <w:b/>
          <w:i/>
        </w:rPr>
        <w:t>:</w:t>
      </w:r>
    </w:p>
    <w:p w:rsidR="00175E56" w:rsidRDefault="00175E56" w:rsidP="00BA16F1">
      <w:r w:rsidRPr="00175E56">
        <w:rPr>
          <w:b/>
        </w:rPr>
        <w:t>LRS:</w:t>
      </w:r>
      <w:r>
        <w:t xml:space="preserve"> Local relative size. In the paper, </w:t>
      </w:r>
      <w:r w:rsidRPr="000E697F">
        <w:rPr>
          <w:b/>
        </w:rPr>
        <w:t>LRS</w:t>
      </w:r>
      <w:r w:rsidRPr="000E697F">
        <w:rPr>
          <w:b/>
          <w:vertAlign w:val="superscript"/>
        </w:rPr>
        <w:t>-1</w:t>
      </w:r>
      <w:r>
        <w:t xml:space="preserve"> was used, and it was named as </w:t>
      </w:r>
      <w:proofErr w:type="spellStart"/>
      <w:r w:rsidRPr="00175E56">
        <w:rPr>
          <w:b/>
        </w:rPr>
        <w:t>lrepbv</w:t>
      </w:r>
      <w:proofErr w:type="spellEnd"/>
      <w:r>
        <w:t xml:space="preserve"> in the SAS codes.</w:t>
      </w:r>
    </w:p>
    <w:p w:rsidR="00055416" w:rsidRPr="00610148" w:rsidRDefault="00055416" w:rsidP="00055416">
      <w:pPr>
        <w:pStyle w:val="ListParagraph"/>
        <w:jc w:val="center"/>
        <w:rPr>
          <w:i/>
        </w:rPr>
      </w:pPr>
      <w:proofErr w:type="spellStart"/>
      <w:proofErr w:type="gramStart"/>
      <w:r>
        <w:rPr>
          <w:i/>
        </w:rPr>
        <w:t>lrepbv</w:t>
      </w:r>
      <w:proofErr w:type="spellEnd"/>
      <w:r>
        <w:rPr>
          <w:i/>
        </w:rPr>
        <w:t>=</w:t>
      </w:r>
      <w:proofErr w:type="spellStart"/>
      <w:proofErr w:type="gramEnd"/>
      <w:r>
        <w:rPr>
          <w:i/>
        </w:rPr>
        <w:t>ln</w:t>
      </w:r>
      <w:proofErr w:type="spellEnd"/>
      <w:r>
        <w:rPr>
          <w:i/>
        </w:rPr>
        <w:t>(</w:t>
      </w:r>
      <w:proofErr w:type="spellStart"/>
      <w:r>
        <w:rPr>
          <w:i/>
        </w:rPr>
        <w:t>maxpbv</w:t>
      </w:r>
      <w:proofErr w:type="spellEnd"/>
      <w:r>
        <w:rPr>
          <w:i/>
        </w:rPr>
        <w:t>/</w:t>
      </w:r>
      <w:proofErr w:type="spellStart"/>
      <w:r w:rsidRPr="00610148">
        <w:rPr>
          <w:i/>
        </w:rPr>
        <w:t>epbv</w:t>
      </w:r>
      <w:proofErr w:type="spellEnd"/>
      <w:r w:rsidRPr="00610148">
        <w:rPr>
          <w:i/>
        </w:rPr>
        <w:t xml:space="preserve">) when </w:t>
      </w:r>
      <w:proofErr w:type="spellStart"/>
      <w:r w:rsidRPr="00610148">
        <w:rPr>
          <w:i/>
        </w:rPr>
        <w:t>maxpbv</w:t>
      </w:r>
      <w:proofErr w:type="spellEnd"/>
      <w:r w:rsidRPr="00610148">
        <w:rPr>
          <w:i/>
        </w:rPr>
        <w:t>&gt;</w:t>
      </w:r>
      <w:proofErr w:type="spellStart"/>
      <w:r w:rsidRPr="00610148">
        <w:rPr>
          <w:i/>
        </w:rPr>
        <w:t>epbv</w:t>
      </w:r>
      <w:proofErr w:type="spellEnd"/>
      <w:r w:rsidRPr="00610148">
        <w:rPr>
          <w:i/>
        </w:rPr>
        <w:t>;</w:t>
      </w:r>
    </w:p>
    <w:p w:rsidR="00055416" w:rsidRDefault="00055416" w:rsidP="00055416">
      <w:pPr>
        <w:pStyle w:val="ListParagraph"/>
        <w:jc w:val="center"/>
        <w:rPr>
          <w:i/>
        </w:rPr>
      </w:pPr>
      <w:proofErr w:type="spellStart"/>
      <w:proofErr w:type="gramStart"/>
      <w:r w:rsidRPr="00610148">
        <w:rPr>
          <w:i/>
        </w:rPr>
        <w:t>lrepbv</w:t>
      </w:r>
      <w:proofErr w:type="spellEnd"/>
      <w:r w:rsidRPr="00610148">
        <w:rPr>
          <w:i/>
        </w:rPr>
        <w:t>=</w:t>
      </w:r>
      <w:proofErr w:type="gramEnd"/>
      <w:r w:rsidRPr="00610148">
        <w:rPr>
          <w:i/>
        </w:rPr>
        <w:t xml:space="preserve">0 if </w:t>
      </w:r>
      <w:proofErr w:type="spellStart"/>
      <w:r w:rsidRPr="00610148">
        <w:rPr>
          <w:i/>
        </w:rPr>
        <w:t>maxpbv</w:t>
      </w:r>
      <w:proofErr w:type="spellEnd"/>
      <w:r w:rsidRPr="00610148">
        <w:rPr>
          <w:i/>
        </w:rPr>
        <w:t xml:space="preserve"> &lt;=</w:t>
      </w:r>
      <w:proofErr w:type="spellStart"/>
      <w:r w:rsidRPr="00610148">
        <w:rPr>
          <w:i/>
        </w:rPr>
        <w:t>epbv</w:t>
      </w:r>
      <w:proofErr w:type="spellEnd"/>
      <w:r w:rsidRPr="00610148">
        <w:rPr>
          <w:i/>
        </w:rPr>
        <w:t>;</w:t>
      </w:r>
    </w:p>
    <w:p w:rsidR="00175E56" w:rsidRDefault="00C97C7B" w:rsidP="00BA16F1">
      <w:pPr>
        <w:rPr>
          <w:b/>
        </w:rPr>
      </w:pPr>
      <w:proofErr w:type="spellStart"/>
      <w:proofErr w:type="gramStart"/>
      <w:r w:rsidRPr="00C97C7B">
        <w:rPr>
          <w:b/>
        </w:rPr>
        <w:lastRenderedPageBreak/>
        <w:t>rGR</w:t>
      </w:r>
      <w:proofErr w:type="spellEnd"/>
      <w:proofErr w:type="gramEnd"/>
      <w:r w:rsidRPr="00C97C7B">
        <w:t xml:space="preserve">: residual growth, and it was named as </w:t>
      </w:r>
      <w:proofErr w:type="spellStart"/>
      <w:r w:rsidRPr="00C97C7B">
        <w:rPr>
          <w:b/>
        </w:rPr>
        <w:t>lpgperf</w:t>
      </w:r>
      <w:proofErr w:type="spellEnd"/>
      <w:r w:rsidRPr="00C97C7B">
        <w:t xml:space="preserve"> in the SAS codes</w:t>
      </w:r>
      <w:r>
        <w:rPr>
          <w:b/>
        </w:rPr>
        <w:t>.</w:t>
      </w:r>
    </w:p>
    <w:p w:rsidR="00C97C7B" w:rsidRPr="00C97C7B" w:rsidRDefault="00C97C7B" w:rsidP="00C97C7B">
      <w:pPr>
        <w:pStyle w:val="ListParagraph"/>
        <w:rPr>
          <w:i/>
        </w:rPr>
      </w:pPr>
      <w:r>
        <w:rPr>
          <w:i/>
          <w:color w:val="C00000"/>
        </w:rPr>
        <w:t xml:space="preserve">                                                </w:t>
      </w:r>
      <w:r w:rsidRPr="00C97C7B">
        <w:rPr>
          <w:i/>
        </w:rPr>
        <w:t xml:space="preserve">   </w:t>
      </w:r>
      <w:proofErr w:type="gramStart"/>
      <w:r w:rsidRPr="00C97C7B">
        <w:rPr>
          <w:i/>
        </w:rPr>
        <w:t>if</w:t>
      </w:r>
      <w:proofErr w:type="gramEnd"/>
      <w:r w:rsidRPr="00C97C7B">
        <w:rPr>
          <w:i/>
        </w:rPr>
        <w:t xml:space="preserve"> (</w:t>
      </w:r>
      <w:proofErr w:type="spellStart"/>
      <w:r w:rsidRPr="00C97C7B">
        <w:rPr>
          <w:i/>
        </w:rPr>
        <w:t>cpgbv</w:t>
      </w:r>
      <w:proofErr w:type="spellEnd"/>
      <w:r w:rsidRPr="00C97C7B">
        <w:rPr>
          <w:i/>
        </w:rPr>
        <w:t xml:space="preserve"> le 0) then </w:t>
      </w:r>
      <w:proofErr w:type="spellStart"/>
      <w:r w:rsidRPr="00C97C7B">
        <w:rPr>
          <w:i/>
        </w:rPr>
        <w:t>cpgbv</w:t>
      </w:r>
      <w:proofErr w:type="spellEnd"/>
      <w:r w:rsidRPr="00C97C7B">
        <w:rPr>
          <w:i/>
        </w:rPr>
        <w:t xml:space="preserve"> = 0.00003</w:t>
      </w:r>
    </w:p>
    <w:p w:rsidR="00C97C7B" w:rsidRPr="00C97C7B" w:rsidRDefault="00C97C7B" w:rsidP="00C97C7B">
      <w:pPr>
        <w:pStyle w:val="ListParagraph"/>
        <w:jc w:val="center"/>
        <w:rPr>
          <w:i/>
        </w:rPr>
      </w:pPr>
      <w:proofErr w:type="spellStart"/>
      <w:r w:rsidRPr="00C97C7B">
        <w:rPr>
          <w:i/>
        </w:rPr>
        <w:t>Lpgperf</w:t>
      </w:r>
      <w:proofErr w:type="spellEnd"/>
      <w:r w:rsidRPr="00C97C7B">
        <w:rPr>
          <w:i/>
        </w:rPr>
        <w:t>=</w:t>
      </w:r>
      <w:proofErr w:type="spellStart"/>
      <w:proofErr w:type="gramStart"/>
      <w:r w:rsidRPr="00C97C7B">
        <w:rPr>
          <w:i/>
        </w:rPr>
        <w:t>ln</w:t>
      </w:r>
      <w:proofErr w:type="spellEnd"/>
      <w:r w:rsidRPr="00C97C7B">
        <w:rPr>
          <w:i/>
        </w:rPr>
        <w:t>(</w:t>
      </w:r>
      <w:proofErr w:type="spellStart"/>
      <w:proofErr w:type="gramEnd"/>
      <w:r w:rsidRPr="00C97C7B">
        <w:rPr>
          <w:i/>
        </w:rPr>
        <w:t>cpgbv</w:t>
      </w:r>
      <w:proofErr w:type="spellEnd"/>
      <w:r w:rsidRPr="00C97C7B">
        <w:rPr>
          <w:i/>
        </w:rPr>
        <w:t>/</w:t>
      </w:r>
      <w:proofErr w:type="spellStart"/>
      <w:r w:rsidRPr="00C97C7B">
        <w:rPr>
          <w:i/>
        </w:rPr>
        <w:t>egbv</w:t>
      </w:r>
      <w:proofErr w:type="spellEnd"/>
      <w:r w:rsidRPr="00C97C7B">
        <w:rPr>
          <w:i/>
        </w:rPr>
        <w:t xml:space="preserve">) when </w:t>
      </w:r>
      <w:proofErr w:type="spellStart"/>
      <w:r w:rsidRPr="00C97C7B">
        <w:rPr>
          <w:i/>
        </w:rPr>
        <w:t>cpgbv</w:t>
      </w:r>
      <w:proofErr w:type="spellEnd"/>
      <w:r w:rsidRPr="00C97C7B">
        <w:rPr>
          <w:i/>
        </w:rPr>
        <w:t>/</w:t>
      </w:r>
      <w:proofErr w:type="spellStart"/>
      <w:r w:rsidRPr="00C97C7B">
        <w:rPr>
          <w:i/>
        </w:rPr>
        <w:t>egbv</w:t>
      </w:r>
      <w:proofErr w:type="spellEnd"/>
      <w:r w:rsidRPr="00C97C7B">
        <w:rPr>
          <w:i/>
        </w:rPr>
        <w:t>&lt;10</w:t>
      </w:r>
    </w:p>
    <w:p w:rsidR="00C97C7B" w:rsidRPr="00C97C7B" w:rsidRDefault="00C97C7B" w:rsidP="00C97C7B">
      <w:pPr>
        <w:pStyle w:val="ListParagraph"/>
        <w:jc w:val="center"/>
        <w:rPr>
          <w:i/>
        </w:rPr>
      </w:pPr>
      <w:proofErr w:type="spellStart"/>
      <w:r w:rsidRPr="00C97C7B">
        <w:rPr>
          <w:i/>
        </w:rPr>
        <w:t>Lpgperf</w:t>
      </w:r>
      <w:proofErr w:type="spellEnd"/>
      <w:r w:rsidRPr="00C97C7B">
        <w:rPr>
          <w:i/>
        </w:rPr>
        <w:t>=</w:t>
      </w:r>
      <w:proofErr w:type="gramStart"/>
      <w:r w:rsidRPr="00C97C7B">
        <w:rPr>
          <w:i/>
        </w:rPr>
        <w:t>log(</w:t>
      </w:r>
      <w:proofErr w:type="gramEnd"/>
      <w:r w:rsidRPr="00C97C7B">
        <w:rPr>
          <w:i/>
        </w:rPr>
        <w:t xml:space="preserve">10) when </w:t>
      </w:r>
      <w:proofErr w:type="spellStart"/>
      <w:r w:rsidRPr="00C97C7B">
        <w:rPr>
          <w:i/>
        </w:rPr>
        <w:t>cpgbv</w:t>
      </w:r>
      <w:proofErr w:type="spellEnd"/>
      <w:r w:rsidRPr="00C97C7B">
        <w:rPr>
          <w:i/>
        </w:rPr>
        <w:t>/</w:t>
      </w:r>
      <w:proofErr w:type="spellStart"/>
      <w:r w:rsidRPr="00C97C7B">
        <w:rPr>
          <w:i/>
        </w:rPr>
        <w:t>egbv</w:t>
      </w:r>
      <w:proofErr w:type="spellEnd"/>
      <w:r w:rsidRPr="00C97C7B">
        <w:rPr>
          <w:i/>
        </w:rPr>
        <w:t>&gt;=10</w:t>
      </w:r>
    </w:p>
    <w:p w:rsidR="00050AF6" w:rsidRDefault="004F71B4" w:rsidP="004F71B4">
      <w:pPr>
        <w:pStyle w:val="Heading1"/>
        <w:numPr>
          <w:ilvl w:val="0"/>
          <w:numId w:val="2"/>
        </w:numPr>
        <w:rPr>
          <w:color w:val="auto"/>
          <w:sz w:val="26"/>
          <w:szCs w:val="26"/>
        </w:rPr>
      </w:pPr>
      <w:r w:rsidRPr="004F71B4">
        <w:rPr>
          <w:color w:val="auto"/>
          <w:sz w:val="26"/>
          <w:szCs w:val="26"/>
        </w:rPr>
        <w:t>SDP (stage of stand development) for Scot’s Hazard Analysis</w:t>
      </w:r>
    </w:p>
    <w:p w:rsidR="000F2C7E" w:rsidRDefault="000F2C7E" w:rsidP="000F2C7E">
      <w:pPr>
        <w:rPr>
          <w:b/>
          <w:sz w:val="26"/>
          <w:szCs w:val="26"/>
        </w:rPr>
      </w:pPr>
      <w:proofErr w:type="spellStart"/>
      <w:r w:rsidRPr="000F2C7E">
        <w:rPr>
          <w:b/>
          <w:sz w:val="26"/>
          <w:szCs w:val="26"/>
        </w:rPr>
        <w:t>Sdpset.ssd</w:t>
      </w:r>
      <w:proofErr w:type="spellEnd"/>
    </w:p>
    <w:p w:rsidR="00B5314E" w:rsidRPr="00B5314E" w:rsidRDefault="00B5314E" w:rsidP="000F2C7E">
      <w:pPr>
        <w:rPr>
          <w:b/>
          <w:i/>
          <w:sz w:val="26"/>
          <w:szCs w:val="26"/>
        </w:rPr>
      </w:pPr>
      <w:r w:rsidRPr="00B5314E">
        <w:rPr>
          <w:b/>
          <w:i/>
          <w:sz w:val="26"/>
          <w:szCs w:val="26"/>
        </w:rPr>
        <w:t>Model used:</w:t>
      </w:r>
    </w:p>
    <w:p w:rsidR="00B5314E" w:rsidRPr="00835456" w:rsidRDefault="00B5314E" w:rsidP="00D66B76">
      <w:pPr>
        <w:jc w:val="center"/>
        <w:rPr>
          <w:b/>
          <w:i/>
          <w:sz w:val="26"/>
          <w:szCs w:val="26"/>
        </w:rPr>
      </w:pPr>
      <w:proofErr w:type="spellStart"/>
      <w:proofErr w:type="gramStart"/>
      <w:r w:rsidRPr="00835456">
        <w:rPr>
          <w:rFonts w:ascii="Calibri" w:hAnsi="Calibri"/>
          <w:b/>
          <w:i/>
          <w:sz w:val="26"/>
          <w:szCs w:val="26"/>
        </w:rPr>
        <w:t>ltn</w:t>
      </w:r>
      <w:proofErr w:type="spellEnd"/>
      <w:proofErr w:type="gramEnd"/>
      <w:r w:rsidRPr="00835456">
        <w:rPr>
          <w:rFonts w:ascii="Calibri" w:hAnsi="Calibri"/>
          <w:b/>
          <w:i/>
          <w:sz w:val="26"/>
          <w:szCs w:val="26"/>
        </w:rPr>
        <w:t xml:space="preserve"> = b</w:t>
      </w:r>
      <w:r w:rsidRPr="00835456">
        <w:rPr>
          <w:rFonts w:ascii="Calibri" w:hAnsi="Calibri"/>
          <w:b/>
          <w:i/>
          <w:sz w:val="26"/>
          <w:szCs w:val="26"/>
          <w:vertAlign w:val="subscript"/>
        </w:rPr>
        <w:t xml:space="preserve">0 </w:t>
      </w:r>
      <w:r w:rsidRPr="00835456">
        <w:rPr>
          <w:rFonts w:ascii="Calibri" w:hAnsi="Calibri"/>
          <w:b/>
          <w:i/>
          <w:sz w:val="26"/>
          <w:szCs w:val="26"/>
        </w:rPr>
        <w:t>+ (b</w:t>
      </w:r>
      <w:r w:rsidRPr="00835456">
        <w:rPr>
          <w:rFonts w:ascii="Calibri" w:hAnsi="Calibri"/>
          <w:b/>
          <w:i/>
          <w:sz w:val="26"/>
          <w:szCs w:val="26"/>
          <w:vertAlign w:val="subscript"/>
        </w:rPr>
        <w:t>1</w:t>
      </w:r>
      <w:r w:rsidRPr="00835456">
        <w:rPr>
          <w:rFonts w:ascii="Calibri" w:hAnsi="Calibri"/>
          <w:b/>
          <w:i/>
          <w:sz w:val="26"/>
          <w:szCs w:val="26"/>
        </w:rPr>
        <w:t>*</w:t>
      </w:r>
      <w:proofErr w:type="spellStart"/>
      <w:r w:rsidRPr="00835456">
        <w:rPr>
          <w:rFonts w:ascii="Calibri" w:hAnsi="Calibri"/>
          <w:b/>
          <w:i/>
          <w:sz w:val="26"/>
          <w:szCs w:val="26"/>
        </w:rPr>
        <w:t>ltbv</w:t>
      </w:r>
      <w:proofErr w:type="spellEnd"/>
      <w:r w:rsidRPr="00835456">
        <w:rPr>
          <w:rFonts w:ascii="Calibri" w:hAnsi="Calibri"/>
          <w:b/>
          <w:i/>
          <w:sz w:val="26"/>
          <w:szCs w:val="26"/>
        </w:rPr>
        <w:t>) - ((b</w:t>
      </w:r>
      <w:r w:rsidRPr="00835456">
        <w:rPr>
          <w:rFonts w:ascii="Calibri" w:hAnsi="Calibri"/>
          <w:b/>
          <w:i/>
          <w:sz w:val="26"/>
          <w:szCs w:val="26"/>
          <w:vertAlign w:val="subscript"/>
        </w:rPr>
        <w:t>0</w:t>
      </w:r>
      <w:r w:rsidRPr="00835456">
        <w:rPr>
          <w:rFonts w:ascii="Calibri" w:hAnsi="Calibri"/>
          <w:b/>
          <w:i/>
          <w:sz w:val="26"/>
          <w:szCs w:val="26"/>
        </w:rPr>
        <w:t xml:space="preserve"> + (b</w:t>
      </w:r>
      <w:r w:rsidRPr="00835456">
        <w:rPr>
          <w:rFonts w:ascii="Calibri" w:hAnsi="Calibri"/>
          <w:b/>
          <w:i/>
          <w:sz w:val="26"/>
          <w:szCs w:val="26"/>
          <w:vertAlign w:val="subscript"/>
        </w:rPr>
        <w:t>1</w:t>
      </w:r>
      <w:r w:rsidRPr="00835456">
        <w:rPr>
          <w:rFonts w:ascii="Calibri" w:hAnsi="Calibri"/>
          <w:b/>
          <w:i/>
          <w:sz w:val="26"/>
          <w:szCs w:val="26"/>
        </w:rPr>
        <w:t>*ltbv</w:t>
      </w:r>
      <w:r w:rsidRPr="00835456">
        <w:rPr>
          <w:rFonts w:ascii="Calibri" w:hAnsi="Calibri"/>
          <w:b/>
          <w:i/>
          <w:sz w:val="26"/>
          <w:szCs w:val="26"/>
          <w:vertAlign w:val="subscript"/>
        </w:rPr>
        <w:t>0</w:t>
      </w:r>
      <w:r w:rsidRPr="00835456">
        <w:rPr>
          <w:rFonts w:ascii="Calibri" w:hAnsi="Calibri"/>
          <w:b/>
          <w:i/>
          <w:sz w:val="26"/>
          <w:szCs w:val="26"/>
        </w:rPr>
        <w:t>) - ltn</w:t>
      </w:r>
      <w:r w:rsidRPr="00835456">
        <w:rPr>
          <w:rFonts w:ascii="Calibri" w:hAnsi="Calibri"/>
          <w:b/>
          <w:i/>
          <w:sz w:val="26"/>
          <w:szCs w:val="26"/>
          <w:vertAlign w:val="subscript"/>
        </w:rPr>
        <w:t>0</w:t>
      </w:r>
      <w:r w:rsidRPr="00835456">
        <w:rPr>
          <w:rFonts w:ascii="Calibri" w:hAnsi="Calibri"/>
          <w:b/>
          <w:i/>
          <w:sz w:val="26"/>
          <w:szCs w:val="26"/>
        </w:rPr>
        <w:t>))*</w:t>
      </w:r>
      <w:proofErr w:type="spellStart"/>
      <w:r w:rsidRPr="00835456">
        <w:rPr>
          <w:rFonts w:ascii="Calibri" w:hAnsi="Calibri"/>
          <w:b/>
          <w:i/>
          <w:sz w:val="26"/>
          <w:szCs w:val="26"/>
        </w:rPr>
        <w:t>exp</w:t>
      </w:r>
      <w:proofErr w:type="spellEnd"/>
      <w:r w:rsidRPr="00835456">
        <w:rPr>
          <w:rFonts w:ascii="Calibri" w:hAnsi="Calibri"/>
          <w:b/>
          <w:i/>
          <w:sz w:val="26"/>
          <w:szCs w:val="26"/>
        </w:rPr>
        <w:t>(b</w:t>
      </w:r>
      <w:r w:rsidRPr="00835456">
        <w:rPr>
          <w:rFonts w:ascii="Calibri" w:hAnsi="Calibri"/>
          <w:b/>
          <w:i/>
          <w:sz w:val="26"/>
          <w:szCs w:val="26"/>
          <w:vertAlign w:val="subscript"/>
        </w:rPr>
        <w:t>2</w:t>
      </w:r>
      <w:r w:rsidRPr="00835456">
        <w:rPr>
          <w:rFonts w:ascii="Calibri" w:hAnsi="Calibri"/>
          <w:b/>
          <w:i/>
          <w:sz w:val="26"/>
          <w:szCs w:val="26"/>
        </w:rPr>
        <w:t>*(ltbv-ltbv</w:t>
      </w:r>
      <w:r w:rsidRPr="00835456">
        <w:rPr>
          <w:rFonts w:ascii="Calibri" w:hAnsi="Calibri"/>
          <w:b/>
          <w:i/>
          <w:sz w:val="26"/>
          <w:szCs w:val="26"/>
          <w:vertAlign w:val="subscript"/>
        </w:rPr>
        <w:t>0</w:t>
      </w:r>
      <w:r w:rsidRPr="00835456">
        <w:rPr>
          <w:rFonts w:ascii="Calibri" w:hAnsi="Calibri"/>
          <w:b/>
          <w:i/>
          <w:sz w:val="26"/>
          <w:szCs w:val="26"/>
        </w:rPr>
        <w:t>))</w:t>
      </w:r>
    </w:p>
    <w:p w:rsidR="000F2C7E" w:rsidRDefault="000F2C7E" w:rsidP="000F2C7E">
      <w:pPr>
        <w:rPr>
          <w:b/>
        </w:rPr>
      </w:pPr>
      <w:r w:rsidRPr="000F2C7E">
        <w:rPr>
          <w:b/>
        </w:rPr>
        <w:t>INSTALL</w:t>
      </w:r>
    </w:p>
    <w:p w:rsidR="000F2C7E" w:rsidRDefault="000F2C7E" w:rsidP="000F2C7E">
      <w:pPr>
        <w:rPr>
          <w:b/>
        </w:rPr>
      </w:pPr>
      <w:r>
        <w:rPr>
          <w:b/>
        </w:rPr>
        <w:t>PLOT</w:t>
      </w:r>
    </w:p>
    <w:p w:rsidR="000F2C7E" w:rsidRPr="000F2C7E" w:rsidRDefault="000F2C7E" w:rsidP="000F2C7E">
      <w:r>
        <w:rPr>
          <w:b/>
        </w:rPr>
        <w:t xml:space="preserve">PERIOD: </w:t>
      </w:r>
      <w:r>
        <w:t>3 hazard periods.</w:t>
      </w:r>
      <w:bookmarkStart w:id="0" w:name="_GoBack"/>
      <w:bookmarkEnd w:id="0"/>
    </w:p>
    <w:p w:rsidR="000F2C7E" w:rsidRDefault="000F2C7E" w:rsidP="000F2C7E">
      <w:pPr>
        <w:rPr>
          <w:b/>
        </w:rPr>
      </w:pPr>
      <w:r>
        <w:rPr>
          <w:b/>
        </w:rPr>
        <w:t>TASY</w:t>
      </w:r>
      <w:r w:rsidR="002E4118">
        <w:rPr>
          <w:b/>
        </w:rPr>
        <w:t xml:space="preserve">: </w:t>
      </w:r>
      <w:r w:rsidR="002E4118" w:rsidRPr="002E4118">
        <w:t>b0+b1*</w:t>
      </w:r>
      <w:proofErr w:type="spellStart"/>
      <w:r w:rsidR="002E4118" w:rsidRPr="002E4118">
        <w:t>ltn</w:t>
      </w:r>
      <w:proofErr w:type="spellEnd"/>
    </w:p>
    <w:p w:rsidR="000F2C7E" w:rsidRDefault="000F2C7E" w:rsidP="000F2C7E">
      <w:pPr>
        <w:rPr>
          <w:b/>
        </w:rPr>
      </w:pPr>
      <w:r>
        <w:rPr>
          <w:b/>
        </w:rPr>
        <w:t>PTASY</w:t>
      </w:r>
      <w:r w:rsidR="002E4118">
        <w:rPr>
          <w:b/>
        </w:rPr>
        <w:t xml:space="preserve">: </w:t>
      </w:r>
      <w:r w:rsidR="002E4118" w:rsidRPr="002E4118">
        <w:t>(YPTHIN/TASY)*100</w:t>
      </w:r>
    </w:p>
    <w:p w:rsidR="000F2C7E" w:rsidRPr="000F2C7E" w:rsidRDefault="000F2C7E" w:rsidP="000F2C7E">
      <w:r>
        <w:rPr>
          <w:b/>
        </w:rPr>
        <w:t xml:space="preserve">PSDP: </w:t>
      </w:r>
      <w:r>
        <w:t>dummy variable to indicate whether it’s prior or on the thinning line.</w:t>
      </w:r>
      <w:r w:rsidR="002E4118">
        <w:t xml:space="preserve"> If PTASY &gt;99, then PSDP=1; if 90&lt;PTASY &lt;=99 then PSDP=2; if PTASY &lt;=90 then PSDP=3.</w:t>
      </w:r>
      <w:r w:rsidR="00B5314E">
        <w:t xml:space="preserve"> IF PSDP =1, then it’s prior to self-thinning line; if PSDP&gt;=2, then it’s on self-thinning line;</w:t>
      </w:r>
    </w:p>
    <w:p w:rsidR="00CA41AC" w:rsidRDefault="000F2C7E">
      <w:r>
        <w:rPr>
          <w:b/>
        </w:rPr>
        <w:t>YPTHIN</w:t>
      </w:r>
      <w:r w:rsidR="002E4118">
        <w:rPr>
          <w:b/>
        </w:rPr>
        <w:t xml:space="preserve">: </w:t>
      </w:r>
      <w:r w:rsidR="002E4118">
        <w:t>predicted log of total bole volum</w:t>
      </w:r>
      <w:r w:rsidR="00872593">
        <w:t>e</w:t>
      </w:r>
    </w:p>
    <w:p w:rsidR="00CA41AC" w:rsidRDefault="00CA41AC"/>
    <w:p w:rsidR="00CA41AC" w:rsidRDefault="00CA41AC"/>
    <w:p w:rsidR="00A20716" w:rsidRDefault="00A20716"/>
    <w:p w:rsidR="004C3611" w:rsidRDefault="004C3611"/>
    <w:p w:rsidR="00346BF0" w:rsidRDefault="00346BF0"/>
    <w:p w:rsidR="003364ED" w:rsidRDefault="003364ED"/>
    <w:p w:rsidR="001C2713" w:rsidRDefault="001C2713"/>
    <w:p w:rsidR="006676B3" w:rsidRDefault="006676B3"/>
    <w:sectPr w:rsidR="0066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419"/>
    <w:multiLevelType w:val="hybridMultilevel"/>
    <w:tmpl w:val="2E8E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F326B"/>
    <w:multiLevelType w:val="hybridMultilevel"/>
    <w:tmpl w:val="792C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F2895"/>
    <w:multiLevelType w:val="hybridMultilevel"/>
    <w:tmpl w:val="294C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476AC"/>
    <w:multiLevelType w:val="hybridMultilevel"/>
    <w:tmpl w:val="EEA8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92AF8"/>
    <w:multiLevelType w:val="hybridMultilevel"/>
    <w:tmpl w:val="31AE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E12D0"/>
    <w:multiLevelType w:val="hybridMultilevel"/>
    <w:tmpl w:val="BC7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77166"/>
    <w:multiLevelType w:val="hybridMultilevel"/>
    <w:tmpl w:val="39C2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769A8"/>
    <w:multiLevelType w:val="hybridMultilevel"/>
    <w:tmpl w:val="3C38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C0CF8"/>
    <w:multiLevelType w:val="hybridMultilevel"/>
    <w:tmpl w:val="E3DC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214697"/>
    <w:multiLevelType w:val="hybridMultilevel"/>
    <w:tmpl w:val="AAC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31BD5"/>
    <w:multiLevelType w:val="hybridMultilevel"/>
    <w:tmpl w:val="F4CE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6"/>
  </w:num>
  <w:num w:numId="6">
    <w:abstractNumId w:val="4"/>
  </w:num>
  <w:num w:numId="7">
    <w:abstractNumId w:val="2"/>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16"/>
    <w:rsid w:val="00002DEA"/>
    <w:rsid w:val="00005D4F"/>
    <w:rsid w:val="00007F66"/>
    <w:rsid w:val="00025928"/>
    <w:rsid w:val="00036455"/>
    <w:rsid w:val="00042E16"/>
    <w:rsid w:val="00050993"/>
    <w:rsid w:val="00050AF6"/>
    <w:rsid w:val="00055416"/>
    <w:rsid w:val="0005641E"/>
    <w:rsid w:val="000574FA"/>
    <w:rsid w:val="000623D0"/>
    <w:rsid w:val="000861EB"/>
    <w:rsid w:val="0008630D"/>
    <w:rsid w:val="0009104C"/>
    <w:rsid w:val="000A04BF"/>
    <w:rsid w:val="000A3F83"/>
    <w:rsid w:val="000A7742"/>
    <w:rsid w:val="000B4D0F"/>
    <w:rsid w:val="000E697F"/>
    <w:rsid w:val="000F1A2E"/>
    <w:rsid w:val="000F2C7E"/>
    <w:rsid w:val="000F5C7C"/>
    <w:rsid w:val="0010659A"/>
    <w:rsid w:val="00107696"/>
    <w:rsid w:val="00111BA5"/>
    <w:rsid w:val="00115315"/>
    <w:rsid w:val="001274DF"/>
    <w:rsid w:val="00133C80"/>
    <w:rsid w:val="0014298C"/>
    <w:rsid w:val="001513C5"/>
    <w:rsid w:val="001602B8"/>
    <w:rsid w:val="00166F95"/>
    <w:rsid w:val="00167B1F"/>
    <w:rsid w:val="001710B6"/>
    <w:rsid w:val="001757B1"/>
    <w:rsid w:val="00175E56"/>
    <w:rsid w:val="00176102"/>
    <w:rsid w:val="00185294"/>
    <w:rsid w:val="0019692C"/>
    <w:rsid w:val="001A347B"/>
    <w:rsid w:val="001B666E"/>
    <w:rsid w:val="001C2713"/>
    <w:rsid w:val="001C4E11"/>
    <w:rsid w:val="001D5DC5"/>
    <w:rsid w:val="001E4DC0"/>
    <w:rsid w:val="001F0C05"/>
    <w:rsid w:val="001F7F16"/>
    <w:rsid w:val="00221C94"/>
    <w:rsid w:val="00230F34"/>
    <w:rsid w:val="0024034D"/>
    <w:rsid w:val="00242728"/>
    <w:rsid w:val="00260983"/>
    <w:rsid w:val="002741DA"/>
    <w:rsid w:val="002800CA"/>
    <w:rsid w:val="0028770F"/>
    <w:rsid w:val="0029380B"/>
    <w:rsid w:val="00294EB1"/>
    <w:rsid w:val="002A0FD3"/>
    <w:rsid w:val="002A2A2F"/>
    <w:rsid w:val="002A5AB6"/>
    <w:rsid w:val="002C5F6F"/>
    <w:rsid w:val="002E4118"/>
    <w:rsid w:val="002F0B7A"/>
    <w:rsid w:val="003025DE"/>
    <w:rsid w:val="00303540"/>
    <w:rsid w:val="0030561A"/>
    <w:rsid w:val="00320A87"/>
    <w:rsid w:val="003364ED"/>
    <w:rsid w:val="003444A7"/>
    <w:rsid w:val="00345CD1"/>
    <w:rsid w:val="00346BF0"/>
    <w:rsid w:val="003512CF"/>
    <w:rsid w:val="00354E97"/>
    <w:rsid w:val="003630C4"/>
    <w:rsid w:val="003679B6"/>
    <w:rsid w:val="00371F98"/>
    <w:rsid w:val="003953F6"/>
    <w:rsid w:val="003A1280"/>
    <w:rsid w:val="003B01D7"/>
    <w:rsid w:val="003C49CA"/>
    <w:rsid w:val="00400CBF"/>
    <w:rsid w:val="00407E85"/>
    <w:rsid w:val="0041204B"/>
    <w:rsid w:val="00425D47"/>
    <w:rsid w:val="00444DAB"/>
    <w:rsid w:val="00446BCA"/>
    <w:rsid w:val="00451243"/>
    <w:rsid w:val="00452912"/>
    <w:rsid w:val="00467940"/>
    <w:rsid w:val="00494325"/>
    <w:rsid w:val="00496404"/>
    <w:rsid w:val="00497165"/>
    <w:rsid w:val="004A1DE4"/>
    <w:rsid w:val="004B0262"/>
    <w:rsid w:val="004B51F6"/>
    <w:rsid w:val="004C3611"/>
    <w:rsid w:val="004D002C"/>
    <w:rsid w:val="004D75C0"/>
    <w:rsid w:val="004E7079"/>
    <w:rsid w:val="004F3243"/>
    <w:rsid w:val="004F71B4"/>
    <w:rsid w:val="005004CC"/>
    <w:rsid w:val="00501D5E"/>
    <w:rsid w:val="00513482"/>
    <w:rsid w:val="005231FE"/>
    <w:rsid w:val="00534A26"/>
    <w:rsid w:val="0057036D"/>
    <w:rsid w:val="005A1C4B"/>
    <w:rsid w:val="005A7250"/>
    <w:rsid w:val="005A7A4E"/>
    <w:rsid w:val="005B733D"/>
    <w:rsid w:val="005C283D"/>
    <w:rsid w:val="005C2C3A"/>
    <w:rsid w:val="005C376A"/>
    <w:rsid w:val="005C7625"/>
    <w:rsid w:val="0061156F"/>
    <w:rsid w:val="006124EA"/>
    <w:rsid w:val="006234E6"/>
    <w:rsid w:val="00623DE7"/>
    <w:rsid w:val="00633DD5"/>
    <w:rsid w:val="0065151A"/>
    <w:rsid w:val="006676B3"/>
    <w:rsid w:val="006700F0"/>
    <w:rsid w:val="00670249"/>
    <w:rsid w:val="006723AC"/>
    <w:rsid w:val="006831D9"/>
    <w:rsid w:val="006846AD"/>
    <w:rsid w:val="006A10C2"/>
    <w:rsid w:val="006A5B05"/>
    <w:rsid w:val="006B16CF"/>
    <w:rsid w:val="006B59E2"/>
    <w:rsid w:val="006F5116"/>
    <w:rsid w:val="007068CF"/>
    <w:rsid w:val="00713809"/>
    <w:rsid w:val="00726C2A"/>
    <w:rsid w:val="007373AB"/>
    <w:rsid w:val="0074626A"/>
    <w:rsid w:val="00746EFB"/>
    <w:rsid w:val="007655A4"/>
    <w:rsid w:val="00766853"/>
    <w:rsid w:val="00773EC2"/>
    <w:rsid w:val="00775697"/>
    <w:rsid w:val="007909ED"/>
    <w:rsid w:val="007922D2"/>
    <w:rsid w:val="007C2ED0"/>
    <w:rsid w:val="007C3716"/>
    <w:rsid w:val="007E0657"/>
    <w:rsid w:val="007E2888"/>
    <w:rsid w:val="007E77EF"/>
    <w:rsid w:val="00803F08"/>
    <w:rsid w:val="00804E61"/>
    <w:rsid w:val="0082643C"/>
    <w:rsid w:val="00835456"/>
    <w:rsid w:val="00840B5B"/>
    <w:rsid w:val="008609C0"/>
    <w:rsid w:val="00867289"/>
    <w:rsid w:val="00872593"/>
    <w:rsid w:val="00883C63"/>
    <w:rsid w:val="00887EB2"/>
    <w:rsid w:val="008906BD"/>
    <w:rsid w:val="008B3E4B"/>
    <w:rsid w:val="008C1D4B"/>
    <w:rsid w:val="008D126E"/>
    <w:rsid w:val="008D23B3"/>
    <w:rsid w:val="008D28F3"/>
    <w:rsid w:val="008F1041"/>
    <w:rsid w:val="009079CC"/>
    <w:rsid w:val="0091105F"/>
    <w:rsid w:val="00912A60"/>
    <w:rsid w:val="0092331A"/>
    <w:rsid w:val="0092602C"/>
    <w:rsid w:val="009665CD"/>
    <w:rsid w:val="00980A1C"/>
    <w:rsid w:val="00994944"/>
    <w:rsid w:val="009A2902"/>
    <w:rsid w:val="009B2053"/>
    <w:rsid w:val="009E5CB9"/>
    <w:rsid w:val="00A10948"/>
    <w:rsid w:val="00A20716"/>
    <w:rsid w:val="00A41DA7"/>
    <w:rsid w:val="00A60D90"/>
    <w:rsid w:val="00A63C04"/>
    <w:rsid w:val="00A66832"/>
    <w:rsid w:val="00A76309"/>
    <w:rsid w:val="00A77F15"/>
    <w:rsid w:val="00A86C05"/>
    <w:rsid w:val="00A932D4"/>
    <w:rsid w:val="00AB5B8D"/>
    <w:rsid w:val="00AF2925"/>
    <w:rsid w:val="00AF7344"/>
    <w:rsid w:val="00B17243"/>
    <w:rsid w:val="00B206FC"/>
    <w:rsid w:val="00B20FA5"/>
    <w:rsid w:val="00B2217A"/>
    <w:rsid w:val="00B52DE4"/>
    <w:rsid w:val="00B5314E"/>
    <w:rsid w:val="00B55BB2"/>
    <w:rsid w:val="00B60AF6"/>
    <w:rsid w:val="00B774DE"/>
    <w:rsid w:val="00B862D5"/>
    <w:rsid w:val="00B86E4E"/>
    <w:rsid w:val="00B90065"/>
    <w:rsid w:val="00B92A3E"/>
    <w:rsid w:val="00B95512"/>
    <w:rsid w:val="00B95BBA"/>
    <w:rsid w:val="00BA0C82"/>
    <w:rsid w:val="00BA12DA"/>
    <w:rsid w:val="00BA16F1"/>
    <w:rsid w:val="00BA6D17"/>
    <w:rsid w:val="00BB24D6"/>
    <w:rsid w:val="00BC2A8A"/>
    <w:rsid w:val="00BC4516"/>
    <w:rsid w:val="00BC4A7E"/>
    <w:rsid w:val="00BD4824"/>
    <w:rsid w:val="00BE01AB"/>
    <w:rsid w:val="00BF33F9"/>
    <w:rsid w:val="00C052FF"/>
    <w:rsid w:val="00C12DD1"/>
    <w:rsid w:val="00C138B6"/>
    <w:rsid w:val="00C24EBF"/>
    <w:rsid w:val="00C30B77"/>
    <w:rsid w:val="00C339C2"/>
    <w:rsid w:val="00C34B00"/>
    <w:rsid w:val="00C35802"/>
    <w:rsid w:val="00C42012"/>
    <w:rsid w:val="00C465AC"/>
    <w:rsid w:val="00C46792"/>
    <w:rsid w:val="00C51B3A"/>
    <w:rsid w:val="00C754E3"/>
    <w:rsid w:val="00C77A17"/>
    <w:rsid w:val="00C84B9D"/>
    <w:rsid w:val="00C931F6"/>
    <w:rsid w:val="00C97C7B"/>
    <w:rsid w:val="00CA3276"/>
    <w:rsid w:val="00CA41AC"/>
    <w:rsid w:val="00CA4723"/>
    <w:rsid w:val="00CA6B76"/>
    <w:rsid w:val="00CD5C55"/>
    <w:rsid w:val="00D20145"/>
    <w:rsid w:val="00D25AE2"/>
    <w:rsid w:val="00D276F9"/>
    <w:rsid w:val="00D320E0"/>
    <w:rsid w:val="00D36601"/>
    <w:rsid w:val="00D375B9"/>
    <w:rsid w:val="00D57053"/>
    <w:rsid w:val="00D66B76"/>
    <w:rsid w:val="00D910FC"/>
    <w:rsid w:val="00D92D07"/>
    <w:rsid w:val="00D96A03"/>
    <w:rsid w:val="00DA00CB"/>
    <w:rsid w:val="00DA7D4F"/>
    <w:rsid w:val="00DE455B"/>
    <w:rsid w:val="00E013C5"/>
    <w:rsid w:val="00E12F1F"/>
    <w:rsid w:val="00E30E81"/>
    <w:rsid w:val="00E4092C"/>
    <w:rsid w:val="00E512AB"/>
    <w:rsid w:val="00E555AE"/>
    <w:rsid w:val="00E74593"/>
    <w:rsid w:val="00EB1110"/>
    <w:rsid w:val="00EC74A3"/>
    <w:rsid w:val="00EF0CEE"/>
    <w:rsid w:val="00F11FA1"/>
    <w:rsid w:val="00F26903"/>
    <w:rsid w:val="00F75E74"/>
    <w:rsid w:val="00F76FEA"/>
    <w:rsid w:val="00F8778E"/>
    <w:rsid w:val="00F87AE3"/>
    <w:rsid w:val="00FB3328"/>
    <w:rsid w:val="00FB49FD"/>
    <w:rsid w:val="00FD1334"/>
    <w:rsid w:val="00FD14BE"/>
    <w:rsid w:val="00FD638F"/>
    <w:rsid w:val="00FD65CE"/>
    <w:rsid w:val="00FE6477"/>
    <w:rsid w:val="00FF09B1"/>
    <w:rsid w:val="00FF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2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12CF"/>
    <w:pPr>
      <w:ind w:left="720"/>
      <w:contextualSpacing/>
    </w:pPr>
  </w:style>
  <w:style w:type="table" w:styleId="TableGrid">
    <w:name w:val="Table Grid"/>
    <w:basedOn w:val="TableNormal"/>
    <w:uiPriority w:val="59"/>
    <w:rsid w:val="00B55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2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12CF"/>
    <w:pPr>
      <w:ind w:left="720"/>
      <w:contextualSpacing/>
    </w:pPr>
  </w:style>
  <w:style w:type="table" w:styleId="TableGrid">
    <w:name w:val="Table Grid"/>
    <w:basedOn w:val="TableNormal"/>
    <w:uiPriority w:val="59"/>
    <w:rsid w:val="00B55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81068">
      <w:bodyDiv w:val="1"/>
      <w:marLeft w:val="0"/>
      <w:marRight w:val="0"/>
      <w:marTop w:val="0"/>
      <w:marBottom w:val="0"/>
      <w:divBdr>
        <w:top w:val="none" w:sz="0" w:space="0" w:color="auto"/>
        <w:left w:val="none" w:sz="0" w:space="0" w:color="auto"/>
        <w:bottom w:val="none" w:sz="0" w:space="0" w:color="auto"/>
        <w:right w:val="none" w:sz="0" w:space="0" w:color="auto"/>
      </w:divBdr>
    </w:div>
    <w:div w:id="790056115">
      <w:bodyDiv w:val="1"/>
      <w:marLeft w:val="0"/>
      <w:marRight w:val="0"/>
      <w:marTop w:val="0"/>
      <w:marBottom w:val="0"/>
      <w:divBdr>
        <w:top w:val="none" w:sz="0" w:space="0" w:color="auto"/>
        <w:left w:val="none" w:sz="0" w:space="0" w:color="auto"/>
        <w:bottom w:val="none" w:sz="0" w:space="0" w:color="auto"/>
        <w:right w:val="none" w:sz="0" w:space="0" w:color="auto"/>
      </w:divBdr>
    </w:div>
    <w:div w:id="11106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2424</TotalTime>
  <Pages>13</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Peart Lab</dc:creator>
  <cp:keywords/>
  <dc:description/>
  <cp:lastModifiedBy>Peart Lab</cp:lastModifiedBy>
  <cp:revision>257</cp:revision>
  <dcterms:created xsi:type="dcterms:W3CDTF">2013-04-05T19:08:00Z</dcterms:created>
  <dcterms:modified xsi:type="dcterms:W3CDTF">2014-03-27T19:48:00Z</dcterms:modified>
</cp:coreProperties>
</file>