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Гафоров 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математическую модель гармонического осциллятора и проанализировать её поведение в различных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Получить и визуализировать решение уравнения гармонического осциллятора без затухания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Записать и исследовать уравнение затухающего осциллятора, включая фазовый портрет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Рассмотреть случай воздействия внешней силы, построить решение и фазовый портрет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Ряд физических процессов — колебания груза на пружине, движение маятника, процессы в электрических цепях — можно описать единым дифференциальным уравнением. Это уравнение лежит в основе модели линейного гармонического осциллятора.</w:t>
      </w:r>
    </w:p>
    <w:p>
      <w:pPr>
        <w:pStyle w:val="BodyText"/>
      </w:pPr>
      <w:r>
        <w:t xml:space="preserve">Общее уравнение движения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координата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затухания,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частота.</w:t>
      </w:r>
    </w:p>
    <w:p>
      <w:pPr>
        <w:pStyle w:val="BodyText"/>
      </w:pPr>
      <w:r>
        <w:t xml:space="preserve">Данное уравнение относится к линейным дифференциальным уравнениям второго порядка и описывает динамику системы.</w:t>
      </w:r>
    </w:p>
    <w:p>
      <w:pPr>
        <w:pStyle w:val="BodyText"/>
      </w:pPr>
      <w:r>
        <w:t xml:space="preserve">Если потери энергии отсутствуют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), уравнение принимает форму: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получения единственного решения необходимо задать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Перепишем уравнение в виде системы: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формируют фазовое пространство. Каждое решение системы соответствует траектории на фазовой плоскости. Совокупность таких траекторий образует фазовый портрет, отражающий общее поведение системы.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Необходимо построить решения и фазовые портреты для следующих моделей:</w:t>
      </w:r>
    </w:p>
    <w:p>
      <w:pPr>
        <w:numPr>
          <w:ilvl w:val="0"/>
          <w:numId w:val="1002"/>
        </w:numPr>
      </w:pPr>
      <w:r>
        <w:t xml:space="preserve">Без затухания и внешней силы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без внешнего воздействия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внешней силой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Параметры моделирования:</w:t>
      </w:r>
      <w:r>
        <w:br/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</w:t>
      </w:r>
      <w:r>
        <w:t xml:space="preserve"> </w:t>
      </w:r>
      <m:oMath>
        <m:r>
          <m:t>0.05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</w:p>
    <w:bookmarkStart w:id="23" w:name="преобразование-моделей"/>
    <w:p>
      <w:pPr>
        <w:pStyle w:val="Heading3"/>
      </w:pPr>
      <w:r>
        <w:t xml:space="preserve">3.2.1 Преобразование моделей</w:t>
      </w:r>
    </w:p>
    <w:p>
      <w:pPr>
        <w:pStyle w:val="Compact"/>
        <w:numPr>
          <w:ilvl w:val="0"/>
          <w:numId w:val="1003"/>
        </w:numPr>
      </w:pPr>
      <w:r>
        <w:t xml:space="preserve">Без затухания: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С затуханием: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5"/>
        </w:numPr>
      </w:pPr>
      <w:r>
        <w:t xml:space="preserve">С внешней силой: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применялись внешние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6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устойчивые периодические колебания с неизменной амплитудой. Форма сигнала остаётся регулярной на всём интервале времени.</w:t>
      </w:r>
    </w:p>
    <w:p>
      <w:pPr>
        <w:pStyle w:val="BodyText"/>
      </w:pPr>
      <w:r>
        <w:t xml:space="preserve">Такое поведение характерно для консервативной системы, в которой отсутствуют потери энергии. Колебания не затухают и сохраняют свою структуру.</w:t>
      </w:r>
    </w:p>
    <w:p>
      <w:pPr>
        <w:pStyle w:val="BodyText"/>
      </w:pPr>
      <w:r>
        <w:t xml:space="preserve">Фазовый портрет представляет собой замкнутую кривую, что указывает на повторяемость движения и устойчивость динамики.</w:t>
      </w:r>
    </w:p>
    <w:p>
      <w:pPr>
        <w:pStyle w:val="BodyText"/>
      </w:pPr>
      <w:r>
        <w:t xml:space="preserve">Следовательно, система реализует идеальные гармонические колебания без диссипации.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На графике видно, что колебания быстро исчезают: переменная стремится к нулю уже на начальном участке.</w:t>
      </w:r>
    </w:p>
    <w:p>
      <w:pPr>
        <w:pStyle w:val="BodyText"/>
      </w:pPr>
      <w:r>
        <w:t xml:space="preserve">Это обусловлено наличием демпфирования, которое приводит к рассеянию энергии. В результате система переходит в состояние равновесия.</w:t>
      </w:r>
    </w:p>
    <w:p>
      <w:pPr>
        <w:pStyle w:val="BodyText"/>
      </w:pPr>
      <w:r>
        <w:t xml:space="preserve">Фазовая траектория стремится к неподвижной точке, что подтверждает затухающий характер процесса.</w:t>
      </w:r>
    </w:p>
    <w:p>
      <w:pPr>
        <w:pStyle w:val="BodyText"/>
      </w:pPr>
      <w:r>
        <w:t xml:space="preserve">Таким образом, движение носит апериодический характер и быстро стабилизируется.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данном случае после переходного процесса устанавливаются устойчивые колебания небольшой амплитуды.</w:t>
      </w:r>
    </w:p>
    <w:p>
      <w:pPr>
        <w:pStyle w:val="BodyText"/>
      </w:pPr>
      <w:r>
        <w:t xml:space="preserve">Несмотря на затухание, внешняя сила поддерживает движение, формируя вынужденные колебания.</w:t>
      </w:r>
    </w:p>
    <w:p>
      <w:pPr>
        <w:pStyle w:val="BodyText"/>
      </w:pPr>
      <w:r>
        <w:t xml:space="preserve">Фазовый портрет ограничен небольшой областью около равновесия, что отражает установившийся режим.</w:t>
      </w:r>
    </w:p>
    <w:p>
      <w:pPr>
        <w:pStyle w:val="BodyText"/>
      </w:pPr>
      <w:r>
        <w:t xml:space="preserve">Таким образом, система приходит к стационарным вынужденным колебаниям.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Исследование показало:</w:t>
      </w:r>
    </w:p>
    <w:p>
      <w:pPr>
        <w:pStyle w:val="Compact"/>
        <w:numPr>
          <w:ilvl w:val="0"/>
          <w:numId w:val="1006"/>
        </w:numPr>
      </w:pPr>
      <w:r>
        <w:t xml:space="preserve">в первой модели параметр влияет на частоту колебаний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во второй — на скорость затухания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в третьей — на характеристики вынужденного режима</w:t>
      </w:r>
    </w:p>
    <w:p>
      <w:pPr>
        <w:pStyle w:val="FirstParagraph"/>
      </w:pPr>
      <w:r>
        <w:t xml:space="preserve">Общие выводы: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сохраняет колебания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вторая — стремится к покою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третья — формирует устойчивый режим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Поведение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подтверждает предыдущие выводы:</w:t>
      </w:r>
    </w:p>
    <w:p>
      <w:pPr>
        <w:pStyle w:val="Compact"/>
        <w:numPr>
          <w:ilvl w:val="0"/>
          <w:numId w:val="1008"/>
        </w:numPr>
      </w:pPr>
      <w:r>
        <w:t xml:space="preserve">устойчивые колебания без затухания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быстрое затухание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установившиеся вынужденные колебания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Анализ показал:</w:t>
      </w:r>
    </w:p>
    <w:p>
      <w:pPr>
        <w:pStyle w:val="Compact"/>
        <w:numPr>
          <w:ilvl w:val="0"/>
          <w:numId w:val="1009"/>
        </w:numPr>
      </w:pPr>
      <w:r>
        <w:t xml:space="preserve">первая модель вычисляется быстрее всего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вторая требует немного больше времени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третья наиболее ресурсоёмкая</w:t>
      </w:r>
    </w:p>
    <w:p>
      <w:pPr>
        <w:pStyle w:val="FirstParagraph"/>
      </w:pPr>
      <w:r>
        <w:t xml:space="preserve">Тем не менее, вычисления во всех случаях выполняются быстро.</w:t>
      </w:r>
    </w:p>
    <w:bookmarkEnd w:id="84"/>
    <w:bookmarkStart w:id="85" w:name="анализ-метрики"/>
    <w:p>
      <w:pPr>
        <w:pStyle w:val="Heading2"/>
      </w:pPr>
      <w:r>
        <w:t xml:space="preserve">4.20 Анализ метрики</w:t>
      </w:r>
    </w:p>
    <w:p>
      <w:pPr>
        <w:pStyle w:val="FirstParagraph"/>
      </w:pPr>
      <w:r>
        <w:t xml:space="preserve">Рассматривается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Результаты:</w:t>
      </w:r>
    </w:p>
    <w:p>
      <w:pPr>
        <w:pStyle w:val="Compact"/>
        <w:numPr>
          <w:ilvl w:val="0"/>
          <w:numId w:val="1010"/>
        </w:numPr>
      </w:pPr>
      <w:r>
        <w:t xml:space="preserve">первая модель: значение остаётся значительным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вторая: стремится к нулю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третья: мало, но не ноль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11"/>
        </w:numPr>
      </w:pPr>
      <w:r>
        <w:t xml:space="preserve">Незатухающая модель демонстрирует устойчивые гармонические колебания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Наличие затухания приводит к переходу системы в состояние покоя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Внешняя сила формирует устойчивые вынужденные колебания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Параметры существенно влияют на динамику системы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Численное моделирование эффективно для всех случаев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различие режимов</w:t>
      </w:r>
    </w:p>
    <w:bookmarkEnd w:id="87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2"/>
        </w:numPr>
      </w:pPr>
      <w:hyperlink r:id="rId88">
        <w:r>
          <w:rPr>
            <w:rStyle w:val="Hyperlink"/>
          </w:rPr>
          <w:t xml:space="preserve">Гармонический осциллятор</w:t>
        </w:r>
      </w:hyperlink>
      <w:r>
        <w:br/>
      </w:r>
    </w:p>
    <w:p>
      <w:pPr>
        <w:pStyle w:val="Compact"/>
        <w:numPr>
          <w:ilvl w:val="0"/>
          <w:numId w:val="1012"/>
        </w:numPr>
      </w:pPr>
      <w:hyperlink r:id="rId89">
        <w:r>
          <w:rPr>
            <w:rStyle w:val="Hyperlink"/>
          </w:rPr>
          <w:t xml:space="preserve">Модели колебательных систем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Гафоров Нурмухаммад</dc:creator>
  <dc:language>ru-RU</dc:language>
  <cp:keywords/>
  <dcterms:created xsi:type="dcterms:W3CDTF">2026-03-26T10:34:01Z</dcterms:created>
  <dcterms:modified xsi:type="dcterms:W3CDTF">2026-03-26T10:34:01Z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