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End w:id="21"/>
    <w:bookmarkStart w:id="5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Cisco Packet Tracer был открыт проект сети. В логической области проекта был размещён маршрутизатор Cisco 2811. Устройству было задано имя msk-donskaya-ngaforov-gw-1. Маршрутизатор был подключён к порту FastEthernet0/24 коммутатора msk-donskaya-ngaforov-sw-1, что обеспечивает подключение маршрутизатора к коммутируемой сети и позволяет реализовать маршрутизацию между VLAN.</w:t>
      </w:r>
    </w:p>
    <w:p>
      <w:pPr>
        <w:pStyle w:val="BodyText"/>
      </w:pPr>
      <w:r>
        <w:t xml:space="preserve">Топология сети включает несколько коммутаторов доступа, оконечные устройства пользователей и серверы (web, file, mail), соединённые между собой через магистральные соединения и центральный коммутатор.</w:t>
      </w:r>
    </w:p>
    <w:p>
      <w:pPr>
        <w:pStyle w:val="CaptionedFigure"/>
      </w:pPr>
      <w:bookmarkStart w:id="25" w:name="fig:007"/>
      <w:r>
        <w:drawing>
          <wp:inline>
            <wp:extent cx="5334000" cy="3188644"/>
            <wp:effectExtent b="0" l="0" r="0" t="0"/>
            <wp:docPr descr="Рис. 1: Топология сети с маршрутизатором и коммутаторам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с маршрутизатором и коммутаторами</w:t>
      </w:r>
    </w:p>
    <w:bookmarkStart w:id="30" w:name="первоначальная-настройка-маршрутизато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Первоначальная настройка маршрутизатора</w:t>
      </w:r>
    </w:p>
    <w:p>
      <w:pPr>
        <w:pStyle w:val="FirstParagraph"/>
      </w:pPr>
      <w:r>
        <w:t xml:space="preserve">После добавления устройства была выполнена базовая настройка маршрутизатора через консольный интерфейс. Был выполнен переход в привилегированный режим enable, затем в режим глобальной конфигурации configure terminal. На маршрутизаторе было задано имя устройства, настроен пароль для консольного доступа и для удалённого подключения.</w:t>
      </w:r>
    </w:p>
    <w:p>
      <w:pPr>
        <w:pStyle w:val="BodyText"/>
      </w:pPr>
      <w:r>
        <w:t xml:space="preserve">Для обеспечения безопасного удалённого администрирования была выполнена настройка доступа по протоколу SSH. Для этого было задано доменное имя устройства, выполнена генерация RSA-ключей и разрешён доступ через VTY-линии только по SSH.</w:t>
      </w:r>
    </w:p>
    <w:p>
      <w:pPr>
        <w:pStyle w:val="BodyText"/>
      </w:pPr>
      <w:r>
        <w:t xml:space="preserve">Также был задан привилегированный пароль enable secret и включено шифрование всех паролей в конфигурации устройства. После завершения настройки конфигурация была сохранена в энергонезависимую память с помощью команды write memory.</w:t>
      </w:r>
    </w:p>
    <w:p>
      <w:pPr>
        <w:pStyle w:val="CaptionedFigure"/>
      </w:pPr>
      <w:bookmarkStart w:id="29" w:name="fig:008"/>
      <w:r>
        <w:drawing>
          <wp:inline>
            <wp:extent cx="5334000" cy="3646489"/>
            <wp:effectExtent b="0" l="0" r="0" t="0"/>
            <wp:docPr descr="Рис. 2: Первоначальная настройка маршрутизатора и включение SSH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Первоначальная настройка маршрутизатора и включение SSH</w:t>
      </w:r>
    </w:p>
    <w:bookmarkEnd w:id="30"/>
    <w:bookmarkStart w:id="35" w:name="X562c13e700faddd0de1fcea3559794044b7ba8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виртуальных интерфейсов VLAN на маршрутизаторе</w:t>
      </w:r>
    </w:p>
    <w:p>
      <w:pPr>
        <w:pStyle w:val="FirstParagraph"/>
      </w:pPr>
      <w:r>
        <w:t xml:space="preserve">Для обеспечения маршрутизации между виртуальными сетями была использована технология Router-on-a-Stick. На физическом интерфейсе FastEthernet0/0 маршрутизатора были созданы виртуальные подинтерфейсы, каждый из которых соответствует определённому VLAN.</w:t>
      </w:r>
    </w:p>
    <w:p>
      <w:pPr>
        <w:pStyle w:val="BodyText"/>
      </w:pPr>
      <w:r>
        <w:t xml:space="preserve">Для каждого подинтерфейса была настроена инкапсуляция IEEE 802.1Q с указанием номера VLAN, а также назначен IP-адрес, выполняющий роль шлюза по умолчанию для устройств соответствующей сети.</w:t>
      </w:r>
    </w:p>
    <w:p>
      <w:pPr>
        <w:pStyle w:val="BodyText"/>
      </w:pPr>
      <w:r>
        <w:t xml:space="preserve">Были настроены следующие интерфейсы:</w:t>
      </w:r>
    </w:p>
    <w:p>
      <w:pPr>
        <w:numPr>
          <w:ilvl w:val="0"/>
          <w:numId w:val="1001"/>
        </w:numPr>
        <w:pStyle w:val="Compact"/>
      </w:pPr>
      <w:r>
        <w:t xml:space="preserve">Fa0/0.101 — VLAN 101 — IP-адрес 10.128.3.1 /24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Fa0/0.102 — VLAN 102 — IP-адрес 10.128.4.1 /24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Fa0/0.103 — VLAN 103 — IP-адрес 10.128.5.1 /24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Fa0/0.104 — VLAN 104 — IP-адрес 10.128.6.1 /24</w:t>
      </w:r>
    </w:p>
    <w:p>
      <w:pPr>
        <w:pStyle w:val="FirstParagraph"/>
      </w:pPr>
      <w:r>
        <w:t xml:space="preserve">Каждый подинтерфейс был настроен с использованием команд interface FastEthernet0/0.X, encapsulation dot1Q X и ip address. Такая конфигурация позволяет маршрутизатору принимать кадры с VLAN-тегами и выполнять маршрутизацию между различными виртуальными сетями.</w:t>
      </w:r>
    </w:p>
    <w:p>
      <w:pPr>
        <w:pStyle w:val="CaptionedFigure"/>
      </w:pPr>
      <w:bookmarkStart w:id="34" w:name="fig:009"/>
      <w:r>
        <w:drawing>
          <wp:inline>
            <wp:extent cx="5334000" cy="3823655"/>
            <wp:effectExtent b="0" l="0" r="0" t="0"/>
            <wp:docPr descr="Рис. 3: Конфигурация подинтерфейсов VLAN на маршрутизаторе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Конфигурация подинтерфейсов VLAN на маршрутизаторе</w:t>
      </w:r>
    </w:p>
    <w:bookmarkEnd w:id="35"/>
    <w:bookmarkStart w:id="40" w:name="проверка-сетевой-связност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После настройки маршрутизатора была выполнена проверка доступности устройств, находящихся в различных VLAN. На одном из компьютеров был открыт Command Prompt и выполнены команды ping к устройствам из других подсетей.</w:t>
      </w:r>
    </w:p>
    <w:p>
      <w:pPr>
        <w:pStyle w:val="BodyText"/>
      </w:pPr>
      <w:r>
        <w:t xml:space="preserve">В результате проверки было установлено, что узлы из разных VLAN успешно обмениваются ICMP-пакетами. В первом запросе наблюдалась потеря одного пакета, что связано с выполнением ARP-запроса для определения MAC-адреса устройства назначения.</w:t>
      </w:r>
    </w:p>
    <w:p>
      <w:pPr>
        <w:pStyle w:val="BodyText"/>
      </w:pPr>
      <w:r>
        <w:t xml:space="preserve">Таким образом, было подтверждено, что межвлановая маршрутизация функционирует корректно.</w:t>
      </w:r>
    </w:p>
    <w:p>
      <w:pPr>
        <w:pStyle w:val="CaptionedFigure"/>
      </w:pPr>
      <w:bookmarkStart w:id="39" w:name="fig:010"/>
      <w:r>
        <w:drawing>
          <wp:inline>
            <wp:extent cx="5334000" cy="5341009"/>
            <wp:effectExtent b="0" l="0" r="0" t="0"/>
            <wp:docPr descr="Рис. 4: Проверка связи между VLAN с помощью ping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Проверка связи между VLAN с помощью ping</w:t>
      </w:r>
    </w:p>
    <w:bookmarkEnd w:id="40"/>
    <w:bookmarkStart w:id="45" w:name="Xe47c04178616ad3c52bbdd569cbd450c1abdf2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Исследование передачи пакета в режиме Simulation</w:t>
      </w:r>
    </w:p>
    <w:p>
      <w:pPr>
        <w:pStyle w:val="FirstParagraph"/>
      </w:pPr>
      <w:r>
        <w:t xml:space="preserve">Далее проект был переведён в режим Simulation. С помощью инструмента Add Simple PDU был создан тестовый обмен ICMP между двумя компьютерами сети. После запуска симуляции было пошагово отслежено прохождение пакета через сетевые устройства.</w:t>
      </w:r>
    </w:p>
    <w:p>
      <w:pPr>
        <w:pStyle w:val="BodyText"/>
      </w:pPr>
      <w:r>
        <w:t xml:space="preserve">На панели событий отображается последовательность передачи пакета: сначала пакет формируется на компьютере-отправителе, затем передаётся через коммутаторы сети, после чего поступает на маршрутизатор, где выполняется маршрутизация между VLAN, и далее доставляется к узлу назначения.</w:t>
      </w:r>
    </w:p>
    <w:p>
      <w:pPr>
        <w:pStyle w:val="CaptionedFigure"/>
      </w:pPr>
      <w:bookmarkStart w:id="44" w:name="fig:011"/>
      <w:r>
        <w:drawing>
          <wp:inline>
            <wp:extent cx="5334000" cy="2869144"/>
            <wp:effectExtent b="0" l="0" r="0" t="0"/>
            <wp:docPr descr="Рис. 5: Передвижение ICMP-пакета в режиме Simulation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Передвижение ICMP-пакета в режиме Simulation</w:t>
      </w:r>
    </w:p>
    <w:bookmarkEnd w:id="45"/>
    <w:bookmarkStart w:id="50" w:name="анализ-структуры-передаваемого-пакет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структуры передаваемого пакета</w:t>
      </w:r>
    </w:p>
    <w:p>
      <w:pPr>
        <w:pStyle w:val="FirstParagraph"/>
      </w:pPr>
      <w:r>
        <w:t xml:space="preserve">Для анализа структуры пакета было открыто окно PDU Information и изучено содержимое кадра на вкладке PDU Formats. Было установлено, что передача осуществляется в кадре Ethernet 802.1Q, который содержит VLAN-тег.</w:t>
      </w:r>
    </w:p>
    <w:p>
      <w:pPr>
        <w:pStyle w:val="BodyText"/>
      </w:pPr>
      <w:r>
        <w:t xml:space="preserve">Кадр Ethernet включает следующие основные поля:</w:t>
      </w:r>
    </w:p>
    <w:p>
      <w:pPr>
        <w:pStyle w:val="BodyText"/>
      </w:pPr>
      <w:r>
        <w:t xml:space="preserve">Ethernet 802.1Q (канальный уровень):</w:t>
      </w:r>
      <w:r>
        <w:t xml:space="preserve"> </w:t>
      </w:r>
      <w:r>
        <w:t xml:space="preserve">- Preamble — используется для синхронизации передачи данных;</w:t>
      </w:r>
      <w:r>
        <w:t xml:space="preserve"> </w:t>
      </w:r>
      <w:r>
        <w:t xml:space="preserve">- SFD (Start Frame Delimiter) — указывает начало кадра;</w:t>
      </w:r>
      <w:r>
        <w:t xml:space="preserve"> </w:t>
      </w:r>
      <w:r>
        <w:t xml:space="preserve">- Destination MAC Address — MAC-адрес получателя;</w:t>
      </w:r>
      <w:r>
        <w:t xml:space="preserve"> </w:t>
      </w:r>
      <w:r>
        <w:t xml:space="preserve">- Source MAC Address — MAC-адрес отправителя;</w:t>
      </w:r>
      <w:r>
        <w:t xml:space="preserve"> </w:t>
      </w:r>
      <w:r>
        <w:t xml:space="preserve">- TPID = 0x8100 — признак наличия VLAN-тега;</w:t>
      </w:r>
      <w:r>
        <w:t xml:space="preserve"> </w:t>
      </w:r>
      <w:r>
        <w:t xml:space="preserve">- TCI — информация о VLAN (идентификатор VLAN и приоритет);</w:t>
      </w:r>
      <w:r>
        <w:t xml:space="preserve"> </w:t>
      </w:r>
      <w:r>
        <w:t xml:space="preserve">- Type — тип протокола верхнего уровня;</w:t>
      </w:r>
      <w:r>
        <w:t xml:space="preserve"> </w:t>
      </w:r>
      <w:r>
        <w:t xml:space="preserve">- Data — полезная нагрузка кадра;</w:t>
      </w:r>
      <w:r>
        <w:t xml:space="preserve"> </w:t>
      </w:r>
      <w:r>
        <w:t xml:space="preserve">- FCS — контрольная сумма кадра.</w:t>
      </w:r>
    </w:p>
    <w:p>
      <w:pPr>
        <w:pStyle w:val="BodyText"/>
      </w:pPr>
      <w:r>
        <w:t xml:space="preserve">IP (сетевой уровень):</w:t>
      </w:r>
      <w:r>
        <w:t xml:space="preserve"> </w:t>
      </w:r>
      <w:r>
        <w:t xml:space="preserve">- Version — версия протокола (IPv4);</w:t>
      </w:r>
      <w:r>
        <w:t xml:space="preserve"> </w:t>
      </w:r>
      <w:r>
        <w:t xml:space="preserve">- IHL — длина заголовка IP;</w:t>
      </w:r>
      <w:r>
        <w:t xml:space="preserve"> </w:t>
      </w:r>
      <w:r>
        <w:t xml:space="preserve">- DSCP — параметры обслуживания;</w:t>
      </w:r>
      <w:r>
        <w:t xml:space="preserve"> </w:t>
      </w:r>
      <w:r>
        <w:t xml:space="preserve">- Total Length — общая длина пакета;</w:t>
      </w:r>
      <w:r>
        <w:t xml:space="preserve"> </w:t>
      </w:r>
      <w:r>
        <w:t xml:space="preserve">- Identification — идентификатор пакета;</w:t>
      </w:r>
      <w:r>
        <w:t xml:space="preserve"> </w:t>
      </w:r>
      <w:r>
        <w:t xml:space="preserve">- Flags и Fragment Offset — параметры фрагментации;</w:t>
      </w:r>
      <w:r>
        <w:t xml:space="preserve"> </w:t>
      </w:r>
      <w:r>
        <w:t xml:space="preserve">- TTL — время жизни пакета;</w:t>
      </w:r>
      <w:r>
        <w:t xml:space="preserve"> </w:t>
      </w:r>
      <w:r>
        <w:t xml:space="preserve">- Protocol = 0x01 — указывает, что используется протокол ICMP;</w:t>
      </w:r>
      <w:r>
        <w:t xml:space="preserve"> </w:t>
      </w:r>
      <w:r>
        <w:t xml:space="preserve">- Source IP — IP-адрес отправителя;</w:t>
      </w:r>
      <w:r>
        <w:t xml:space="preserve"> </w:t>
      </w:r>
      <w:r>
        <w:t xml:space="preserve">- Destination IP — IP-адрес получателя.</w:t>
      </w:r>
    </w:p>
    <w:p>
      <w:pPr>
        <w:pStyle w:val="BodyText"/>
      </w:pPr>
      <w:r>
        <w:t xml:space="preserve">ICMP:</w:t>
      </w:r>
      <w:r>
        <w:t xml:space="preserve"> </w:t>
      </w:r>
      <w:r>
        <w:t xml:space="preserve">- Type = 0x00 — Echo Reply;</w:t>
      </w:r>
      <w:r>
        <w:t xml:space="preserve"> </w:t>
      </w:r>
      <w:r>
        <w:t xml:space="preserve">- Code = 0x00;</w:t>
      </w:r>
      <w:r>
        <w:t xml:space="preserve"> </w:t>
      </w:r>
      <w:r>
        <w:t xml:space="preserve">- Checksum — контрольная сумма;</w:t>
      </w:r>
      <w:r>
        <w:t xml:space="preserve"> </w:t>
      </w:r>
      <w:r>
        <w:t xml:space="preserve">- Identifier — идентификатор сообщения;</w:t>
      </w:r>
      <w:r>
        <w:t xml:space="preserve"> </w:t>
      </w:r>
      <w:r>
        <w:t xml:space="preserve">- Sequence Number — номер последовательности;</w:t>
      </w:r>
      <w:r>
        <w:t xml:space="preserve"> </w:t>
      </w:r>
      <w:r>
        <w:t xml:space="preserve">- Data — полезные данные сообщения.</w:t>
      </w:r>
    </w:p>
    <w:p>
      <w:pPr>
        <w:pStyle w:val="CaptionedFigure"/>
      </w:pPr>
      <w:bookmarkStart w:id="49" w:name="fig:012"/>
      <w:r>
        <w:drawing>
          <wp:inline>
            <wp:extent cx="5334000" cy="4760719"/>
            <wp:effectExtent b="0" l="0" r="0" t="0"/>
            <wp:docPr descr="Рис. 6: Структура передаваемого PDU (Ethernet 802.1Q + IPv4 + ICMP)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Структура передаваемого PDU (Ethernet 802.1Q + IPv4 + ICMP)</w:t>
      </w:r>
    </w:p>
    <w:bookmarkEnd w:id="50"/>
    <w:bookmarkStart w:id="51" w:name="особенности-передачи-пакета-между-vlan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Особенности передачи пакета между VLAN</w:t>
      </w:r>
    </w:p>
    <w:p>
      <w:pPr>
        <w:pStyle w:val="FirstParagraph"/>
      </w:pPr>
      <w:r>
        <w:t xml:space="preserve">Передача пакета между различными VLAN происходит следующим образом:</w:t>
      </w:r>
    </w:p>
    <w:p>
      <w:pPr>
        <w:numPr>
          <w:ilvl w:val="0"/>
          <w:numId w:val="1002"/>
        </w:numPr>
        <w:pStyle w:val="Compact"/>
      </w:pPr>
      <w:r>
        <w:t xml:space="preserve">Компьютер формирует ICMP-запрос и отправляет его на шлюз по умолчанию.</w:t>
      </w:r>
    </w:p>
    <w:p>
      <w:pPr>
        <w:numPr>
          <w:ilvl w:val="0"/>
          <w:numId w:val="1002"/>
        </w:numPr>
        <w:pStyle w:val="Compact"/>
      </w:pPr>
      <w:r>
        <w:t xml:space="preserve">Коммутатор передаёт кадр через trunk-порт с VLAN-тегом IEEE 802.1Q.</w:t>
      </w:r>
    </w:p>
    <w:p>
      <w:pPr>
        <w:numPr>
          <w:ilvl w:val="0"/>
          <w:numId w:val="1002"/>
        </w:numPr>
        <w:pStyle w:val="Compact"/>
      </w:pPr>
      <w:r>
        <w:t xml:space="preserve">Маршрутизатор принимает кадр на соответствующем подинтерфейсе VLAN.</w:t>
      </w:r>
    </w:p>
    <w:p>
      <w:pPr>
        <w:numPr>
          <w:ilvl w:val="0"/>
          <w:numId w:val="1002"/>
        </w:numPr>
        <w:pStyle w:val="Compact"/>
      </w:pPr>
      <w:r>
        <w:t xml:space="preserve">Выполняется маршрутизация между подсетями.</w:t>
      </w:r>
    </w:p>
    <w:p>
      <w:pPr>
        <w:numPr>
          <w:ilvl w:val="0"/>
          <w:numId w:val="1002"/>
        </w:numPr>
        <w:pStyle w:val="Compact"/>
      </w:pPr>
      <w:r>
        <w:t xml:space="preserve">После этого формируется новый кадр Ethernet и пакет отправляется в сеть получателя.</w:t>
      </w:r>
    </w:p>
    <w:bookmarkEnd w:id="51"/>
    <w:bookmarkEnd w:id="52"/>
    <w:bookmarkStart w:id="5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изучена организация межвлановой маршрутизации в локальной сети с использованием технологии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 </w:t>
      </w:r>
      <w:r>
        <w:t xml:space="preserve">в среде Cisco Packet Tracer. В проект был добавлен маршрутизатор Cisco 2811, выполнена его базовая настройка, настроен удалённый доступ по протоколу SSH и создано соединение с коммутатором через trunk-порт.</w:t>
      </w:r>
    </w:p>
    <w:p>
      <w:pPr>
        <w:pStyle w:val="BodyText"/>
      </w:pPr>
      <w:r>
        <w:t xml:space="preserve">На маршрутизаторе были настроены подинтерфейсы FastEthernet0/0.X с инкапсуляцией</w:t>
      </w:r>
      <w:r>
        <w:t xml:space="preserve"> </w:t>
      </w:r>
      <w:r>
        <w:rPr>
          <w:bCs/>
          <w:b/>
        </w:rPr>
        <w:t xml:space="preserve">IEEE 802.1Q</w:t>
      </w:r>
      <w:r>
        <w:t xml:space="preserve">, соответствующие различным VLAN сети. Каждому подинтерфейсу был назначен IP-адрес, выполняющий роль шлюза по умолчанию для устройств соответствующей виртуальной сети.</w:t>
      </w:r>
    </w:p>
    <w:p>
      <w:pPr>
        <w:pStyle w:val="BodyText"/>
      </w:pPr>
      <w:r>
        <w:t xml:space="preserve">Была выполнена проверка сетевой связности между узлами из разных VLAN, которая подтвердила корректную работу межсетевой маршрутизации.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 изучен процесс передачи ICMP-пакета через коммутаторы и маршрутизатор, а также проанализирована структура передаваемого кадра Ethernet с VLAN-тегом.</w:t>
      </w:r>
    </w:p>
    <w:bookmarkStart w:id="55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53" w:name="охарактеризуйте-стандарт-ieee-802.1q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Охарактеризуйте стандарт IEEE 802.1Q</w:t>
      </w:r>
    </w:p>
    <w:p>
      <w:pPr>
        <w:pStyle w:val="FirstParagraph"/>
      </w:pPr>
      <w:r>
        <w:rPr>
          <w:bCs/>
          <w:b/>
        </w:rPr>
        <w:t xml:space="preserve">IEEE 802.1Q</w:t>
      </w:r>
      <w:r>
        <w:t xml:space="preserve"> </w:t>
      </w:r>
      <w:r>
        <w:t xml:space="preserve">— это стандарт канального уровня, определяющий механизм</w:t>
      </w:r>
      <w:r>
        <w:t xml:space="preserve"> </w:t>
      </w:r>
      <w:r>
        <w:rPr>
          <w:bCs/>
          <w:b/>
        </w:rPr>
        <w:t xml:space="preserve">тегирования VLAN</w:t>
      </w:r>
      <w:r>
        <w:t xml:space="preserve"> </w:t>
      </w:r>
      <w:r>
        <w:t xml:space="preserve">в кадрах Ethernet. Он используется для передачи трафика нескольких виртуальных локальных сетей через одно физическое соединение между сетевыми устройствами (обычно между коммутаторами или между коммутатором и маршрутизатором).</w:t>
      </w:r>
    </w:p>
    <w:p>
      <w:pPr>
        <w:pStyle w:val="BodyText"/>
      </w:pPr>
      <w:r>
        <w:t xml:space="preserve">Основная идея стандарта заключается в добавлении в Ethernet-кадр специального</w:t>
      </w:r>
      <w:r>
        <w:t xml:space="preserve"> </w:t>
      </w:r>
      <w:r>
        <w:rPr>
          <w:bCs/>
          <w:b/>
        </w:rPr>
        <w:t xml:space="preserve">VLAN-тега</w:t>
      </w:r>
      <w:r>
        <w:t xml:space="preserve">, который содержит идентификатор виртуальной сети (</w:t>
      </w:r>
      <w:r>
        <w:rPr>
          <w:bCs/>
          <w:b/>
        </w:rPr>
        <w:t xml:space="preserve">VLAN ID</w:t>
      </w:r>
      <w:r>
        <w:t xml:space="preserve">). Благодаря этому сетевые устройства могут различать, к какой виртуальной сети относится передаваемый кадр.</w:t>
      </w:r>
    </w:p>
    <w:p>
      <w:pPr>
        <w:pStyle w:val="BodyText"/>
      </w:pPr>
      <w:r>
        <w:t xml:space="preserve">Основные особенности стандарта IEEE 802.1Q:</w:t>
      </w:r>
    </w:p>
    <w:p>
      <w:pPr>
        <w:numPr>
          <w:ilvl w:val="0"/>
          <w:numId w:val="1003"/>
        </w:numPr>
        <w:pStyle w:val="Compact"/>
      </w:pPr>
      <w:r>
        <w:t xml:space="preserve">поддержка передачи нескольких VLAN по одному каналу связи (trunk);</w:t>
      </w:r>
    </w:p>
    <w:p>
      <w:pPr>
        <w:numPr>
          <w:ilvl w:val="0"/>
          <w:numId w:val="1003"/>
        </w:numPr>
        <w:pStyle w:val="Compact"/>
      </w:pPr>
      <w:r>
        <w:t xml:space="preserve">добавление в Ethernet-кадр четырёхбайтового VLAN-тега;</w:t>
      </w:r>
    </w:p>
    <w:p>
      <w:pPr>
        <w:numPr>
          <w:ilvl w:val="0"/>
          <w:numId w:val="1003"/>
        </w:numPr>
        <w:pStyle w:val="Compact"/>
      </w:pPr>
      <w:r>
        <w:t xml:space="preserve">идентификация VLAN по полю</w:t>
      </w:r>
      <w:r>
        <w:t xml:space="preserve"> </w:t>
      </w:r>
      <w:r>
        <w:rPr>
          <w:bCs/>
          <w:b/>
        </w:rPr>
        <w:t xml:space="preserve">VLAN ID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возможность задания приоритета трафика;</w:t>
      </w:r>
    </w:p>
    <w:p>
      <w:pPr>
        <w:numPr>
          <w:ilvl w:val="0"/>
          <w:numId w:val="1003"/>
        </w:numPr>
        <w:pStyle w:val="Compact"/>
      </w:pPr>
      <w:r>
        <w:t xml:space="preserve">использование в коммутаторах и маршрутизаторах для организации сегментации сети.</w:t>
      </w:r>
    </w:p>
    <w:bookmarkEnd w:id="53"/>
    <w:bookmarkStart w:id="54" w:name="опишите-формат-кадра-ieee-802.1q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Опишите формат кадра IEEE 802.1Q</w:t>
      </w:r>
    </w:p>
    <w:p>
      <w:pPr>
        <w:pStyle w:val="FirstParagraph"/>
      </w:pPr>
      <w:r>
        <w:t xml:space="preserve">Кадр</w:t>
      </w:r>
      <w:r>
        <w:t xml:space="preserve"> </w:t>
      </w:r>
      <w:r>
        <w:rPr>
          <w:bCs/>
          <w:b/>
        </w:rPr>
        <w:t xml:space="preserve">IEEE 802.1Q</w:t>
      </w:r>
      <w:r>
        <w:t xml:space="preserve"> </w:t>
      </w:r>
      <w:r>
        <w:t xml:space="preserve">представляет собой стандартный кадр Ethernet, в который добавлено специальное поле VLAN-тега. Этот тег вставляется между полями</w:t>
      </w:r>
      <w:r>
        <w:t xml:space="preserve"> </w:t>
      </w:r>
      <w:r>
        <w:rPr>
          <w:bCs/>
          <w:b/>
        </w:rPr>
        <w:t xml:space="preserve">Source MAC Address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Type/Length</w:t>
      </w:r>
      <w:r>
        <w:t xml:space="preserve">.</w:t>
      </w:r>
    </w:p>
    <w:p>
      <w:pPr>
        <w:pStyle w:val="BodyText"/>
      </w:pPr>
      <w:r>
        <w:t xml:space="preserve">Структура кадра IEEE 802.1Q включает следующие поля:</w:t>
      </w:r>
    </w:p>
    <w:p>
      <w:pPr>
        <w:pStyle w:val="BodyText"/>
      </w:pPr>
      <w:r>
        <w:rPr>
          <w:bCs/>
          <w:b/>
        </w:rPr>
        <w:t xml:space="preserve">1. Preamble</w:t>
      </w:r>
      <w:r>
        <w:br/>
      </w:r>
      <w:r>
        <w:t xml:space="preserve">Используется для синхронизации передатчика и приёмника перед началом передачи данных.</w:t>
      </w:r>
    </w:p>
    <w:p>
      <w:pPr>
        <w:pStyle w:val="BodyText"/>
      </w:pPr>
      <w:r>
        <w:rPr>
          <w:bCs/>
          <w:b/>
        </w:rPr>
        <w:t xml:space="preserve">2. SFD (Start Frame Delimiter)</w:t>
      </w:r>
      <w:r>
        <w:br/>
      </w:r>
      <w:r>
        <w:t xml:space="preserve">Указывает на начало кадра Ethernet.</w:t>
      </w:r>
    </w:p>
    <w:p>
      <w:pPr>
        <w:pStyle w:val="BodyText"/>
      </w:pPr>
      <w:r>
        <w:rPr>
          <w:bCs/>
          <w:b/>
        </w:rPr>
        <w:t xml:space="preserve">3. Destination MAC Address</w:t>
      </w:r>
      <w:r>
        <w:br/>
      </w:r>
      <w:r>
        <w:t xml:space="preserve">MAC-адрес устройства-получателя.</w:t>
      </w:r>
    </w:p>
    <w:p>
      <w:pPr>
        <w:pStyle w:val="BodyText"/>
      </w:pPr>
      <w:r>
        <w:rPr>
          <w:bCs/>
          <w:b/>
        </w:rPr>
        <w:t xml:space="preserve">4. Source MAC Address</w:t>
      </w:r>
      <w:r>
        <w:br/>
      </w:r>
      <w:r>
        <w:t xml:space="preserve">MAC-адрес устройства-отправителя.</w:t>
      </w:r>
    </w:p>
    <w:p>
      <w:pPr>
        <w:pStyle w:val="BodyText"/>
      </w:pPr>
      <w:r>
        <w:rPr>
          <w:bCs/>
          <w:b/>
        </w:rPr>
        <w:t xml:space="preserve">5. TPID (Tag Protocol Identifier)</w:t>
      </w:r>
      <w:r>
        <w:br/>
      </w:r>
      <w:r>
        <w:t xml:space="preserve">Поле длиной 16 бит со значением</w:t>
      </w:r>
      <w:r>
        <w:t xml:space="preserve"> </w:t>
      </w:r>
      <w:r>
        <w:rPr>
          <w:bCs/>
          <w:b/>
        </w:rPr>
        <w:t xml:space="preserve">0x8100</w:t>
      </w:r>
      <w:r>
        <w:t xml:space="preserve">, которое указывает на наличие VLAN-тега.</w:t>
      </w:r>
    </w:p>
    <w:p>
      <w:pPr>
        <w:pStyle w:val="BodyText"/>
      </w:pPr>
      <w:r>
        <w:rPr>
          <w:bCs/>
          <w:b/>
        </w:rPr>
        <w:t xml:space="preserve">6. TCI (Tag Control Information)</w:t>
      </w:r>
      <w:r>
        <w:br/>
      </w:r>
      <w:r>
        <w:t xml:space="preserve">Поле длиной 16 бит, содержащее информацию о VLAN: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 (3 бита)</w:t>
      </w:r>
      <w:r>
        <w:t xml:space="preserve"> </w:t>
      </w:r>
      <w:r>
        <w:t xml:space="preserve">— приоритет трафика;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DEI (Drop Eligible Indicator)</w:t>
      </w:r>
      <w:r>
        <w:t xml:space="preserve"> </w:t>
      </w:r>
      <w:r>
        <w:t xml:space="preserve">— признак возможности удаления кадра при перегрузке;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VLAN ID (12 бит)</w:t>
      </w:r>
      <w:r>
        <w:t xml:space="preserve"> </w:t>
      </w:r>
      <w:r>
        <w:t xml:space="preserve">— идентификатор виртуальной сети.</w:t>
      </w:r>
    </w:p>
    <w:p>
      <w:pPr>
        <w:pStyle w:val="BodyText"/>
      </w:pPr>
      <w:r>
        <w:rPr>
          <w:bCs/>
          <w:b/>
        </w:rPr>
        <w:t xml:space="preserve">7. Type / Length</w:t>
      </w:r>
      <w:r>
        <w:br/>
      </w:r>
      <w:r>
        <w:t xml:space="preserve">Определяет тип протокола верхнего уровня (например, IPv4).</w:t>
      </w:r>
    </w:p>
    <w:p>
      <w:pPr>
        <w:pStyle w:val="BodyText"/>
      </w:pPr>
      <w:r>
        <w:rPr>
          <w:bCs/>
          <w:b/>
        </w:rPr>
        <w:t xml:space="preserve">8. Data</w:t>
      </w:r>
      <w:r>
        <w:br/>
      </w:r>
      <w:r>
        <w:t xml:space="preserve">Полезная нагрузка кадра (например IP-пакет).</w:t>
      </w:r>
    </w:p>
    <w:p>
      <w:pPr>
        <w:pStyle w:val="BodyText"/>
      </w:pPr>
      <w:r>
        <w:rPr>
          <w:bCs/>
          <w:b/>
        </w:rPr>
        <w:t xml:space="preserve">9. FCS (Frame Check Sequence)</w:t>
      </w:r>
      <w:r>
        <w:br/>
      </w:r>
      <w:r>
        <w:t xml:space="preserve">Контрольная сумма, используемая для обнаружения ошибок при передаче.</w:t>
      </w:r>
    </w:p>
    <w:p>
      <w:pPr>
        <w:pStyle w:val="BodyText"/>
      </w:pPr>
      <w:r>
        <w:t xml:space="preserve">Добавление VLAN-тега увеличивает размер Ethernet-кадра на</w:t>
      </w:r>
      <w:r>
        <w:t xml:space="preserve"> </w:t>
      </w:r>
      <w:r>
        <w:rPr>
          <w:bCs/>
          <w:b/>
        </w:rPr>
        <w:t xml:space="preserve">4 байта</w:t>
      </w:r>
      <w:r>
        <w:t xml:space="preserve">. Благодаря этому тегу сетевые устройства могут правильно обрабатывать трафик различных VLAN при передаче через trunk-соединения.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Гафоров Нурмухаммад</dc:creator>
  <dc:language>ru-RU</dc:language>
  <cp:keywords/>
  <dcterms:created xsi:type="dcterms:W3CDTF">2026-03-15T08:50:28Z</dcterms:created>
  <dcterms:modified xsi:type="dcterms:W3CDTF">2026-03-15T08:50:28Z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