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26.png" ContentType="image/png"/>
  <Override PartName="/word/media/rId30.png" ContentType="image/png"/>
  <Override PartName="/word/media/rId38.png" ContentType="image/png"/>
  <Override PartName="/word/media/rId34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Учёт</w:t>
      </w:r>
      <w:r>
        <w:t xml:space="preserve"> </w:t>
      </w:r>
      <w:r>
        <w:t xml:space="preserve">физических</w:t>
      </w:r>
      <w:r>
        <w:t xml:space="preserve"> </w:t>
      </w:r>
      <w:r>
        <w:t xml:space="preserve">параметров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 а также учесть физические параметры сети.</w:t>
      </w:r>
    </w:p>
    <w:bookmarkEnd w:id="20"/>
    <w:bookmarkEnd w:id="21"/>
    <w:bookmarkStart w:id="7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Cisco Packet Tracer была открыта физическая рабочая область проекта. На глобальной карте задано имя города</w:t>
      </w:r>
      <w:r>
        <w:t xml:space="preserve"> </w:t>
      </w:r>
      <w:r>
        <w:rPr>
          <w:bCs/>
          <w:b/>
        </w:rPr>
        <w:t xml:space="preserve">Moscow</w:t>
      </w:r>
      <w:r>
        <w:t xml:space="preserve">.</w:t>
      </w:r>
    </w:p>
    <w:p>
      <w:pPr>
        <w:pStyle w:val="CaptionedFigure"/>
      </w:pPr>
      <w:bookmarkStart w:id="25" w:name="fig:007"/>
      <w:r>
        <w:drawing>
          <wp:inline>
            <wp:extent cx="4639376" cy="3234088"/>
            <wp:effectExtent b="0" l="0" r="0" t="0"/>
            <wp:docPr descr="Рис. 1: Город Moscow в физической рабочей области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7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Город Moscow в физической рабочей области</w:t>
      </w:r>
    </w:p>
    <w:p>
      <w:pPr>
        <w:pStyle w:val="BodyText"/>
      </w:pPr>
      <w:r>
        <w:t xml:space="preserve">После выбора города выполнен переход к уровню зданий. Одному из зданий присвоено имя</w:t>
      </w:r>
      <w:r>
        <w:t xml:space="preserve"> </w:t>
      </w:r>
      <w:r>
        <w:rPr>
          <w:bCs/>
          <w:b/>
        </w:rPr>
        <w:t xml:space="preserve">Donskaya</w:t>
      </w:r>
      <w:r>
        <w:t xml:space="preserve">, затем дополнительно создано здание</w:t>
      </w:r>
      <w:r>
        <w:t xml:space="preserve"> </w:t>
      </w:r>
      <w:r>
        <w:rPr>
          <w:bCs/>
          <w:b/>
        </w:rPr>
        <w:t xml:space="preserve">Pavlovskaya</w:t>
      </w:r>
      <w:r>
        <w:t xml:space="preserve">. Таким образом, в пределах города были организованы две отдельные площадки.</w:t>
      </w:r>
    </w:p>
    <w:p>
      <w:pPr>
        <w:pStyle w:val="CaptionedFigure"/>
      </w:pPr>
      <w:bookmarkStart w:id="29" w:name="fig:008"/>
      <w:r>
        <w:drawing>
          <wp:inline>
            <wp:extent cx="5334000" cy="2203290"/>
            <wp:effectExtent b="0" l="0" r="0" t="0"/>
            <wp:docPr descr="Рис. 2: Здания Donskaya и Pavlovskaya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Здания Donskaya и Pavlovskaya</w:t>
      </w:r>
    </w:p>
    <w:p>
      <w:pPr>
        <w:pStyle w:val="BodyText"/>
      </w:pPr>
      <w:r>
        <w:t xml:space="preserve">Далее выполнен переход внутрь здания</w:t>
      </w:r>
      <w:r>
        <w:t xml:space="preserve"> </w:t>
      </w:r>
      <w:r>
        <w:rPr>
          <w:bCs/>
          <w:b/>
        </w:rPr>
        <w:t xml:space="preserve">Donskaya</w:t>
      </w:r>
      <w:r>
        <w:t xml:space="preserve">, где было размещено серверное помещение (Wiring Closet). Внутри помещения размещены оконечные устройства, соединённые с сетевым оборудованием.</w:t>
      </w:r>
    </w:p>
    <w:p>
      <w:pPr>
        <w:pStyle w:val="CaptionedFigure"/>
      </w:pPr>
      <w:bookmarkStart w:id="33" w:name="fig:009"/>
      <w:r>
        <w:drawing>
          <wp:inline>
            <wp:extent cx="5334000" cy="3353781"/>
            <wp:effectExtent b="0" l="0" r="0" t="0"/>
            <wp:docPr descr="Рис. 3: Размещение оборудования в здании Donskaya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Размещение оборудования в здании Donskaya</w:t>
      </w:r>
    </w:p>
    <w:p>
      <w:pPr>
        <w:pStyle w:val="BodyText"/>
      </w:pPr>
      <w:r>
        <w:t xml:space="preserve">Аналогично выполнен переход в серверное помещение (Wiring Closet), где отображаются серверные стойки и активное сетевое оборудование (коммутаторы, питание и соединения между ними).</w:t>
      </w:r>
    </w:p>
    <w:p>
      <w:pPr>
        <w:pStyle w:val="CaptionedFigure"/>
      </w:pPr>
      <w:bookmarkStart w:id="37" w:name="fig:010"/>
      <w:r>
        <w:drawing>
          <wp:inline>
            <wp:extent cx="4803006" cy="5630778"/>
            <wp:effectExtent b="0" l="0" r="0" t="0"/>
            <wp:docPr descr="Рис. 4: Серверная стойка с оборудованием" title="" id="35" name="Picture"/>
            <a:graphic>
              <a:graphicData uri="http://schemas.openxmlformats.org/drawingml/2006/picture">
                <pic:pic>
                  <pic:nvPicPr>
                    <pic:cNvPr descr="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06" cy="5630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Серверная стойка с оборудованием</w:t>
      </w:r>
    </w:p>
    <w:p>
      <w:pPr>
        <w:pStyle w:val="BodyText"/>
      </w:pPr>
      <w:r>
        <w:t xml:space="preserve">Затем с использованием инструмента Move в физической рабочей области были перемещены устройства на территорию</w:t>
      </w:r>
      <w:r>
        <w:t xml:space="preserve"> </w:t>
      </w:r>
      <w:r>
        <w:rPr>
          <w:bCs/>
          <w:b/>
        </w:rPr>
        <w:t xml:space="preserve">Pavlovskaya</w:t>
      </w:r>
      <w:r>
        <w:t xml:space="preserve">:</w:t>
      </w:r>
      <w:r>
        <w:t xml:space="preserve"> </w:t>
      </w:r>
      <w:r>
        <w:t xml:space="preserve">- коммутатор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;</w:t>
      </w:r>
      <w:r>
        <w:t xml:space="preserve"> </w:t>
      </w:r>
      <w:r>
        <w:t xml:space="preserve">- оконечное устройство</w:t>
      </w:r>
      <w:r>
        <w:t xml:space="preserve"> </w:t>
      </w:r>
      <w:r>
        <w:rPr>
          <w:bCs/>
          <w:b/>
        </w:rPr>
        <w:t xml:space="preserve">dk-pavlovskaya-1</w:t>
      </w:r>
      <w:r>
        <w:t xml:space="preserve">;</w:t>
      </w:r>
      <w:r>
        <w:t xml:space="preserve"> </w:t>
      </w:r>
      <w:r>
        <w:t xml:space="preserve">- оконечное устройство</w:t>
      </w:r>
      <w:r>
        <w:t xml:space="preserve"> </w:t>
      </w:r>
      <w:r>
        <w:rPr>
          <w:bCs/>
          <w:b/>
        </w:rPr>
        <w:t xml:space="preserve">other-pavlovskaya-1</w:t>
      </w:r>
      <w:r>
        <w:t xml:space="preserve">.</w:t>
      </w:r>
    </w:p>
    <w:p>
      <w:pPr>
        <w:pStyle w:val="BodyText"/>
      </w:pPr>
      <w:r>
        <w:t xml:space="preserve">После размещения оборудования была сформирована соответствующая топология сети между зданиями.</w:t>
      </w:r>
    </w:p>
    <w:p>
      <w:pPr>
        <w:pStyle w:val="CaptionedFigure"/>
      </w:pPr>
      <w:bookmarkStart w:id="41" w:name="fig:011"/>
      <w:r>
        <w:drawing>
          <wp:inline>
            <wp:extent cx="5334000" cy="4049742"/>
            <wp:effectExtent b="0" l="0" r="0" t="0"/>
            <wp:docPr descr="Рис. 5: Размещение устройств в Pavlovskaya" title="" id="39" name="Picture"/>
            <a:graphic>
              <a:graphicData uri="http://schemas.openxmlformats.org/drawingml/2006/picture">
                <pic:pic>
                  <pic:nvPicPr>
                    <pic:cNvPr descr="Screenshot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9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Размещение устройств в Pavlovskaya</w:t>
      </w:r>
    </w:p>
    <w:p>
      <w:pPr>
        <w:pStyle w:val="BodyText"/>
      </w:pPr>
      <w:r>
        <w:t xml:space="preserve">После завершения физического размещения устройств выполнен переход в логическую рабочую область. С коммутатора</w:t>
      </w:r>
      <w:r>
        <w:t xml:space="preserve"> </w:t>
      </w:r>
      <w:r>
        <w:rPr>
          <w:bCs/>
          <w:b/>
        </w:rPr>
        <w:t xml:space="preserve">msk-donskaya-ngaforov-sw-1</w:t>
      </w:r>
      <w:r>
        <w:t xml:space="preserve"> </w:t>
      </w:r>
      <w:r>
        <w:t xml:space="preserve">была выполнена проверка связности с коммутатором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.</w:t>
      </w:r>
    </w:p>
    <w:p>
      <w:pPr>
        <w:pStyle w:val="CaptionedFigure"/>
      </w:pPr>
      <w:bookmarkStart w:id="45" w:name="fig:012"/>
      <w:r>
        <w:drawing>
          <wp:inline>
            <wp:extent cx="5334000" cy="1205023"/>
            <wp:effectExtent b="0" l="0" r="0" t="0"/>
            <wp:docPr descr="Рис. 6: Результат выполнения ping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5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Результат выполнения ping</w:t>
      </w:r>
    </w:p>
    <w:p>
      <w:pPr>
        <w:pStyle w:val="BodyText"/>
      </w:pPr>
      <w:r>
        <w:t xml:space="preserve">В результате выполнения команды получены ответы от удалённого устройства. Потерь пакетов не наблюдается (успешность 100%), что свидетельствует о корректной настройке сети и работоспособности соединения между площадками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Pavlovskaya</w:t>
      </w:r>
      <w:r>
        <w:t xml:space="preserve">.</w:t>
      </w:r>
    </w:p>
    <w:p>
      <w:pPr>
        <w:pStyle w:val="BodyText"/>
      </w:pPr>
      <w:r>
        <w:t xml:space="preserve">В меню</w:t>
      </w:r>
      <w:r>
        <w:t xml:space="preserve"> </w:t>
      </w:r>
      <w:r>
        <w:rPr>
          <w:bCs/>
          <w:b/>
        </w:rPr>
        <w:t xml:space="preserve">Options → Preferences</w:t>
      </w:r>
      <w:r>
        <w:t xml:space="preserve"> </w:t>
      </w:r>
      <w:r>
        <w:t xml:space="preserve">на вкладке</w:t>
      </w:r>
      <w:r>
        <w:t xml:space="preserve"> </w:t>
      </w:r>
      <w:r>
        <w:rPr>
          <w:bCs/>
          <w:b/>
        </w:rPr>
        <w:t xml:space="preserve">Interface</w:t>
      </w:r>
      <w:r>
        <w:t xml:space="preserve"> </w:t>
      </w:r>
      <w:r>
        <w:t xml:space="preserve">была активирована опция</w:t>
      </w:r>
      <w:r>
        <w:t xml:space="preserve"> </w:t>
      </w:r>
      <w:r>
        <w:rPr>
          <w:bCs/>
          <w:b/>
        </w:rPr>
        <w:t xml:space="preserve">Enable Cable Length Effects</w:t>
      </w:r>
      <w:r>
        <w:t xml:space="preserve">, позволяющая учитывать физические характеристики среды передачи в модели сети Packet Tracer.</w:t>
      </w:r>
    </w:p>
    <w:p>
      <w:pPr>
        <w:pStyle w:val="BodyText"/>
      </w:pPr>
      <w:r>
        <w:t xml:space="preserve">Далее в физической рабочей области две территории,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Pavlovskaya</w:t>
      </w:r>
      <w:r>
        <w:t xml:space="preserve">, были размещены на значительном расстоянии друг от друга — более 100 метров. При просмотре параметров соединения между площадками видно, что общая длина линии составляет</w:t>
      </w:r>
      <w:r>
        <w:t xml:space="preserve"> </w:t>
      </w:r>
      <w:r>
        <w:rPr>
          <w:bCs/>
          <w:b/>
        </w:rPr>
        <w:t xml:space="preserve">976.58 meters</w:t>
      </w:r>
      <w:r>
        <w:t xml:space="preserve">, а в качестве типа кабеля используется</w:t>
      </w:r>
      <w:r>
        <w:t xml:space="preserve"> </w:t>
      </w:r>
      <w:r>
        <w:rPr>
          <w:bCs/>
          <w:b/>
        </w:rPr>
        <w:t xml:space="preserve">Copper Cross-Over</w:t>
      </w:r>
      <w:r>
        <w:t xml:space="preserve">.</w:t>
      </w:r>
    </w:p>
    <w:p>
      <w:pPr>
        <w:pStyle w:val="CaptionedFigure"/>
      </w:pPr>
      <w:bookmarkStart w:id="49" w:name="fig:013"/>
      <w:r>
        <w:drawing>
          <wp:inline>
            <wp:extent cx="5334000" cy="1927366"/>
            <wp:effectExtent b="0" l="0" r="0" t="0"/>
            <wp:docPr descr="Рис. 7: Размещение территорий на большом расстоянии и параметры соединения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7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Размещение территорий на большом расстоянии и параметры соединения</w:t>
      </w:r>
    </w:p>
    <w:p>
      <w:pPr>
        <w:pStyle w:val="BodyText"/>
      </w:pPr>
      <w:r>
        <w:t xml:space="preserve">После этого был выполнен переход в логическую рабочую область проекта. С коммутатора</w:t>
      </w:r>
      <w:r>
        <w:t xml:space="preserve"> </w:t>
      </w:r>
      <w:r>
        <w:rPr>
          <w:bCs/>
          <w:b/>
        </w:rPr>
        <w:t xml:space="preserve">msk-donskaya-ngaforov-sw-1</w:t>
      </w:r>
      <w:r>
        <w:t xml:space="preserve"> </w:t>
      </w:r>
      <w:r>
        <w:t xml:space="preserve">была предпринята попытка проверки связности с коммутатором</w:t>
      </w:r>
      <w:r>
        <w:t xml:space="preserve"> </w:t>
      </w:r>
      <w:r>
        <w:rPr>
          <w:bCs/>
          <w:b/>
        </w:rPr>
        <w:t xml:space="preserve">msk-pavlovskaya-ngaforov-sw-1</w:t>
      </w:r>
      <w:r>
        <w:t xml:space="preserve">. Из-за превышения допустимой длины медного сегмента соединение оказалось неработоспособным, что отражается на схеме сети.</w:t>
      </w:r>
    </w:p>
    <w:p>
      <w:pPr>
        <w:pStyle w:val="CaptionedFigure"/>
      </w:pPr>
      <w:bookmarkStart w:id="53" w:name="fig:014"/>
      <w:r>
        <w:drawing>
          <wp:inline>
            <wp:extent cx="5334000" cy="3576204"/>
            <wp:effectExtent b="0" l="0" r="0" t="0"/>
            <wp:docPr descr="Рис. 8: Неработоспособность соединения между удалёнными коммутаторами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6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Неработоспособность соединения между удалёнными коммутаторами</w:t>
      </w:r>
    </w:p>
    <w:p>
      <w:pPr>
        <w:pStyle w:val="BodyText"/>
      </w:pPr>
      <w:r>
        <w:t xml:space="preserve">Затем существующее соединение между</w:t>
      </w:r>
      <w:r>
        <w:t xml:space="preserve"> </w:t>
      </w:r>
      <w:r>
        <w:rPr>
          <w:bCs/>
          <w:b/>
        </w:rPr>
        <w:t xml:space="preserve">msk-donskaya-ngaforov-sw-1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msk-pavlovskaya-ngaforov-sw-1</w:t>
      </w:r>
      <w:r>
        <w:t xml:space="preserve"> </w:t>
      </w:r>
      <w:r>
        <w:t xml:space="preserve">было удалено. В логическую рабочую область добавлены два повторителя</w:t>
      </w:r>
      <w:r>
        <w:t xml:space="preserve"> </w:t>
      </w:r>
      <w:r>
        <w:rPr>
          <w:bCs/>
          <w:b/>
        </w:rPr>
        <w:t xml:space="preserve">Repeater-PT</w:t>
      </w:r>
      <w:r>
        <w:t xml:space="preserve">, которым были присвоены имена: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msk-donskaya-ngaforov-mc-1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msk-pavlovskaya-ngaforov-mc-1</w:t>
      </w:r>
    </w:p>
    <w:p>
      <w:pPr>
        <w:pStyle w:val="BodyText"/>
      </w:pPr>
      <w:r>
        <w:t xml:space="preserve">Для обеспечения требуемого типа подключения в каждом повторителе были заменены модули на: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PT-REPEATER-NM-1FFE</w:t>
      </w:r>
      <w:r>
        <w:t xml:space="preserve"> </w:t>
      </w:r>
      <w:r>
        <w:t xml:space="preserve">— для подключения оптоволоконной линии Fast Ethernet;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PT-REPEATER-NM-1CFE</w:t>
      </w:r>
      <w:r>
        <w:t xml:space="preserve"> </w:t>
      </w:r>
      <w:r>
        <w:t xml:space="preserve">— для подключения витой пары Fast Ethernet.</w:t>
      </w:r>
    </w:p>
    <w:p>
      <w:pPr>
        <w:pStyle w:val="CaptionedFigure"/>
      </w:pPr>
      <w:bookmarkStart w:id="57" w:name="fig:015"/>
      <w:r>
        <w:drawing>
          <wp:inline>
            <wp:extent cx="5334000" cy="3263152"/>
            <wp:effectExtent b="0" l="0" r="0" t="0"/>
            <wp:docPr descr="Рис. 9: Настройка модулей повторителя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Настройка модулей повторителя</w:t>
      </w:r>
    </w:p>
    <w:p>
      <w:pPr>
        <w:pStyle w:val="BodyText"/>
      </w:pPr>
      <w:r>
        <w:t xml:space="preserve">После этого в физической рабочей области повторитель</w:t>
      </w:r>
      <w:r>
        <w:t xml:space="preserve"> </w:t>
      </w:r>
      <w:r>
        <w:rPr>
          <w:bCs/>
          <w:b/>
        </w:rPr>
        <w:t xml:space="preserve">msk-pavlovskaya-ngaforov-mc-1</w:t>
      </w:r>
      <w:r>
        <w:t xml:space="preserve"> </w:t>
      </w:r>
      <w:r>
        <w:t xml:space="preserve">был перемещён на территорию</w:t>
      </w:r>
      <w:r>
        <w:t xml:space="preserve"> </w:t>
      </w:r>
      <w:r>
        <w:rPr>
          <w:bCs/>
          <w:b/>
        </w:rPr>
        <w:t xml:space="preserve">Pavlovskaya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bCs/>
          <w:b/>
        </w:rPr>
        <w:t xml:space="preserve">Move</w:t>
      </w:r>
      <w:r>
        <w:t xml:space="preserve">.</w:t>
      </w:r>
    </w:p>
    <w:p>
      <w:pPr>
        <w:pStyle w:val="CaptionedFigure"/>
      </w:pPr>
      <w:bookmarkStart w:id="61" w:name="fig:016"/>
      <w:r>
        <w:drawing>
          <wp:inline>
            <wp:extent cx="5334000" cy="3548916"/>
            <wp:effectExtent b="0" l="0" r="0" t="0"/>
            <wp:docPr descr="Рис. 10: Перемещение повторителя на территорию Pavlovskaya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Перемещение повторителя на территорию Pavlovskaya</w:t>
      </w:r>
    </w:p>
    <w:p>
      <w:pPr>
        <w:pStyle w:val="BodyText"/>
      </w:pPr>
      <w:r>
        <w:t xml:space="preserve">На следующем этапе были выполнены подключения устройств в соответствии с заданием:</w:t>
      </w:r>
      <w:r>
        <w:t xml:space="preserve"> </w:t>
      </w:r>
      <w:r>
        <w:t xml:space="preserve">- коммутатор</w:t>
      </w:r>
      <w:r>
        <w:t xml:space="preserve"> </w:t>
      </w:r>
      <w:r>
        <w:rPr>
          <w:bCs/>
          <w:b/>
        </w:rPr>
        <w:t xml:space="preserve">msk-donskaya-ngaforov-sw-1</w:t>
      </w:r>
      <w:r>
        <w:t xml:space="preserve"> </w:t>
      </w:r>
      <w:r>
        <w:t xml:space="preserve">подключён к</w:t>
      </w:r>
      <w:r>
        <w:t xml:space="preserve"> </w:t>
      </w:r>
      <w:r>
        <w:rPr>
          <w:bCs/>
          <w:b/>
        </w:rPr>
        <w:t xml:space="preserve">msk-donskaya-ngaforov-mc-1</w:t>
      </w:r>
      <w:r>
        <w:t xml:space="preserve"> </w:t>
      </w:r>
      <w:r>
        <w:t xml:space="preserve">по витой паре;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msk-donskaya-ngaforov-mc-1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msk-pavlovskaya-ngaforov-mc-1</w:t>
      </w:r>
      <w:r>
        <w:t xml:space="preserve"> </w:t>
      </w:r>
      <w:r>
        <w:t xml:space="preserve">соединены по оптоволокну;</w:t>
      </w:r>
      <w:r>
        <w:t xml:space="preserve"> </w:t>
      </w:r>
      <w:r>
        <w:t xml:space="preserve">- коммутатор</w:t>
      </w:r>
      <w:r>
        <w:t xml:space="preserve"> </w:t>
      </w:r>
      <w:r>
        <w:rPr>
          <w:bCs/>
          <w:b/>
        </w:rPr>
        <w:t xml:space="preserve">msk-pavlovskaya-ngaforov-sw-1</w:t>
      </w:r>
      <w:r>
        <w:t xml:space="preserve"> </w:t>
      </w:r>
      <w:r>
        <w:t xml:space="preserve">подключён к</w:t>
      </w:r>
      <w:r>
        <w:t xml:space="preserve"> </w:t>
      </w:r>
      <w:r>
        <w:rPr>
          <w:bCs/>
          <w:b/>
        </w:rPr>
        <w:t xml:space="preserve">msk-pavlovskaya-ngaforov-mc-1</w:t>
      </w:r>
      <w:r>
        <w:t xml:space="preserve"> </w:t>
      </w:r>
      <w:r>
        <w:t xml:space="preserve">по витой паре.</w:t>
      </w:r>
    </w:p>
    <w:p>
      <w:pPr>
        <w:pStyle w:val="BodyText"/>
      </w:pPr>
      <w:r>
        <w:t xml:space="preserve">После выполнения этих действий межтерриториальное соединение было восстановлено уже с учётом допустимых физических параметров среды передачи.</w:t>
      </w:r>
    </w:p>
    <w:p>
      <w:pPr>
        <w:pStyle w:val="CaptionedFigure"/>
      </w:pPr>
      <w:bookmarkStart w:id="65" w:name="fig:017"/>
      <w:r>
        <w:drawing>
          <wp:inline>
            <wp:extent cx="5334000" cy="3424167"/>
            <wp:effectExtent b="0" l="0" r="0" t="0"/>
            <wp:docPr descr="Рис. 11: Схема сети после добавления повторителей и замены среды передачи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Схема сети после добавления повторителей и замены среды передачи</w:t>
      </w:r>
    </w:p>
    <w:p>
      <w:pPr>
        <w:pStyle w:val="BodyText"/>
      </w:pPr>
      <w:r>
        <w:t xml:space="preserve">Затем снова была выполнена проверка связности с коммутатора</w:t>
      </w:r>
      <w:r>
        <w:t xml:space="preserve"> </w:t>
      </w:r>
      <w:r>
        <w:rPr>
          <w:bCs/>
          <w:b/>
        </w:rPr>
        <w:t xml:space="preserve">msk-donskaya-ngaforov-sw-1</w:t>
      </w:r>
      <w:r>
        <w:t xml:space="preserve"> </w:t>
      </w:r>
      <w:r>
        <w:t xml:space="preserve">до удалённого устройства. Команда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завершилась успешно: все отправленные ICMP-пакеты были доставлены, потери отсутствуют.</w:t>
      </w:r>
    </w:p>
    <w:p>
      <w:pPr>
        <w:pStyle w:val="CaptionedFigure"/>
      </w:pPr>
      <w:bookmarkStart w:id="69" w:name="fig:018"/>
      <w:r>
        <w:drawing>
          <wp:inline>
            <wp:extent cx="5334000" cy="1459932"/>
            <wp:effectExtent b="0" l="0" r="0" t="0"/>
            <wp:docPr descr="Рис. 12: Успешный результат ping после установки повторителей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Успешный результат ping после установки повторителей</w:t>
      </w:r>
    </w:p>
    <w:bookmarkEnd w:id="70"/>
    <w:bookmarkStart w:id="7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физические характеристики среды передачи данных и их влияние на работоспособность сети в Cisco Packet Tracer. Установлено, что при включённом учёте длины кабеля медные соединения имеют ограничение по расстоянию, превышение которого приводит к потере связи. Рассмотрено применение повторителей и оптоволоконных линий для организации соединений на больших расстояниях. Подтверждено, что использование оптоволокна позволяет обеспечить стабильную передачу данных на значительных дистанциях.</w:t>
      </w:r>
    </w:p>
    <w:bookmarkStart w:id="75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71" w:name="X4b4e57061781460b339b14ee8fbe978c970ec70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</w:p>
    <w:p>
      <w:pPr>
        <w:pStyle w:val="FirstParagraph"/>
      </w:pPr>
      <w:r>
        <w:t xml:space="preserve">К основным средам передачи данных относятся:</w:t>
      </w:r>
      <w:r>
        <w:t xml:space="preserve"> </w:t>
      </w:r>
      <w:r>
        <w:t xml:space="preserve">- витая пара (медный кабель);</w:t>
      </w:r>
      <w:r>
        <w:t xml:space="preserve"> </w:t>
      </w:r>
      <w:r>
        <w:t xml:space="preserve">- коаксиальный кабель;</w:t>
      </w:r>
      <w:r>
        <w:t xml:space="preserve"> </w:t>
      </w:r>
      <w:r>
        <w:t xml:space="preserve">- оптоволоконный кабель;</w:t>
      </w:r>
      <w:r>
        <w:t xml:space="preserve"> </w:t>
      </w:r>
      <w:r>
        <w:t xml:space="preserve">- беспроводные среды (радиоканал, Wi-Fi, инфракрасная связь).</w:t>
      </w:r>
    </w:p>
    <w:p>
      <w:pPr>
        <w:pStyle w:val="BodyText"/>
      </w:pPr>
      <w:r>
        <w:t xml:space="preserve">При планировании сети необходимо учитывать следующие характеристики:</w:t>
      </w:r>
      <w:r>
        <w:t xml:space="preserve"> </w:t>
      </w:r>
      <w:r>
        <w:t xml:space="preserve">- максимальная длина сегмента;</w:t>
      </w:r>
      <w:r>
        <w:t xml:space="preserve"> </w:t>
      </w:r>
      <w:r>
        <w:t xml:space="preserve">- пропускная способность (скорость передачи данных);</w:t>
      </w:r>
      <w:r>
        <w:t xml:space="preserve"> </w:t>
      </w:r>
      <w:r>
        <w:t xml:space="preserve">- устойчивость к помехам;</w:t>
      </w:r>
      <w:r>
        <w:t xml:space="preserve"> </w:t>
      </w:r>
      <w:r>
        <w:t xml:space="preserve">- затухание сигнала;</w:t>
      </w:r>
      <w:r>
        <w:t xml:space="preserve"> </w:t>
      </w:r>
      <w:r>
        <w:t xml:space="preserve">- стоимость и сложность монтажа;</w:t>
      </w:r>
      <w:r>
        <w:t xml:space="preserve"> </w:t>
      </w:r>
      <w:r>
        <w:t xml:space="preserve">- безопасность передачи данных.</w:t>
      </w:r>
    </w:p>
    <w:bookmarkEnd w:id="71"/>
    <w:bookmarkStart w:id="72" w:name="Xa5e69066e208c1e33e6d159356af097db5cf6a5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Перечислите категории витой пары. Чем они отличаются? Какая категория в каких условиях может применяться?</w:t>
      </w:r>
    </w:p>
    <w:p>
      <w:pPr>
        <w:pStyle w:val="FirstParagraph"/>
      </w:pPr>
      <w:r>
        <w:t xml:space="preserve">Основные категории витой пары: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Cat5</w:t>
      </w:r>
      <w:r>
        <w:t xml:space="preserve"> </w:t>
      </w:r>
      <w:r>
        <w:t xml:space="preserve">— до 100 Мбит/с, устаревшая, используется редко;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Cat5e</w:t>
      </w:r>
      <w:r>
        <w:t xml:space="preserve"> </w:t>
      </w:r>
      <w:r>
        <w:t xml:space="preserve">— до 1 Гбит/с, широко применяется в локальных сетях;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Cat6</w:t>
      </w:r>
      <w:r>
        <w:t xml:space="preserve"> </w:t>
      </w:r>
      <w:r>
        <w:t xml:space="preserve">— до 1–10 Гбит/с (на коротких расстояниях), улучшенная защита от помех;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Cat6a</w:t>
      </w:r>
      <w:r>
        <w:t xml:space="preserve"> </w:t>
      </w:r>
      <w:r>
        <w:t xml:space="preserve">— до 10 Гбит/с на расстоянии до 100 м;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Cat7/7a</w:t>
      </w:r>
      <w:r>
        <w:t xml:space="preserve"> </w:t>
      </w:r>
      <w:r>
        <w:t xml:space="preserve">— до 10 Гбит/с и выше, экранированные, используются в специализированных сетях;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Cat8</w:t>
      </w:r>
      <w:r>
        <w:t xml:space="preserve"> </w:t>
      </w:r>
      <w:r>
        <w:t xml:space="preserve">— до 25–40 Гбит/с, применяется в дата-центрах.</w:t>
      </w:r>
    </w:p>
    <w:p>
      <w:pPr>
        <w:pStyle w:val="BodyText"/>
      </w:pPr>
      <w:r>
        <w:t xml:space="preserve">Отличаются категории частотным диапазоном, скоростью передачи и уровнем экранирования.</w:t>
      </w:r>
      <w:r>
        <w:br/>
      </w:r>
      <w:r>
        <w:t xml:space="preserve">Для обычных офисных сетей достаточно Cat5e или Cat6, а для высокоскоростных соединений и серверных — Cat6a и выше.</w:t>
      </w:r>
    </w:p>
    <w:bookmarkEnd w:id="72"/>
    <w:bookmarkStart w:id="73" w:name="Xad83acc88eb68ca5de8e8eb6463bd20995d834d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В чем отличие одномодового и многомодового оптоволокна? Какой тип кабеля в каких условиях может применяться?</w:t>
      </w:r>
    </w:p>
    <w:p>
      <w:pPr>
        <w:pStyle w:val="FirstParagraph"/>
      </w:pPr>
      <w:r>
        <w:rPr>
          <w:bCs/>
          <w:b/>
        </w:rPr>
        <w:t xml:space="preserve">Одномодовое оптоволокно (Single Mode)</w:t>
      </w:r>
      <w:r>
        <w:t xml:space="preserve">:</w:t>
      </w:r>
      <w:r>
        <w:t xml:space="preserve"> </w:t>
      </w:r>
      <w:r>
        <w:t xml:space="preserve">- передаёт свет по одному лучу;</w:t>
      </w:r>
      <w:r>
        <w:t xml:space="preserve"> </w:t>
      </w:r>
      <w:r>
        <w:t xml:space="preserve">- обеспечивает передачу на большие расстояния (десятки километров);</w:t>
      </w:r>
      <w:r>
        <w:t xml:space="preserve"> </w:t>
      </w:r>
      <w:r>
        <w:t xml:space="preserve">- используется в магистральных линиях связи;</w:t>
      </w:r>
      <w:r>
        <w:t xml:space="preserve"> </w:t>
      </w:r>
      <w:r>
        <w:t xml:space="preserve">- имеет более высокую стоимость оборудования.</w:t>
      </w:r>
    </w:p>
    <w:p>
      <w:pPr>
        <w:pStyle w:val="BodyText"/>
      </w:pPr>
      <w:r>
        <w:rPr>
          <w:bCs/>
          <w:b/>
        </w:rPr>
        <w:t xml:space="preserve">Многомодовое оптоволокно (Multi Mode)</w:t>
      </w:r>
      <w:r>
        <w:t xml:space="preserve">:</w:t>
      </w:r>
      <w:r>
        <w:t xml:space="preserve"> </w:t>
      </w:r>
      <w:r>
        <w:t xml:space="preserve">- передаёт несколько лучей света одновременно;</w:t>
      </w:r>
      <w:r>
        <w:t xml:space="preserve"> </w:t>
      </w:r>
      <w:r>
        <w:t xml:space="preserve">- применяется на коротких расстояниях (до нескольких сотен метров);</w:t>
      </w:r>
      <w:r>
        <w:t xml:space="preserve"> </w:t>
      </w:r>
      <w:r>
        <w:t xml:space="preserve">- дешевле и проще в использовании;</w:t>
      </w:r>
      <w:r>
        <w:t xml:space="preserve"> </w:t>
      </w:r>
      <w:r>
        <w:t xml:space="preserve">- используется внутри зданий и дата-центров.</w:t>
      </w:r>
    </w:p>
    <w:bookmarkEnd w:id="73"/>
    <w:bookmarkStart w:id="74" w:name="X2b5a132c093c2834afe046c6730905c128ba2fa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Какие разъёмы встречаются на патчах оптоволокна? Чем они отличаются?</w:t>
      </w:r>
    </w:p>
    <w:p>
      <w:pPr>
        <w:pStyle w:val="FirstParagraph"/>
      </w:pPr>
      <w:r>
        <w:t xml:space="preserve">Основные типы разъёмов: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</w:t>
      </w:r>
      <w:r>
        <w:t xml:space="preserve"> </w:t>
      </w:r>
      <w:r>
        <w:t xml:space="preserve">— прямоугольный, удобен для плотного монтажа, широко используется;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LC</w:t>
      </w:r>
      <w:r>
        <w:t xml:space="preserve"> </w:t>
      </w:r>
      <w:r>
        <w:t xml:space="preserve">— компактный, применяется в современных сетях и SFP-модулях;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</w:t>
      </w:r>
      <w:r>
        <w:t xml:space="preserve"> </w:t>
      </w:r>
      <w:r>
        <w:t xml:space="preserve">— круглый с байонетным креплением, устаревающий тип;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FC</w:t>
      </w:r>
      <w:r>
        <w:t xml:space="preserve"> </w:t>
      </w:r>
      <w:r>
        <w:t xml:space="preserve">— резьбовой разъём, обеспечивает надёжное соединение.</w:t>
      </w:r>
    </w:p>
    <w:p>
      <w:pPr>
        <w:pStyle w:val="BodyText"/>
      </w:pPr>
      <w:r>
        <w:t xml:space="preserve">Разъёмы отличаются формой, способом фиксации и областью применения.</w:t>
      </w:r>
      <w:r>
        <w:br/>
      </w:r>
      <w:r>
        <w:t xml:space="preserve">LC и SC чаще используются в современных сетях, тогда как ST и FC встречаются реже.</w:t>
      </w:r>
    </w:p>
    <w:bookmarkEnd w:id="74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Гафоров Нурмухаммад</dc:creator>
  <dc:language>ru-RU</dc:language>
  <cp:keywords/>
  <dcterms:created xsi:type="dcterms:W3CDTF">2026-03-22T08:25:35Z</dcterms:created>
  <dcterms:modified xsi:type="dcterms:W3CDTF">2026-03-22T08:25:35Z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Учёт физических параметров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