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8.png" ContentType="image/png"/>
  <Override PartName="/word/media/rId9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Анализ</w:t>
      </w:r>
      <w:r>
        <w:t xml:space="preserve"> </w:t>
      </w:r>
      <w:r>
        <w:t xml:space="preserve">трафика</w:t>
      </w:r>
      <w:r>
        <w:t xml:space="preserve"> </w:t>
      </w:r>
      <w:r>
        <w:t xml:space="preserve">в</w:t>
      </w:r>
      <w:r>
        <w:t xml:space="preserve"> </w:t>
      </w:r>
      <w:r>
        <w:t xml:space="preserve">Wireshark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End w:id="21"/>
    <w:bookmarkStart w:id="9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На рабочем компьютере был установлен и запущен анализатор сетевого трафика</w:t>
      </w:r>
      <w:r>
        <w:t xml:space="preserve"> </w:t>
      </w:r>
      <w:r>
        <w:rPr>
          <w:bCs/>
          <w:b/>
        </w:rPr>
        <w:t xml:space="preserve">Wireshark</w:t>
      </w:r>
      <w:r>
        <w:t xml:space="preserve">. Для начала захвата данных выбран активный сетевой интерфейс Ethernet. После запуска фиксации пакетов в консоли Windows с помощью команды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были определены сетевые параметры устройства: IP-адрес</w:t>
      </w:r>
      <w:r>
        <w:t xml:space="preserve"> </w:t>
      </w:r>
      <w:r>
        <w:rPr>
          <w:bCs/>
          <w:b/>
        </w:rPr>
        <w:t xml:space="preserve">192.168.1.180</w:t>
      </w:r>
      <w:r>
        <w:t xml:space="preserve">, маска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и основной шлюз</w:t>
      </w:r>
      <w:r>
        <w:t xml:space="preserve"> </w:t>
      </w:r>
      <w:r>
        <w:rPr>
          <w:bCs/>
          <w:b/>
        </w:rPr>
        <w:t xml:space="preserve">192.168.1.1</w:t>
      </w:r>
      <w:r>
        <w:t xml:space="preserve">.</w:t>
      </w:r>
    </w:p>
    <w:p>
      <w:pPr>
        <w:pStyle w:val="CaptionedFigure"/>
      </w:pPr>
      <w:bookmarkStart w:id="25" w:name="fig:001"/>
      <w:r>
        <w:drawing>
          <wp:inline>
            <wp:extent cx="5334000" cy="1371147"/>
            <wp:effectExtent b="0" l="0" r="0" t="0"/>
            <wp:docPr descr="Рис. 1: Определение IP-адреса и шлюза по умолчанию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1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Определение IP-адреса и шлюза по умолчанию</w:t>
      </w:r>
    </w:p>
    <w:p>
      <w:pPr>
        <w:pStyle w:val="BodyText"/>
      </w:pPr>
      <w:r>
        <w:t xml:space="preserve">Далее был выполнен тест связи с шлюзом по умолчанию командой</w:t>
      </w:r>
      <w:r>
        <w:t xml:space="preserve"> </w:t>
      </w:r>
      <w:r>
        <w:rPr>
          <w:rStyle w:val="VerbatimChar"/>
        </w:rPr>
        <w:t xml:space="preserve">ping 192.168.1.1</w:t>
      </w:r>
      <w:r>
        <w:t xml:space="preserve">. Все пакеты успешно доставлены, потери отсутствовали, что подтвердило корректность сетевого подключения.</w:t>
      </w:r>
    </w:p>
    <w:p>
      <w:pPr>
        <w:pStyle w:val="CaptionedFigure"/>
      </w:pPr>
      <w:bookmarkStart w:id="29" w:name="fig:002"/>
      <w:r>
        <w:drawing>
          <wp:inline>
            <wp:extent cx="5334000" cy="2288302"/>
            <wp:effectExtent b="0" l="0" r="0" t="0"/>
            <wp:docPr descr="Рис. 2: Проверка доступности шлюза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8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Проверка доступности шлюза</w:t>
      </w:r>
    </w:p>
    <w:p>
      <w:pPr>
        <w:pStyle w:val="BodyText"/>
      </w:pPr>
      <w:r>
        <w:t xml:space="preserve">В процессе захвата трафика в</w:t>
      </w:r>
      <w:r>
        <w:t xml:space="preserve"> </w:t>
      </w:r>
      <w:r>
        <w:rPr>
          <w:bCs/>
          <w:b/>
        </w:rPr>
        <w:t xml:space="preserve">Wireshark</w:t>
      </w:r>
      <w:r>
        <w:t xml:space="preserve"> </w:t>
      </w:r>
      <w:r>
        <w:t xml:space="preserve">применён фильтр</w:t>
      </w:r>
      <w:r>
        <w:t xml:space="preserve"> </w:t>
      </w:r>
      <w:r>
        <w:rPr>
          <w:rStyle w:val="VerbatimChar"/>
        </w:rPr>
        <w:t xml:space="preserve">arp or icmp</w:t>
      </w:r>
      <w:r>
        <w:t xml:space="preserve">. В списке пакетов отобразились ICMP-запросы и ответы, соответствующие выполненной команде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В кадре ICMP-запроса длина составила 74 байта, тип кадра —</w:t>
      </w:r>
      <w:r>
        <w:t xml:space="preserve"> </w:t>
      </w:r>
      <w:r>
        <w:rPr>
          <w:bCs/>
          <w:b/>
        </w:rPr>
        <w:t xml:space="preserve">Ethernet II</w:t>
      </w:r>
      <w:r>
        <w:t xml:space="preserve">. В поле источника указан MAC-адрес устройства</w:t>
      </w:r>
      <w:r>
        <w:t xml:space="preserve"> </w:t>
      </w:r>
      <w:r>
        <w:rPr>
          <w:bCs/>
          <w:b/>
        </w:rPr>
        <w:t xml:space="preserve">ASUSTeKCOMPu_7B:B6:F2</w:t>
      </w:r>
      <w:r>
        <w:t xml:space="preserve">, а в поле назначения — MAC-адрес шлюза</w:t>
      </w:r>
      <w:r>
        <w:t xml:space="preserve"> </w:t>
      </w:r>
      <w:r>
        <w:rPr>
          <w:bCs/>
          <w:b/>
        </w:rPr>
        <w:t xml:space="preserve">HuaweiTechno_8F:73:82</w:t>
      </w:r>
      <w:r>
        <w:t xml:space="preserve">.</w:t>
      </w:r>
    </w:p>
    <w:p>
      <w:pPr>
        <w:pStyle w:val="CaptionedFigure"/>
      </w:pPr>
      <w:bookmarkStart w:id="33" w:name="fig:003"/>
      <w:r>
        <w:drawing>
          <wp:inline>
            <wp:extent cx="5334000" cy="4955458"/>
            <wp:effectExtent b="0" l="0" r="0" t="0"/>
            <wp:docPr descr="Рис. 3: ICMP Echo Request к шлюзу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5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ICMP Echo Request к шлюзу</w:t>
      </w:r>
    </w:p>
    <w:p>
      <w:pPr>
        <w:pStyle w:val="BodyText"/>
      </w:pPr>
      <w:r>
        <w:t xml:space="preserve">В ICMP-ответе наблюдается обратная ситуация: источником выступает MAC-адрес шлюза, а получателем — MAC-адрес компьютера. Это подтверждает двусторонний обмен эхо-запросами между узлами.</w:t>
      </w:r>
    </w:p>
    <w:p>
      <w:pPr>
        <w:pStyle w:val="CaptionedFigure"/>
      </w:pPr>
      <w:bookmarkStart w:id="37" w:name="fig:004"/>
      <w:r>
        <w:drawing>
          <wp:inline>
            <wp:extent cx="5334000" cy="4988277"/>
            <wp:effectExtent b="0" l="0" r="0" t="0"/>
            <wp:docPr descr="Рис. 4: ICMP Echo Reply от шлюза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8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ICMP Echo Reply от шлюза</w:t>
      </w:r>
    </w:p>
    <w:p>
      <w:pPr>
        <w:pStyle w:val="BodyText"/>
      </w:pPr>
      <w:r>
        <w:t xml:space="preserve">При анализе кадров ARP установлено, что перед началом ICMP-обмена выполняется разрешение адреса шлюза. В кадрах ARP-запроса устройство отправляет широковещательное сообщение с запросом MAC-адреса для IP</w:t>
      </w:r>
      <w:r>
        <w:t xml:space="preserve"> </w:t>
      </w:r>
      <w:r>
        <w:rPr>
          <w:bCs/>
          <w:b/>
        </w:rPr>
        <w:t xml:space="preserve">192.168.1.1</w:t>
      </w:r>
      <w:r>
        <w:t xml:space="preserve">, а в ARP-ответе шлюз возвращает свой физический адрес.</w:t>
      </w:r>
    </w:p>
    <w:p>
      <w:pPr>
        <w:pStyle w:val="CaptionedFigure"/>
      </w:pPr>
      <w:bookmarkStart w:id="41" w:name="fig:005"/>
      <w:r>
        <w:drawing>
          <wp:inline>
            <wp:extent cx="5334000" cy="4958644"/>
            <wp:effectExtent b="0" l="0" r="0" t="0"/>
            <wp:docPr descr="Рис. 5: Анализ ARP-запроса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8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Анализ ARP-запроса</w:t>
      </w:r>
    </w:p>
    <w:p>
      <w:pPr>
        <w:pStyle w:val="BodyText"/>
      </w:pPr>
      <w:r>
        <w:t xml:space="preserve">Затем начат новый процесс захвата трафика. В консоли выполнена команда</w:t>
      </w:r>
      <w:r>
        <w:t xml:space="preserve"> </w:t>
      </w:r>
      <w:r>
        <w:rPr>
          <w:rStyle w:val="VerbatimChar"/>
        </w:rPr>
        <w:t xml:space="preserve">ping yandex.ru</w:t>
      </w:r>
      <w:r>
        <w:t xml:space="preserve">, что позволило исследовать прохождение пакетов к удалённому узлу в сети Интернет. Все запросы успешно завершились с временем отклика около</w:t>
      </w:r>
      <w:r>
        <w:t xml:space="preserve"> </w:t>
      </w:r>
      <w:r>
        <w:rPr>
          <w:bCs/>
          <w:b/>
        </w:rPr>
        <w:t xml:space="preserve">8 мс</w:t>
      </w:r>
      <w:r>
        <w:t xml:space="preserve">.</w:t>
      </w:r>
    </w:p>
    <w:p>
      <w:pPr>
        <w:pStyle w:val="CaptionedFigure"/>
      </w:pPr>
      <w:bookmarkStart w:id="45" w:name="fig:006"/>
      <w:r>
        <w:drawing>
          <wp:inline>
            <wp:extent cx="5334000" cy="2273637"/>
            <wp:effectExtent b="0" l="0" r="0" t="0"/>
            <wp:docPr descr="Рис. 6: Проверка доступности внешнего ресурса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3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Проверка доступности внешнего ресурса</w:t>
      </w:r>
    </w:p>
    <w:p>
      <w:pPr>
        <w:pStyle w:val="BodyText"/>
      </w:pPr>
      <w:r>
        <w:t xml:space="preserve">Применение фильтра</w:t>
      </w:r>
      <w:r>
        <w:t xml:space="preserve"> </w:t>
      </w:r>
      <w:r>
        <w:rPr>
          <w:rStyle w:val="VerbatimChar"/>
        </w:rPr>
        <w:t xml:space="preserve">arp or icmp</w:t>
      </w:r>
      <w:r>
        <w:t xml:space="preserve"> </w:t>
      </w:r>
      <w:r>
        <w:t xml:space="preserve">показало обмен ICMP Echo Request и Echo Reply между локальным адресом</w:t>
      </w:r>
      <w:r>
        <w:t xml:space="preserve"> </w:t>
      </w:r>
      <w:r>
        <w:rPr>
          <w:bCs/>
          <w:b/>
        </w:rPr>
        <w:t xml:space="preserve">192.168.1.180</w:t>
      </w:r>
      <w:r>
        <w:t xml:space="preserve"> </w:t>
      </w:r>
      <w:r>
        <w:t xml:space="preserve">и удалённым сервером</w:t>
      </w:r>
      <w:r>
        <w:t xml:space="preserve"> </w:t>
      </w:r>
      <w:r>
        <w:rPr>
          <w:bCs/>
          <w:b/>
        </w:rPr>
        <w:t xml:space="preserve">77.88.55.88</w:t>
      </w:r>
      <w:r>
        <w:t xml:space="preserve"> </w:t>
      </w:r>
      <w:r>
        <w:t xml:space="preserve">(yandex.ru). На этапе разрешения адресов также фиксировались ARP-запросы к локальному шлюзу.</w:t>
      </w:r>
    </w:p>
    <w:p>
      <w:pPr>
        <w:pStyle w:val="BodyText"/>
      </w:pPr>
      <w:bookmarkStart w:id="49" w:name="fig:007"/>
      <w:r>
        <w:drawing>
          <wp:inline>
            <wp:extent cx="5334000" cy="4402902"/>
            <wp:effectExtent b="0" l="0" r="0" t="0"/>
            <wp:docPr descr="ICMP Echo Request к yandex.ru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2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  <w:r>
        <w:br/>
      </w:r>
      <w:bookmarkStart w:id="53" w:name="fig:008"/>
      <w:r>
        <w:drawing>
          <wp:inline>
            <wp:extent cx="5334000" cy="4819879"/>
            <wp:effectExtent b="0" l="0" r="0" t="0"/>
            <wp:docPr descr="ICMP Echo Reply от yandex.ru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9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  <w:r>
        <w:br/>
      </w:r>
      <w:bookmarkStart w:id="57" w:name="fig:009"/>
      <w:r>
        <w:drawing>
          <wp:inline>
            <wp:extent cx="5334000" cy="4911212"/>
            <wp:effectExtent b="0" l="0" r="0" t="0"/>
            <wp:docPr descr="ARP-запрос при взаимодействии с внешним ресурсом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1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BodyText"/>
      </w:pPr>
      <w:r>
        <w:t xml:space="preserve">Для анализа транспортных протоколов был запущен анализатор</w:t>
      </w:r>
      <w:r>
        <w:t xml:space="preserve"> </w:t>
      </w:r>
      <w:r>
        <w:rPr>
          <w:bCs/>
          <w:b/>
        </w:rPr>
        <w:t xml:space="preserve">Wireshark</w:t>
      </w:r>
      <w:r>
        <w:t xml:space="preserve">. В качестве активного сетевого интерфейса выбран Ethernet. После начала захвата трафика в браузере был открыт сайт</w:t>
      </w:r>
      <w:r>
        <w:t xml:space="preserve"> </w:t>
      </w:r>
      <w:r>
        <w:rPr>
          <w:bCs/>
          <w:b/>
        </w:rPr>
        <w:t xml:space="preserve">CERN</w:t>
      </w:r>
      <w:r>
        <w:t xml:space="preserve"> </w:t>
      </w:r>
      <w:r>
        <w:t xml:space="preserve">по адресу</w:t>
      </w:r>
      <w:r>
        <w:t xml:space="preserve"> </w:t>
      </w:r>
      <w:r>
        <w:rPr>
          <w:rStyle w:val="VerbatimChar"/>
        </w:rPr>
        <w:t xml:space="preserve">http://info.cern.ch/</w:t>
      </w:r>
      <w:r>
        <w:t xml:space="preserve">.</w:t>
      </w:r>
    </w:p>
    <w:p>
      <w:pPr>
        <w:pStyle w:val="BodyText"/>
      </w:pPr>
      <w:r>
        <w:t xml:space="preserve">В ходе анализа пакетов использовались фильтры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dns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quic</w:t>
      </w:r>
      <w:r>
        <w:t xml:space="preserve">, что позволило последовательно изучить работу протоколов</w:t>
      </w:r>
      <w:r>
        <w:t xml:space="preserve"> </w:t>
      </w:r>
      <w:r>
        <w:rPr>
          <w:bCs/>
          <w:b/>
        </w:rPr>
        <w:t xml:space="preserve">TCP</w:t>
      </w:r>
      <w:r>
        <w:t xml:space="preserve">,</w:t>
      </w:r>
      <w:r>
        <w:t xml:space="preserve"> </w:t>
      </w:r>
      <w:r>
        <w:rPr>
          <w:bCs/>
          <w:b/>
        </w:rPr>
        <w:t xml:space="preserve">UDP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QUIC</w:t>
      </w:r>
      <w:r>
        <w:t xml:space="preserve"> </w:t>
      </w:r>
      <w:r>
        <w:t xml:space="preserve">на транспортном уровне.</w:t>
      </w:r>
    </w:p>
    <w:bookmarkStart w:id="70" w:name="анализ-http-и-протокола-tcp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Анализ HTTP и протокола TCP</w:t>
      </w:r>
    </w:p>
    <w:p>
      <w:pPr>
        <w:pStyle w:val="FirstParagraph"/>
      </w:pPr>
      <w:r>
        <w:t xml:space="preserve">При фильтрации трафика по протоколу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в Wireshark были зафиксированы запросы</w:t>
      </w:r>
      <w:r>
        <w:t xml:space="preserve"> </w:t>
      </w:r>
      <w:r>
        <w:rPr>
          <w:bCs/>
          <w:b/>
        </w:rPr>
        <w:t xml:space="preserve">GET</w:t>
      </w:r>
      <w:r>
        <w:t xml:space="preserve"> </w:t>
      </w:r>
      <w:r>
        <w:t xml:space="preserve">и ответы</w:t>
      </w:r>
      <w:r>
        <w:t xml:space="preserve"> </w:t>
      </w:r>
      <w:r>
        <w:rPr>
          <w:bCs/>
          <w:b/>
        </w:rPr>
        <w:t xml:space="preserve">HTTP/1.1 304 Not Modified</w:t>
      </w:r>
      <w:r>
        <w:t xml:space="preserve">. Каждый HTTP-пакет передаётся в рамках соединения</w:t>
      </w:r>
      <w:r>
        <w:t xml:space="preserve"> </w:t>
      </w:r>
      <w:r>
        <w:rPr>
          <w:bCs/>
          <w:b/>
        </w:rPr>
        <w:t xml:space="preserve">TCP</w:t>
      </w:r>
      <w:r>
        <w:t xml:space="preserve">, обеспечивающего надёжную доставку данных.</w:t>
      </w:r>
    </w:p>
    <w:p>
      <w:pPr>
        <w:pStyle w:val="BodyText"/>
      </w:pPr>
      <w:r>
        <w:t xml:space="preserve">В заголовках пакетов TCP отображались порты источника и назначения (например,</w:t>
      </w:r>
      <w:r>
        <w:t xml:space="preserve"> </w:t>
      </w:r>
      <w:r>
        <w:rPr>
          <w:bCs/>
          <w:b/>
        </w:rPr>
        <w:t xml:space="preserve">50781 → 80</w:t>
      </w:r>
      <w:r>
        <w:t xml:space="preserve">), что подтверждает стандартное использование порта 80 для HTTP. Также присутствовали управляющие флаги</w:t>
      </w:r>
      <w:r>
        <w:t xml:space="preserve"> </w:t>
      </w:r>
      <w:r>
        <w:rPr>
          <w:rStyle w:val="VerbatimChar"/>
        </w:rPr>
        <w:t xml:space="preserve">PSH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</w:t>
      </w:r>
      <w:r>
        <w:t xml:space="preserve">, указывающие на передачу данных и подтверждение получения.</w:t>
      </w:r>
    </w:p>
    <w:p>
      <w:pPr>
        <w:pStyle w:val="BodyText"/>
      </w:pPr>
      <w:bookmarkStart w:id="61" w:name="fig:010"/>
      <w:r>
        <w:drawing>
          <wp:inline>
            <wp:extent cx="5334000" cy="4327121"/>
            <wp:effectExtent b="0" l="0" r="0" t="0"/>
            <wp:docPr descr="HTTP-запросы и ответы в Wireshark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7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  <w:r>
        <w:br/>
      </w:r>
      <w:bookmarkStart w:id="65" w:name="fig:011"/>
      <w:r>
        <w:drawing>
          <wp:inline>
            <wp:extent cx="5334000" cy="4984310"/>
            <wp:effectExtent b="0" l="0" r="0" t="0"/>
            <wp:docPr descr="Пакет TCP с HTTP-запросом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4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  <w:r>
        <w:br/>
      </w:r>
      <w:bookmarkStart w:id="69" w:name="fig:012"/>
      <w:r>
        <w:drawing>
          <wp:inline>
            <wp:extent cx="5334000" cy="4960374"/>
            <wp:effectExtent b="0" l="0" r="0" t="0"/>
            <wp:docPr descr="Ответ HTTP с кодом 304 Not Modified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bookmarkEnd w:id="70"/>
    <w:bookmarkStart w:id="79" w:name="анализ-dns-и-протокола-udp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DNS и протокола UDP</w:t>
      </w:r>
    </w:p>
    <w:p>
      <w:pPr>
        <w:pStyle w:val="FirstParagraph"/>
      </w:pPr>
      <w:r>
        <w:t xml:space="preserve">Для анализа разрешения имён применён фильтр</w:t>
      </w:r>
      <w:r>
        <w:t xml:space="preserve"> </w:t>
      </w:r>
      <w:r>
        <w:rPr>
          <w:rStyle w:val="VerbatimChar"/>
        </w:rPr>
        <w:t xml:space="preserve">dns</w:t>
      </w:r>
      <w:r>
        <w:t xml:space="preserve">. В Wireshark зафиксированы стандартные</w:t>
      </w:r>
      <w:r>
        <w:t xml:space="preserve"> </w:t>
      </w:r>
      <w:r>
        <w:rPr>
          <w:bCs/>
          <w:b/>
        </w:rPr>
        <w:t xml:space="preserve">DNS-запросы</w:t>
      </w:r>
      <w:r>
        <w:t xml:space="preserve"> </w:t>
      </w:r>
      <w:r>
        <w:t xml:space="preserve">к адресу шлюза</w:t>
      </w:r>
      <w:r>
        <w:t xml:space="preserve"> </w:t>
      </w:r>
      <w:r>
        <w:rPr>
          <w:bCs/>
          <w:b/>
        </w:rPr>
        <w:t xml:space="preserve">192.168.1.1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DNS-ответы</w:t>
      </w:r>
      <w:r>
        <w:t xml:space="preserve">, содержащие сведения о найденных доменах.</w:t>
      </w:r>
    </w:p>
    <w:p>
      <w:pPr>
        <w:pStyle w:val="BodyText"/>
      </w:pPr>
      <w:r>
        <w:t xml:space="preserve">Передача данных происходила по протоколу</w:t>
      </w:r>
      <w:r>
        <w:t xml:space="preserve"> </w:t>
      </w:r>
      <w:r>
        <w:rPr>
          <w:bCs/>
          <w:b/>
        </w:rPr>
        <w:t xml:space="preserve">UDP</w:t>
      </w:r>
      <w:r>
        <w:t xml:space="preserve">, что подтверждается указанием портов</w:t>
      </w:r>
      <w:r>
        <w:t xml:space="preserve"> </w:t>
      </w:r>
      <w:r>
        <w:rPr>
          <w:bCs/>
          <w:b/>
        </w:rPr>
        <w:t xml:space="preserve">53</w:t>
      </w:r>
      <w:r>
        <w:t xml:space="preserve"> </w:t>
      </w:r>
      <w:r>
        <w:t xml:space="preserve">(сервер DNS) и</w:t>
      </w:r>
      <w:r>
        <w:t xml:space="preserve"> </w:t>
      </w:r>
      <w:r>
        <w:rPr>
          <w:bCs/>
          <w:b/>
        </w:rPr>
        <w:t xml:space="preserve">50854</w:t>
      </w:r>
      <w:r>
        <w:t xml:space="preserve"> </w:t>
      </w:r>
      <w:r>
        <w:t xml:space="preserve">(клиент). В пакете запроса содержалось поле</w:t>
      </w:r>
      <w:r>
        <w:t xml:space="preserve"> </w:t>
      </w:r>
      <w:r>
        <w:rPr>
          <w:rStyle w:val="VerbatimChar"/>
        </w:rPr>
        <w:t xml:space="preserve">Standard query</w:t>
      </w:r>
      <w:r>
        <w:t xml:space="preserve">, а в ответе —</w:t>
      </w:r>
      <w:r>
        <w:t xml:space="preserve"> </w:t>
      </w:r>
      <w:r>
        <w:rPr>
          <w:rStyle w:val="VerbatimChar"/>
        </w:rPr>
        <w:t xml:space="preserve">Standard query response, No error</w:t>
      </w:r>
      <w:r>
        <w:t xml:space="preserve">, что свидетельствует об успешном разрешении имени.</w:t>
      </w:r>
    </w:p>
    <w:p>
      <w:pPr>
        <w:pStyle w:val="BodyText"/>
      </w:pPr>
      <w:bookmarkStart w:id="74" w:name="fig:013"/>
      <w:r>
        <w:drawing>
          <wp:inline>
            <wp:extent cx="5334000" cy="4998776"/>
            <wp:effectExtent b="0" l="0" r="0" t="0"/>
            <wp:docPr descr="DNS-запросы в Wireshark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8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  <w:r>
        <w:br/>
      </w:r>
      <w:bookmarkStart w:id="78" w:name="fig:014"/>
      <w:r>
        <w:drawing>
          <wp:inline>
            <wp:extent cx="5334000" cy="4959338"/>
            <wp:effectExtent b="0" l="0" r="0" t="0"/>
            <wp:docPr descr="DNS-ответы от сервера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9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bookmarkEnd w:id="79"/>
    <w:bookmarkStart w:id="87" w:name="анализ-протокола-qui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протокола QUIC</w:t>
      </w:r>
    </w:p>
    <w:p>
      <w:pPr>
        <w:pStyle w:val="FirstParagraph"/>
      </w:pPr>
      <w:r>
        <w:t xml:space="preserve">Для анализа современного транспортного протокола</w:t>
      </w:r>
      <w:r>
        <w:t xml:space="preserve"> </w:t>
      </w:r>
      <w:r>
        <w:rPr>
          <w:bCs/>
          <w:b/>
        </w:rPr>
        <w:t xml:space="preserve">QUIC</w:t>
      </w:r>
      <w:r>
        <w:t xml:space="preserve"> </w:t>
      </w:r>
      <w:r>
        <w:t xml:space="preserve">использовался фильтр</w:t>
      </w:r>
      <w:r>
        <w:t xml:space="preserve"> </w:t>
      </w:r>
      <w:r>
        <w:rPr>
          <w:rStyle w:val="VerbatimChar"/>
        </w:rPr>
        <w:t xml:space="preserve">quic</w:t>
      </w:r>
      <w:r>
        <w:t xml:space="preserve">. В захваченном трафике были зафиксированы пакеты типа</w:t>
      </w:r>
      <w:r>
        <w:t xml:space="preserve"> </w:t>
      </w:r>
      <w:r>
        <w:rPr>
          <w:bCs/>
          <w:b/>
        </w:rPr>
        <w:t xml:space="preserve">Initial</w:t>
      </w:r>
      <w:r>
        <w:t xml:space="preserve">,</w:t>
      </w:r>
      <w:r>
        <w:t xml:space="preserve"> </w:t>
      </w:r>
      <w:r>
        <w:rPr>
          <w:bCs/>
          <w:b/>
        </w:rPr>
        <w:t xml:space="preserve">Handshake</w:t>
      </w:r>
      <w:r>
        <w:t xml:space="preserve">,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CRYPTO</w:t>
      </w:r>
      <w:r>
        <w:t xml:space="preserve">, передаваемые по</w:t>
      </w:r>
      <w:r>
        <w:t xml:space="preserve"> </w:t>
      </w:r>
      <w:r>
        <w:rPr>
          <w:bCs/>
          <w:b/>
        </w:rPr>
        <w:t xml:space="preserve">UDP</w:t>
      </w:r>
      <w:r>
        <w:t xml:space="preserve">.</w:t>
      </w:r>
    </w:p>
    <w:p>
      <w:pPr>
        <w:pStyle w:val="BodyText"/>
      </w:pPr>
      <w:r>
        <w:t xml:space="preserve">Каждый пакет содержал заголовок</w:t>
      </w:r>
      <w:r>
        <w:t xml:space="preserve"> </w:t>
      </w:r>
      <w:r>
        <w:rPr>
          <w:bCs/>
          <w:b/>
        </w:rPr>
        <w:t xml:space="preserve">QUIC IETF</w:t>
      </w:r>
      <w:r>
        <w:t xml:space="preserve">, в котором указаны параметры соединения:</w:t>
      </w:r>
      <w:r>
        <w:t xml:space="preserve"> </w:t>
      </w:r>
      <w:r>
        <w:rPr>
          <w:rStyle w:val="VerbatimChar"/>
        </w:rPr>
        <w:t xml:space="preserve">Packet 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 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Packet Type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. В кадрах фиксировались элементы обмена ключами шифрования и подтверждения соединения, характерные для работы QUIC поверх UDP.</w:t>
      </w:r>
    </w:p>
    <w:p>
      <w:pPr>
        <w:pStyle w:val="BodyText"/>
      </w:pPr>
      <w:bookmarkStart w:id="83" w:name="fig:015"/>
      <w:r>
        <w:drawing>
          <wp:inline>
            <wp:extent cx="5334000" cy="4960718"/>
            <wp:effectExtent b="0" l="0" r="0" t="0"/>
            <wp:docPr descr="Передача пакетов QUIC в Wireshark" title="" id="81" name="Picture"/>
            <a:graphic>
              <a:graphicData uri="http://schemas.openxmlformats.org/drawingml/2006/picture">
                <pic:pic>
                  <pic:nvPicPr>
                    <pic:cNvPr descr="Screenshot_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0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  <w:r>
        <w:br/>
      </w:r>
      <w:bookmarkStart w:id="86" w:name="fig:016"/>
      <w:r>
        <w:drawing>
          <wp:inline>
            <wp:extent cx="5334000" cy="4911212"/>
            <wp:effectExtent b="0" l="0" r="0" t="0"/>
            <wp:docPr descr="QUIC Initial и Handshake-пакеты" title="" id="84" name="Picture"/>
            <a:graphic>
              <a:graphicData uri="http://schemas.openxmlformats.org/drawingml/2006/picture">
                <pic:pic>
                  <pic:nvPicPr>
                    <pic:cNvPr descr="Screenshot_9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1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bookmarkEnd w:id="87"/>
    <w:bookmarkStart w:id="96" w:name="X05456eae27a32c8a8b6775570a47414c2cfb90d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Анализ handshake протокола TCP в Wireshark</w:t>
      </w:r>
    </w:p>
    <w:p>
      <w:pPr>
        <w:pStyle w:val="FirstParagraph"/>
      </w:pPr>
      <w:r>
        <w:t xml:space="preserve">Для анализа механизма установления соединения</w:t>
      </w:r>
      <w:r>
        <w:t xml:space="preserve"> </w:t>
      </w:r>
      <w:r>
        <w:rPr>
          <w:bCs/>
          <w:b/>
        </w:rPr>
        <w:t xml:space="preserve">TCP (handshake)</w:t>
      </w:r>
      <w:r>
        <w:t xml:space="preserve"> </w:t>
      </w:r>
      <w:r>
        <w:t xml:space="preserve">был запущен анализатор трафика</w:t>
      </w:r>
      <w:r>
        <w:t xml:space="preserve"> </w:t>
      </w:r>
      <w:r>
        <w:rPr>
          <w:bCs/>
          <w:b/>
        </w:rPr>
        <w:t xml:space="preserve">Wireshark</w:t>
      </w:r>
      <w:r>
        <w:t xml:space="preserve">. В качестве активного сетевого интерфейса выбран Ethernet, после чего начат захват сетевых пакетов. Для генерации TCP-трафика использовалось подключение по протоколу</w:t>
      </w:r>
      <w:r>
        <w:t xml:space="preserve"> </w:t>
      </w:r>
      <w:r>
        <w:rPr>
          <w:bCs/>
          <w:b/>
        </w:rPr>
        <w:t xml:space="preserve">HTTP</w:t>
      </w:r>
      <w:r>
        <w:t xml:space="preserve"> </w:t>
      </w:r>
      <w:r>
        <w:t xml:space="preserve">к сайту</w:t>
      </w:r>
      <w:r>
        <w:t xml:space="preserve"> </w:t>
      </w:r>
      <w:r>
        <w:rPr>
          <w:bCs/>
          <w:b/>
        </w:rPr>
        <w:t xml:space="preserve">188.184.67.127 (info.cern.ch)</w:t>
      </w:r>
      <w:r>
        <w:t xml:space="preserve">.</w:t>
      </w:r>
    </w:p>
    <w:p>
      <w:pPr>
        <w:pStyle w:val="BodyText"/>
      </w:pPr>
      <w:r>
        <w:t xml:space="preserve">В захваченном трафике в Wireshark применён фильтр</w:t>
      </w:r>
      <w:r>
        <w:t xml:space="preserve"> </w:t>
      </w:r>
      <w:r>
        <w:rPr>
          <w:rStyle w:val="VerbatimChar"/>
        </w:rPr>
        <w:t xml:space="preserve">tcp</w:t>
      </w:r>
      <w:r>
        <w:t xml:space="preserve">, что позволило выделить пакеты, относящиеся к установлению соединения. На экране отчётливо видна последовательность</w:t>
      </w:r>
      <w:r>
        <w:t xml:space="preserve"> </w:t>
      </w:r>
      <w:r>
        <w:rPr>
          <w:bCs/>
          <w:b/>
        </w:rPr>
        <w:t xml:space="preserve">трёхэтапного рукопожатия (Three-way handshake)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SYN</w:t>
      </w:r>
      <w:r>
        <w:t xml:space="preserve"> </w:t>
      </w:r>
      <w:r>
        <w:t xml:space="preserve">— клиент (192.168.1.180) инициирует соединение, отправляя сегмент с установленным флагом</w:t>
      </w:r>
      <w:r>
        <w:t xml:space="preserve"> </w:t>
      </w:r>
      <w:r>
        <w:rPr>
          <w:rStyle w:val="VerbatimChar"/>
        </w:rPr>
        <w:t xml:space="preserve">SYN</w:t>
      </w:r>
      <w:r>
        <w:t xml:space="preserve"> </w:t>
      </w:r>
      <w:r>
        <w:t xml:space="preserve">и указанием начального номера последовательности (</w:t>
      </w:r>
      <w:r>
        <w:rPr>
          <w:rStyle w:val="VerbatimChar"/>
        </w:rPr>
        <w:t xml:space="preserve">Seq=0</w:t>
      </w:r>
      <w:r>
        <w:t xml:space="preserve">,</w:t>
      </w:r>
      <w:r>
        <w:t xml:space="preserve"> </w:t>
      </w:r>
      <w:r>
        <w:rPr>
          <w:rStyle w:val="VerbatimChar"/>
        </w:rPr>
        <w:t xml:space="preserve">Win=64240</w:t>
      </w:r>
      <w:r>
        <w:t xml:space="preserve">).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SYN, ACK</w:t>
      </w:r>
      <w:r>
        <w:t xml:space="preserve"> </w:t>
      </w:r>
      <w:r>
        <w:t xml:space="preserve">— сервер (188.184.67.127) подтверждает запрос, устанавливая флаги</w:t>
      </w:r>
      <w:r>
        <w:t xml:space="preserve"> </w:t>
      </w:r>
      <w:r>
        <w:rPr>
          <w:rStyle w:val="VerbatimChar"/>
        </w:rPr>
        <w:t xml:space="preserve">SYN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</w:t>
      </w:r>
      <w:r>
        <w:t xml:space="preserve">, а также возвращая свой номер последовательности (</w:t>
      </w:r>
      <w:r>
        <w:rPr>
          <w:rStyle w:val="VerbatimChar"/>
        </w:rPr>
        <w:t xml:space="preserve">Seq=0</w:t>
      </w:r>
      <w:r>
        <w:t xml:space="preserve">,</w:t>
      </w:r>
      <w:r>
        <w:t xml:space="preserve"> </w:t>
      </w:r>
      <w:r>
        <w:rPr>
          <w:rStyle w:val="VerbatimChar"/>
        </w:rPr>
        <w:t xml:space="preserve">Ack=1</w:t>
      </w:r>
      <w:r>
        <w:t xml:space="preserve">).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ACK</w:t>
      </w:r>
      <w:r>
        <w:t xml:space="preserve"> </w:t>
      </w:r>
      <w:r>
        <w:t xml:space="preserve">— клиент отправляет подтверждение (</w:t>
      </w:r>
      <w:r>
        <w:rPr>
          <w:rStyle w:val="VerbatimChar"/>
        </w:rPr>
        <w:t xml:space="preserve">Ack=1</w:t>
      </w:r>
      <w:r>
        <w:t xml:space="preserve">), завершая установление соединения.</w:t>
      </w:r>
    </w:p>
    <w:p>
      <w:pPr>
        <w:pStyle w:val="CaptionedFigure"/>
      </w:pPr>
      <w:bookmarkStart w:id="91" w:name="fig:016"/>
      <w:r>
        <w:drawing>
          <wp:inline>
            <wp:extent cx="5334000" cy="2409223"/>
            <wp:effectExtent b="0" l="0" r="0" t="0"/>
            <wp:docPr descr="Рис. 7: Захват TCP handshake в Wireshark" title="" id="89" name="Picture"/>
            <a:graphic>
              <a:graphicData uri="http://schemas.openxmlformats.org/drawingml/2006/picture">
                <pic:pic>
                  <pic:nvPicPr>
                    <pic:cNvPr descr="Screenshot_1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7: Захват TCP handshake в Wireshark</w:t>
      </w:r>
    </w:p>
    <w:p>
      <w:pPr>
        <w:pStyle w:val="BodyText"/>
      </w:pPr>
      <w:r>
        <w:t xml:space="preserve">После завершения рукопожатия начинается передача данных по протоколу</w:t>
      </w:r>
      <w:r>
        <w:t xml:space="preserve"> </w:t>
      </w:r>
      <w:r>
        <w:rPr>
          <w:bCs/>
          <w:b/>
        </w:rPr>
        <w:t xml:space="preserve">HTTP</w:t>
      </w:r>
      <w:r>
        <w:t xml:space="preserve">. На кадрах видно, что клиент отправляет запрос</w:t>
      </w:r>
      <w:r>
        <w:t xml:space="preserve"> </w:t>
      </w:r>
      <w:r>
        <w:rPr>
          <w:rStyle w:val="VerbatimChar"/>
        </w:rPr>
        <w:t xml:space="preserve">GET / HTTP/1.1</w:t>
      </w:r>
      <w:r>
        <w:t xml:space="preserve">, а сервер отвечает сообщением</w:t>
      </w:r>
      <w:r>
        <w:t xml:space="preserve"> </w:t>
      </w:r>
      <w:r>
        <w:rPr>
          <w:rStyle w:val="VerbatimChar"/>
        </w:rPr>
        <w:t xml:space="preserve">HTTP/1.1 304 Not Modified</w:t>
      </w:r>
      <w:r>
        <w:t xml:space="preserve">. Это подтверждает, что соединение установлено корректно и используется для передачи прикладных данных.</w:t>
      </w:r>
    </w:p>
    <w:p>
      <w:pPr>
        <w:pStyle w:val="BodyText"/>
      </w:pPr>
      <w:r>
        <w:t xml:space="preserve">Дальнейший анализ статистики TCP, выполненный через меню</w:t>
      </w:r>
      <w:r>
        <w:t xml:space="preserve"> </w:t>
      </w:r>
      <w:r>
        <w:rPr>
          <w:bCs/>
          <w:b/>
        </w:rPr>
        <w:t xml:space="preserve">«Статистика → График потока (Flow Graph)</w:t>
      </w:r>
      <w:r>
        <w:t xml:space="preserve">», демонстрирует временную диаграмму с обменом сегментами:</w:t>
      </w:r>
      <w:r>
        <w:br/>
      </w:r>
      <w:r>
        <w:t xml:space="preserve">- первые три пакета (SYN → SYN/ACK → ACK) образуют фазу установления соединения,</w:t>
      </w:r>
      <w:r>
        <w:br/>
      </w:r>
      <w:r>
        <w:t xml:space="preserve">- далее следуют сегменты передачи данных и завершения соединения (флаги</w:t>
      </w:r>
      <w:r>
        <w:t xml:space="preserve"> </w:t>
      </w:r>
      <w:r>
        <w:rPr>
          <w:rStyle w:val="VerbatimChar"/>
        </w:rPr>
        <w:t xml:space="preserve">FIN, ACK</w:t>
      </w:r>
      <w:r>
        <w:t xml:space="preserve">).</w:t>
      </w:r>
    </w:p>
    <w:p>
      <w:pPr>
        <w:pStyle w:val="CaptionedFigure"/>
      </w:pPr>
      <w:bookmarkStart w:id="95" w:name="fig:017"/>
      <w:r>
        <w:drawing>
          <wp:inline>
            <wp:extent cx="5334000" cy="3705122"/>
            <wp:effectExtent b="0" l="0" r="0" t="0"/>
            <wp:docPr descr="Рис. 8: График потока" title="" id="93" name="Picture"/>
            <a:graphic>
              <a:graphicData uri="http://schemas.openxmlformats.org/drawingml/2006/picture">
                <pic:pic>
                  <pic:nvPicPr>
                    <pic:cNvPr descr="Screenshot_1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8: График потока</w:t>
      </w:r>
    </w:p>
    <w:bookmarkEnd w:id="96"/>
    <w:bookmarkEnd w:id="97"/>
    <w:bookmarkStart w:id="9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 проанализирован процесс установления соединения по протоколу</w:t>
      </w:r>
      <w:r>
        <w:t xml:space="preserve"> </w:t>
      </w:r>
      <w:r>
        <w:rPr>
          <w:bCs/>
          <w:b/>
        </w:rPr>
        <w:t xml:space="preserve">TCP</w:t>
      </w:r>
      <w:r>
        <w:t xml:space="preserve"> </w:t>
      </w:r>
      <w:r>
        <w:t xml:space="preserve">с использованием анализатора трафика</w:t>
      </w:r>
      <w:r>
        <w:t xml:space="preserve"> </w:t>
      </w:r>
      <w:r>
        <w:rPr>
          <w:bCs/>
          <w:b/>
        </w:rPr>
        <w:t xml:space="preserve">Wireshark</w:t>
      </w:r>
      <w:r>
        <w:t xml:space="preserve">. Исследование показало, что трёхэтапное рукопожатие (</w:t>
      </w:r>
      <w:r>
        <w:rPr>
          <w:bCs/>
          <w:b/>
        </w:rPr>
        <w:t xml:space="preserve">Three-Way Handshake</w:t>
      </w:r>
      <w:r>
        <w:t xml:space="preserve">) обеспечивает надёжное установление соединения между клиентом и сервером перед началом передачи данных. В результате анализа зафиксированы стадии обмена сегментами</w:t>
      </w:r>
      <w:r>
        <w:t xml:space="preserve"> </w:t>
      </w:r>
      <w:r>
        <w:rPr>
          <w:bCs/>
          <w:b/>
        </w:rPr>
        <w:t xml:space="preserve">SYN</w:t>
      </w:r>
      <w:r>
        <w:t xml:space="preserve">,</w:t>
      </w:r>
      <w:r>
        <w:t xml:space="preserve"> </w:t>
      </w:r>
      <w:r>
        <w:rPr>
          <w:bCs/>
          <w:b/>
        </w:rPr>
        <w:t xml:space="preserve">SYN/ACK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ACK</w:t>
      </w:r>
      <w:r>
        <w:t xml:space="preserve">, подтверждающие успешную синхронизацию номеров последовательности и готовность сторон к коммуникации. Полученные данные подтверждают корректную реализацию транспортного уровня в модели OSI и демонстрируют принцип работы TCP при передаче HTTP-запросов.</w:t>
      </w:r>
    </w:p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Гафоров Нурмухаммад</dc:creator>
  <dc:language>ru-RU</dc:language>
  <cp:keywords/>
  <dcterms:created xsi:type="dcterms:W3CDTF">2025-10-09T12:53:28Z</dcterms:created>
  <dcterms:modified xsi:type="dcterms:W3CDTF">2025-10-09T12:53:28Z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Анализ трафика в Wireshark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