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Old Data Warehouse — Decommission Impact &amp; Migration Register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X4d168306358984a3a136ac01b6fc67d16eba76e"/>
    <w:p>
      <w:pPr>
        <w:pStyle w:val="Heading1"/>
      </w:pPr>
      <w:r>
        <w:t xml:space="preserve">Old Data Warehouse — Decommission Impact &amp; Migration Register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2026-10-05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What breaks when</w:t>
      </w:r>
      <w:r>
        <w:t xml:space="preserve"> </w:t>
      </w:r>
      <w:r>
        <w:rPr>
          <w:rStyle w:val="VerbatimChar"/>
        </w:rPr>
        <w:t xml:space="preserve">ACT-NAV2013\NAVISION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Intranet_Warehouse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Datawarehouse_ACT</w:t>
      </w:r>
      <w:r>
        <w:t xml:space="preserve">) is switched off, and what must change to run on Azure PostgreSQL.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r>
        <w:rPr>
          <w:rStyle w:val="VerbatimChar"/>
        </w:rPr>
        <w:t xml:space="preserve">Integration_Complete_Reference.md</w:t>
      </w:r>
      <w:r>
        <w:t xml:space="preserve"> </w:t>
      </w:r>
      <w:r>
        <w:t xml:space="preserve">§16 covers the strategic shape. This document is the operational register — the items that break on the day, with evidence.</w:t>
      </w:r>
    </w:p>
    <w:p>
      <w:r>
        <w:pict>
          <v:rect style="width:0;height:1.5pt" o:hralign="center" o:hrstd="t" o:hr="t"/>
        </w:pict>
      </w:r>
    </w:p>
    <w:bookmarkStart w:id="20" w:name="the-headline"/>
    <w:p>
      <w:pPr>
        <w:pStyle w:val="Heading2"/>
      </w:pPr>
      <w:r>
        <w:t xml:space="preserve">0. The headline</w:t>
      </w:r>
    </w:p>
    <w:p>
      <w:pPr>
        <w:pStyle w:val="FirstParagraph"/>
      </w:pPr>
      <w:r>
        <w:t xml:space="preserve">The old warehouse is</w:t>
      </w:r>
      <w:r>
        <w:t xml:space="preserve"> </w:t>
      </w:r>
      <w:r>
        <w:rPr>
          <w:b/>
          <w:bCs/>
        </w:rPr>
        <w:t xml:space="preserve">not only a reporting system</w:t>
      </w:r>
      <w:r>
        <w:t xml:space="preserve">. It sits in the</w:t>
      </w:r>
      <w:r>
        <w:t xml:space="preserve"> </w:t>
      </w:r>
      <w:r>
        <w:rPr>
          <w:i/>
          <w:iCs/>
        </w:rPr>
        <w:t xml:space="preserve">operational</w:t>
      </w:r>
      <w:r>
        <w:t xml:space="preserve"> </w:t>
      </w:r>
      <w:r>
        <w:t xml:space="preserve">path of the</w:t>
      </w:r>
      <w:r>
        <w:t xml:space="preserve"> </w:t>
      </w:r>
      <w:r>
        <w:t xml:space="preserve">Intranet in two places that have nothing to do with Power BI: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C# contract-sync app crashes on startup</w:t>
      </w:r>
      <w:r>
        <w:t xml:space="preserve"> </w:t>
      </w:r>
      <w:r>
        <w:t xml:space="preserve">without it — CRM→Navision contract creation stops.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Four MySQL tables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archetype_intranet</w:t>
      </w:r>
      <w:r>
        <w:rPr>
          <w:b/>
          <w:bCs/>
        </w:rPr>
        <w:t xml:space="preserve"> </w:t>
      </w:r>
      <w:r>
        <w:rPr>
          <w:b/>
          <w:bCs/>
        </w:rPr>
        <w:t xml:space="preserve">are written by the warehouse</w:t>
      </w:r>
      <w:r>
        <w:t xml:space="preserve">, and the e-Project</w:t>
      </w:r>
      <w:r>
        <w:t xml:space="preserve"> </w:t>
      </w:r>
      <w:r>
        <w:t xml:space="preserve">budget module reads them. They do not disappear when the warehouse stops; they</w:t>
      </w:r>
      <w:r>
        <w:t xml:space="preserve"> </w:t>
      </w:r>
      <w:r>
        <w:rPr>
          <w:b/>
          <w:bCs/>
        </w:rPr>
        <w:t xml:space="preserve">go stale and keep</w:t>
      </w:r>
      <w:r>
        <w:rPr>
          <w:b/>
          <w:bCs/>
        </w:rPr>
        <w:t xml:space="preserve"> </w:t>
      </w:r>
      <w:r>
        <w:rPr>
          <w:b/>
          <w:bCs/>
        </w:rPr>
        <w:t xml:space="preserve">serving old numbers</w:t>
      </w:r>
      <w:r>
        <w:t xml:space="preserve">, which is worse than an error.</w:t>
      </w:r>
    </w:p>
    <w:p>
      <w:pPr>
        <w:pStyle w:val="FirstParagraph"/>
      </w:pPr>
      <w:r>
        <w:t xml:space="preserve">Both must be handled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switch-off, not discovered after.</w:t>
      </w:r>
    </w:p>
    <w:p>
      <w:pPr>
        <w:pStyle w:val="BodyText"/>
      </w:pPr>
      <w:r>
        <w:rPr>
          <w:b/>
          <w:bCs/>
        </w:rPr>
        <w:t xml:space="preserve">The decommission date is bound to the BC extraction date, not to the Azure PostgreSQL date.</w:t>
      </w:r>
      <w:r>
        <w:t xml:space="preserve"> </w:t>
      </w:r>
      <w:r>
        <w:t xml:space="preserve">Three of the four write-back tables are ultimately sourced from NAV, so the new warehouse cannot</w:t>
      </w:r>
      <w:r>
        <w:t xml:space="preserve"> </w:t>
      </w:r>
      <w:r>
        <w:t xml:space="preserve">serve them until it can extract from the ERP. See §5 for the sequencing this implies.</w:t>
      </w:r>
    </w:p>
    <w:p>
      <w:r>
        <w:pict>
          <v:rect style="width:0;height:1.5pt" o:hralign="center" o:hrstd="t" o:hr="t"/>
        </w:pict>
      </w:r>
    </w:p>
    <w:bookmarkEnd w:id="20"/>
    <w:bookmarkStart w:id="22" w:name="blocking-item-the-c-app-dies"/>
    <w:p>
      <w:pPr>
        <w:pStyle w:val="Heading2"/>
      </w:pPr>
      <w:r>
        <w:t xml:space="preserve">1. Blocking item — the C# app dies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Integration/ConsoleApp1_NEW/CRMToNAV-Contract/Program.cs</w:t>
      </w:r>
    </w:p>
    <w:p>
      <w:pPr>
        <w:pStyle w:val="SourceCode"/>
      </w:pPr>
      <w:r>
        <w:rPr>
          <w:rStyle w:val="VerbatimChar"/>
        </w:rPr>
        <w:t xml:space="preserve">Main()  (line 151)</w:t>
      </w:r>
      <w:r>
        <w:br/>
      </w:r>
      <w:r>
        <w:rPr>
          <w:rStyle w:val="VerbatimChar"/>
        </w:rPr>
        <w:t xml:space="preserve">  |- GetCurrencyCode()           line 35   &lt;- opens SqlConnection to Datawarehouse_ACT</w:t>
      </w:r>
      <w:r>
        <w:br/>
      </w:r>
      <w:r>
        <w:rPr>
          <w:rStyle w:val="VerbatimChar"/>
        </w:rPr>
        <w:t xml:space="preserve">  |    hardcoded connection string, lines 40-44 (plaintext usr_etl credential in source)</w:t>
      </w:r>
      <w:r>
        <w:br/>
      </w:r>
      <w:r>
        <w:rPr>
          <w:rStyle w:val="VerbatimChar"/>
        </w:rPr>
        <w:t xml:space="preserve">  |- foreach ... GetConversionRateAsync() / Upsert()      lines 159-171</w:t>
      </w:r>
      <w:r>
        <w:br/>
      </w:r>
      <w:r>
        <w:rPr>
          <w:rStyle w:val="VerbatimChar"/>
        </w:rPr>
        <w:t xml:space="preserve">  |- ProcessContracts(0, "", 1)  line 177</w:t>
      </w:r>
    </w:p>
    <w:p>
      <w:pPr>
        <w:pStyle w:val="FirstParagraph"/>
      </w:pPr>
      <w:r>
        <w:rPr>
          <w:rStyle w:val="VerbatimChar"/>
        </w:rPr>
        <w:t xml:space="preserve">GetCurrencyCode()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first and unguarded</w:t>
      </w:r>
      <w:r>
        <w:t xml:space="preserve"> </w:t>
      </w:r>
      <w:r>
        <w:t xml:space="preserve">— there is no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anywhere between</w:t>
      </w:r>
      <w:r>
        <w:t xml:space="preserve"> </w:t>
      </w:r>
      <w:r>
        <w:t xml:space="preserve">line 151 and line 177 (verified). When the SQL Server is gone,</w:t>
      </w:r>
      <w:r>
        <w:t xml:space="preserve"> </w:t>
      </w:r>
      <w:r>
        <w:rPr>
          <w:rStyle w:val="VerbatimChar"/>
        </w:rPr>
        <w:t xml:space="preserve">forexconn.Open()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, the exception is unhandled, and the process exits</w:t>
      </w:r>
      <w:r>
        <w:t xml:space="preserve"> </w:t>
      </w:r>
      <w:r>
        <w:rPr>
          <w:b/>
          <w:bCs/>
        </w:rPr>
        <w:t xml:space="preserve">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ProcessContracts()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reached</w:t>
      </w:r>
      <w:r>
        <w:t xml:space="preserve">.</w:t>
      </w:r>
    </w:p>
    <w:p>
      <w:pPr>
        <w:pStyle w:val="BodyText"/>
      </w:pPr>
      <w:r>
        <w:t xml:space="preserve">Consequences: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Contract sync</w:t>
            </w:r>
          </w:p>
        </w:tc>
        <w:tc>
          <w:tcPr/>
          <w:p>
            <w:pPr>
              <w:pStyle w:val="Compact"/>
            </w:pPr>
            <w:r>
              <w:t xml:space="preserve">Stops. Contracts sit at</w:t>
            </w:r>
            <w:r>
              <w:t xml:space="preserve"> </w:t>
            </w:r>
            <w:r>
              <w:rPr>
                <w:rStyle w:val="VerbatimChar"/>
              </w:rPr>
              <w:t xml:space="preserve">validate_status = 2</w:t>
            </w:r>
            <w:r>
              <w:t xml:space="preserve"> </w:t>
            </w:r>
            <w:r>
              <w:t xml:space="preserve">forever.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notification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None.</w:t>
            </w:r>
            <w:r>
              <w:t xml:space="preserve"> </w:t>
            </w:r>
            <w:r>
              <w:rPr>
                <w:rStyle w:val="VerbatimChar"/>
              </w:rPr>
              <w:t xml:space="preserve">SendSysErrorMail()</w:t>
            </w:r>
            <w:r>
              <w:t xml:space="preserve"> </w:t>
            </w:r>
            <w:r>
              <w:t xml:space="preserve">is called from inside</w:t>
            </w:r>
            <w:r>
              <w:t xml:space="preserve"> </w:t>
            </w:r>
            <w:r>
              <w:rPr>
                <w:rStyle w:val="VerbatimChar"/>
              </w:rPr>
              <w:t xml:space="preserve">ProcessContracts()</w:t>
            </w:r>
            <w:r>
              <w:t xml:space="preserve">, which never runs.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A scheduled task that exits non-zero every 30 minutes. Nobody is watching.</w:t>
            </w:r>
          </w:p>
        </w:tc>
      </w:tr>
    </w:tbl>
    <w:bookmarkStart w:id="21" w:name="exactly-what-it-touches-in-the-warehouse"/>
    <w:p>
      <w:pPr>
        <w:pStyle w:val="Heading3"/>
      </w:pPr>
      <w:r>
        <w:t xml:space="preserve">1.1 Exactly what it touches in the warehouse</w:t>
      </w:r>
    </w:p>
    <w:p>
      <w:pPr>
        <w:pStyle w:val="FirstParagraph"/>
      </w:pPr>
      <w:r>
        <w:rPr>
          <w:b/>
          <w:bCs/>
        </w:rPr>
        <w:t xml:space="preserve">READ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GetCurrencyCode()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Program.cs:35-62</w:t>
      </w:r>
      <w:r>
        <w:t xml:space="preserve">. Connection string hardcoded in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 Source=act-nav2013.archetype-group.com; Initial Catalog=Datawarehouse_ACT; User ID=usr_etl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gl.ACTEntityId,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gl.LCYCode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'TMY'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'MMK'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gl.LCYCode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LCYCode,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exr.[Currency Code]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'SGP'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'SGD'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exr.[Currency Code]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'TMY'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'MMK'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exr.[Currency Code]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exr.[Currency Code]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ForeignCurrCode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Dim_GLSetup gl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Fact_CurrencyExRate exr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gl.ACTEntityId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exr.ACTEntityId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Datawarehouse_ACT.dbo.Dim_GLSetup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ACTEntityId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LCYCode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Datawarehouse_ACT.dbo.Fact_CurrencyExRate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ACTEntityId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[Currency Code]</w:t>
            </w:r>
          </w:p>
        </w:tc>
      </w:tr>
    </w:tbl>
    <w:p>
      <w:pPr>
        <w:pStyle w:val="BodyText"/>
      </w:pPr>
      <w:r>
        <w:t xml:space="preserve">Two tables, four columns.</w:t>
      </w:r>
      <w:r>
        <w:t xml:space="preserve"> </w:t>
      </w:r>
      <w:r>
        <w:rPr>
          <w:b/>
          <w:bCs/>
        </w:rPr>
        <w:t xml:space="preserve">This is the call that kills the app</w:t>
      </w:r>
      <w:r>
        <w:t xml:space="preserve"> </w:t>
      </w:r>
      <w:r>
        <w:t xml:space="preserve">— nothing else in the contract-sync</w:t>
      </w:r>
      <w:r>
        <w:t xml:space="preserve"> </w:t>
      </w:r>
      <w:r>
        <w:t xml:space="preserve">path touches the warehouse.</w:t>
      </w:r>
    </w:p>
    <w:p>
      <w:pPr>
        <w:pStyle w:val="BodyText"/>
      </w:pPr>
      <w:r>
        <w:rPr>
          <w:b/>
          <w:bCs/>
        </w:rPr>
        <w:t xml:space="preserve">WRITE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Upsert()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Program.cs:134-149</w:t>
      </w:r>
      <w:r>
        <w:t xml:space="preserve">. Connection =</w:t>
      </w:r>
      <w:r>
        <w:t xml:space="preserve"> </w:t>
      </w:r>
      <w:r>
        <w:rPr>
          <w:rStyle w:val="VerbatimChar"/>
        </w:rPr>
        <w:t xml:space="preserve">Settings.Default.NavSQL</w:t>
      </w:r>
      <w:r>
        <w:t xml:space="preserve">. Calls</w:t>
      </w:r>
      <w:r>
        <w:t xml:space="preserve"> </w:t>
      </w:r>
      <w:r>
        <w:rPr>
          <w:rStyle w:val="VerbatimChar"/>
        </w:rPr>
        <w:t xml:space="preserve">EXEC [dbo].[ForeignExchange_Upsert] @ACTEntityId, @CurrencyCode, @ExchageVal</w:t>
      </w:r>
      <w:r>
        <w:t xml:space="preserve">, whose body 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Datawarehouse_ACT.dbo.</w:t>
            </w:r>
            <w:r>
              <w:rPr>
                <w:rStyle w:val="VerbatimChar"/>
                <w:b/>
                <w:bCs/>
              </w:rPr>
              <w:t xml:space="preserve">Fact_CurrencyExRate_TEST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[Relational Exch_ Rate Amount]</w:t>
            </w:r>
            <w:r>
              <w:t xml:space="preserve">; INSERT positional</w:t>
            </w:r>
            <w:r>
              <w:t xml:space="preserve"> </w:t>
            </w:r>
            <w:r>
              <w:rPr>
                <w:rStyle w:val="VerbatimChar"/>
              </w:rPr>
              <w:t xml:space="preserve">(ACTEntityId, [Currency Code], [Starting Date], [Relational Exch_ Rate Amount])</w:t>
            </w:r>
            <w:r>
              <w:t xml:space="preserve">, matched on</w:t>
            </w:r>
            <w:r>
              <w:t xml:space="preserve"> </w:t>
            </w:r>
            <w:r>
              <w:rPr>
                <w:rStyle w:val="VerbatimChar"/>
              </w:rPr>
              <w:t xml:space="preserve">ACTEntityId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[Currency Code]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CAST([Starting Date] AS DATE) = CAST(GETDATE() AS DATE)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write target is a TEST table, and nothing reads it.</w:t>
      </w:r>
      <w:r>
        <w:t xml:space="preserve"> </w:t>
      </w:r>
      <w:r>
        <w:t xml:space="preserve">Checked against all 10</w:t>
      </w:r>
      <w:r>
        <w:t xml:space="preserve"> </w:t>
      </w:r>
      <w:r>
        <w:rPr>
          <w:rStyle w:val="VerbatimChar"/>
        </w:rPr>
        <w:t xml:space="preserve">.dtsx</w:t>
      </w:r>
      <w:r>
        <w:t xml:space="preserve"> </w:t>
      </w:r>
      <w:r>
        <w:t xml:space="preserve">packages,</w:t>
      </w:r>
      <w:r>
        <w:t xml:space="preserve"> </w:t>
      </w:r>
      <w:r>
        <w:t xml:space="preserve">the view exports and the five Power BI models — the only reference to</w:t>
      </w:r>
      <w:r>
        <w:t xml:space="preserve"> </w:t>
      </w:r>
      <w:r>
        <w:rPr>
          <w:rStyle w:val="VerbatimChar"/>
        </w:rPr>
        <w:t xml:space="preserve">Fact_CurrencyExRate_TEST</w:t>
      </w:r>
      <w:r>
        <w:t xml:space="preserve"> </w:t>
      </w:r>
      <w:r>
        <w:t xml:space="preserve">anywhere is the procedure that writes it.</w:t>
      </w:r>
    </w:p>
    <w:p>
      <w:pPr>
        <w:pStyle w:val="BodyText"/>
      </w:pPr>
      <w:r>
        <w:t xml:space="preserve">Three further defects in that write path: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@ExchageVal</w:t>
      </w:r>
      <w:r>
        <w:t xml:space="preserve"> </w:t>
      </w:r>
      <w:r>
        <w:t xml:space="preserve">is declared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with no precision, so it resolves to</w:t>
      </w:r>
      <w:r>
        <w:t xml:space="preserve"> </w:t>
      </w:r>
      <w:r>
        <w:rPr>
          <w:rStyle w:val="VerbatimChar"/>
        </w:rPr>
        <w:t xml:space="preserve">numeric(18,0)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every rate is truncated to an integer</w:t>
      </w:r>
      <w:r>
        <w:t xml:space="preserve"> </w:t>
      </w:r>
      <w:r>
        <w:t xml:space="preserve">before storage.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supplies no column list; it is positional and breaks silently if the table changes.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LoadForeignExchange.dtsx</w:t>
      </w:r>
      <w:r>
        <w:t xml:space="preserve"> </w:t>
      </w:r>
      <w:r>
        <w:t xml:space="preserve">contains a Script Task with</w:t>
      </w:r>
      <w:r>
        <w:t xml:space="preserve"> </w:t>
      </w:r>
      <w:r>
        <w:rPr>
          <w:b/>
          <w:bCs/>
        </w:rPr>
        <w:t xml:space="preserve">byte-identical C# logic</w:t>
      </w:r>
      <w:r>
        <w:t xml:space="preserve"> </w:t>
      </w:r>
      <w:r>
        <w:t xml:space="preserve">calling the same</w:t>
      </w:r>
      <w:r>
        <w:t xml:space="preserve"> </w:t>
      </w:r>
      <w:r>
        <w:t xml:space="preserve">procedure. The forex refresh exists twice and both copies write to the test table.</w:t>
      </w:r>
    </w:p>
    <w:p>
      <w:pPr>
        <w:pStyle w:val="FirstParagraph"/>
      </w:pPr>
      <w:r>
        <w:t xml:space="preserve">The real</w:t>
      </w:r>
      <w:r>
        <w:t xml:space="preserve"> </w:t>
      </w:r>
      <w:r>
        <w:rPr>
          <w:rStyle w:val="VerbatimChar"/>
        </w:rPr>
        <w:t xml:space="preserve">Fact_CurrencyExRate</w:t>
      </w:r>
      <w:r>
        <w:t xml:space="preserve"> </w:t>
      </w:r>
      <w:r>
        <w:t xml:space="preserve">is populated from NAV by</w:t>
      </w:r>
      <w:r>
        <w:t xml:space="preserve"> </w:t>
      </w:r>
      <w:r>
        <w:rPr>
          <w:rStyle w:val="VerbatimChar"/>
        </w:rPr>
        <w:t xml:space="preserve">ACT_Jobs_RealEstate.dtsx</w:t>
      </w:r>
      <w:r>
        <w:t xml:space="preserve"> </w:t>
      </w:r>
      <w:r>
        <w:t xml:space="preserve">(step 2), which</w:t>
      </w:r>
      <w:r>
        <w:t xml:space="preserve"> </w:t>
      </w:r>
      <w:r>
        <w:t xml:space="preserve">deletes and reloads it from</w:t>
      </w:r>
      <w:r>
        <w:t xml:space="preserve"> </w:t>
      </w:r>
      <w:r>
        <w:rPr>
          <w:rStyle w:val="VerbatimChar"/>
        </w:rPr>
        <w:t xml:space="preserve">[&lt;Office&gt;$Currency Exchange Rate]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Required change (do this first, independent of everything else):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Delete the forex block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Main()</w:t>
      </w:r>
      <w:r>
        <w:rPr>
          <w:b/>
          <w:bCs/>
        </w:rPr>
        <w:t xml:space="preserve"> </w:t>
      </w:r>
      <w:r>
        <w:rPr>
          <w:b/>
          <w:bCs/>
        </w:rPr>
        <w:t xml:space="preserve">entirely</w:t>
      </w:r>
      <w:r>
        <w:t xml:space="preserve"> </w:t>
      </w:r>
      <w:r>
        <w:t xml:space="preserve">(lines 158-174, plus</w:t>
      </w:r>
      <w:r>
        <w:t xml:space="preserve"> </w:t>
      </w:r>
      <w:r>
        <w:rPr>
          <w:rStyle w:val="VerbatimChar"/>
        </w:rPr>
        <w:t xml:space="preserve">GetCurrencyCode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GetConversionRateAsync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GetExchangeRate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). It reads live warehouse data, calls an</w:t>
      </w:r>
      <w:r>
        <w:t xml:space="preserve"> </w:t>
      </w:r>
      <w:r>
        <w:t xml:space="preserve">external API on every 30-minute run, and parks integer-rounded results in a table nothing</w:t>
      </w:r>
      <w:r>
        <w:t xml:space="preserve"> </w:t>
      </w:r>
      <w:r>
        <w:t xml:space="preserve">consumes. Removing it eliminates the single point of failure and loses nothing.</w:t>
      </w:r>
    </w:p>
    <w:p>
      <w:pPr>
        <w:pStyle w:val="Compact"/>
        <w:numPr>
          <w:ilvl w:val="0"/>
          <w:numId w:val="1003"/>
        </w:numPr>
      </w:pPr>
      <w:r>
        <w:t xml:space="preserve">If it must be kept for now, wrap it in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so a warehouse outage degrades to</w:t>
      </w:r>
      <w:r>
        <w:t xml:space="preserve"> </w:t>
      </w:r>
      <w:r>
        <w:t xml:space="preserve">“stale</w:t>
      </w:r>
      <w:r>
        <w:t xml:space="preserve"> </w:t>
      </w:r>
      <w:r>
        <w:t xml:space="preserve">rates”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“no contract sync”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Remove the hardcoded credential at lines 40-44 regardless — it is a live ETL password in a file</w:t>
      </w:r>
      <w:r>
        <w:t xml:space="preserve"> </w:t>
      </w:r>
      <w:r>
        <w:t xml:space="preserve">committed to the repo.</w:t>
      </w:r>
    </w:p>
    <w:p>
      <w:pPr>
        <w:pStyle w:val="BlockText"/>
      </w:pPr>
      <w:r>
        <w:rPr>
          <w:b/>
          <w:bCs/>
        </w:rPr>
        <w:t xml:space="preserve">Verify on the server before acting:</w:t>
      </w:r>
      <w:r>
        <w:t xml:space="preserve"> </w:t>
      </w:r>
      <w:r>
        <w:t xml:space="preserve">the scalar function</w:t>
      </w:r>
      <w:r>
        <w:t xml:space="preserve"> </w:t>
      </w:r>
      <w:r>
        <w:rPr>
          <w:rStyle w:val="VerbatimChar"/>
        </w:rPr>
        <w:t xml:space="preserve">Datawarehouse_ACT.dbo.FuncGetCurrencyExRate(ACTEntityId, 'USD', date)</w:t>
      </w:r>
      <w:r>
        <w:t xml:space="preserve"> </w:t>
      </w:r>
      <w:r>
        <w:t xml:space="preserve">supplies the USD conversion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ActualSubconCost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Fact_MonthlyPnL</w:t>
      </w:r>
      <w:r>
        <w:t xml:space="preserve"> </w:t>
      </w:r>
      <w:r>
        <w:t xml:space="preserve">and the GL-entry views. Its definition was not included in</w:t>
      </w:r>
      <w:r>
        <w:t xml:space="preserve"> </w:t>
      </w:r>
      <w:r>
        <w:t xml:space="preserve">the SQL exports (functions were not scripted), so it is unknown whether it reads</w:t>
      </w:r>
      <w:r>
        <w:t xml:space="preserve"> </w:t>
      </w:r>
      <w:r>
        <w:rPr>
          <w:rStyle w:val="VerbatimChar"/>
        </w:rPr>
        <w:t xml:space="preserve">Fact_CurrencyExRate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Fact_CurrencyExRate_TEST</w:t>
      </w:r>
      <w:r>
        <w:t xml:space="preserve">.</w:t>
      </w:r>
      <w:r>
        <w:t xml:space="preserve"> </w:t>
      </w:r>
      <w:r>
        <w:rPr>
          <w:b/>
          <w:bCs/>
        </w:rPr>
        <w:t xml:space="preserve">If it reads the TEST table, every USD figure</w:t>
      </w:r>
      <w:r>
        <w:rPr>
          <w:b/>
          <w:bCs/>
        </w:rPr>
        <w:t xml:space="preserve"> </w:t>
      </w:r>
      <w:r>
        <w:rPr>
          <w:b/>
          <w:bCs/>
        </w:rPr>
        <w:t xml:space="preserve">in the finance reports is built on integer-truncated rates.</w:t>
      </w:r>
      <w:r>
        <w:t xml:space="preserve"> </w:t>
      </w:r>
      <w:r>
        <w:t xml:space="preserve">One query settles it:</w:t>
      </w:r>
      <w:r>
        <w:t xml:space="preserve"> </w:t>
      </w:r>
      <w:r>
        <w:rPr>
          <w:rStyle w:val="VerbatimChar"/>
        </w:rPr>
        <w:t xml:space="preserve">SELECT OBJECT_DEFINITION(OBJECT_ID('dbo.FuncGetCurrencyExRate'))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the-four-write-back-tables"/>
    <w:p>
      <w:pPr>
        <w:pStyle w:val="Heading2"/>
      </w:pPr>
      <w:r>
        <w:t xml:space="preserve">2. The four write-back tables</w:t>
      </w:r>
    </w:p>
    <w:p>
      <w:pPr>
        <w:pStyle w:val="FirstParagraph"/>
      </w:pPr>
      <w:r>
        <w:t xml:space="preserve">These are the only places the warehouse writes into</w:t>
      </w:r>
      <w:r>
        <w:t xml:space="preserve"> </w:t>
      </w:r>
      <w:r>
        <w:rPr>
          <w:rStyle w:val="VerbatimChar"/>
        </w:rPr>
        <w:t xml:space="preserve">archetype_intranet</w:t>
      </w:r>
      <w:r>
        <w:t xml:space="preserve">. Confirmed by scanning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.dtsx</w:t>
      </w:r>
      <w:r>
        <w:t xml:space="preserve"> </w:t>
      </w:r>
      <w:r>
        <w:t xml:space="preserve">for ODBC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/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targets — there are exactly four, no more.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MySQL table</w:t>
            </w:r>
          </w:p>
        </w:tc>
        <w:tc>
          <w:tcPr/>
          <w:p>
            <w:pPr>
              <w:pStyle w:val="Compact"/>
            </w:pPr>
            <w:r>
              <w:t xml:space="preserve">Written by</w:t>
            </w:r>
          </w:p>
        </w:tc>
        <w:tc>
          <w:tcPr/>
          <w:p>
            <w:pPr>
              <w:pStyle w:val="Compact"/>
            </w:pPr>
            <w:r>
              <w:t xml:space="preserve">Warehouse source</w:t>
            </w:r>
          </w:p>
        </w:tc>
        <w:tc>
          <w:tcPr/>
          <w:p>
            <w:pPr>
              <w:pStyle w:val="Compact"/>
            </w:pPr>
            <w:r>
              <w:t xml:space="preserve">Live state (2026-10-05)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hr_table_cch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CCHIntranet.dtsx</w:t>
            </w:r>
            <w:r>
              <w:t xml:space="preserve"> </w:t>
            </w:r>
            <w:r>
              <w:t xml:space="preserve">(step 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Dim_Resources</w:t>
            </w:r>
            <w:r>
              <w:t xml:space="preserve"> </w:t>
            </w:r>
            <w:r>
              <w:t xml:space="preserve">&lt;- NAV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3,536 rows, freshest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2026-10-03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prm_project_budget_data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ACT_SendBudgetToIntranet.dtsx</w:t>
            </w:r>
            <w:r>
              <w:t xml:space="preserve"> </w:t>
            </w:r>
            <w:r>
              <w:t xml:space="preserve">(step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Dim_JobTaskLinesDeptPhaseWise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Dim_JobPlanningLines</w:t>
            </w:r>
            <w:r>
              <w:t xml:space="preserve"> </w:t>
            </w:r>
            <w:r>
              <w:t xml:space="preserve">&lt;- NAV</w:t>
            </w:r>
          </w:p>
        </w:tc>
        <w:tc>
          <w:tcPr/>
          <w:p>
            <w:pPr>
              <w:pStyle w:val="Compact"/>
            </w:pPr>
            <w:r>
              <w:t xml:space="preserve">52,658 rows /</w:t>
            </w:r>
            <w:r>
              <w:t xml:space="preserve"> </w:t>
            </w:r>
            <w:r>
              <w:rPr>
                <w:b/>
                <w:bCs/>
              </w:rPr>
              <w:t xml:space="preserve">3,176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prm_project_finance_data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ACT_SendJobCostIntranet.dtsx</w:t>
            </w:r>
            <w:r>
              <w:t xml:space="preserve"> </w:t>
            </w:r>
            <w:r>
              <w:t xml:space="preserve">(step 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Dim_JobLedgerEntry</w:t>
            </w:r>
            <w:r>
              <w:t xml:space="preserve"> </w:t>
            </w:r>
            <w:r>
              <w:t xml:space="preserve">&lt;- NAV</w:t>
            </w:r>
          </w:p>
        </w:tc>
        <w:tc>
          <w:tcPr/>
          <w:p>
            <w:pPr>
              <w:pStyle w:val="Compact"/>
            </w:pPr>
            <w:r>
              <w:t xml:space="preserve">61,810 rows /</w:t>
            </w:r>
            <w:r>
              <w:t xml:space="preserve"> </w:t>
            </w:r>
            <w:r>
              <w:rPr>
                <w:b/>
                <w:bCs/>
              </w:rPr>
              <w:t xml:space="preserve">3,242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timesheet_delta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ACT_SendTSDelta.dtsx</w:t>
            </w:r>
            <w:r>
              <w:t xml:space="preserve"> </w:t>
            </w:r>
            <w:r>
              <w:t xml:space="preserve">(step 6)</w:t>
            </w:r>
          </w:p>
        </w:tc>
        <w:tc>
          <w:tcPr/>
          <w:p>
            <w:pPr>
              <w:pStyle w:val="Compact"/>
            </w:pPr>
            <w:r>
              <w:t xml:space="preserve">Intranet TS</w:t>
            </w:r>
            <w:r>
              <w:t xml:space="preserve"> </w:t>
            </w:r>
            <w:r>
              <w:rPr>
                <w:b/>
                <w:bCs/>
              </w:rPr>
              <w:t xml:space="preserve">vs</w:t>
            </w:r>
            <w:r>
              <w:t xml:space="preserve"> </w:t>
            </w:r>
            <w:r>
              <w:t xml:space="preserve">NAV</w:t>
            </w:r>
            <w:r>
              <w:t xml:space="preserve"> </w:t>
            </w:r>
            <w:r>
              <w:rPr>
                <w:rStyle w:val="VerbatimChar"/>
              </w:rPr>
              <w:t xml:space="preserve">Job Ledger Entry</w:t>
            </w:r>
          </w:p>
        </w:tc>
        <w:tc>
          <w:tcPr/>
          <w:p>
            <w:pPr>
              <w:pStyle w:val="Compact"/>
            </w:pPr>
            <w:r>
              <w:t xml:space="preserve">3,399 rows,</w:t>
            </w:r>
            <w:r>
              <w:t xml:space="preserve"> </w:t>
            </w:r>
            <w:r>
              <w:rPr>
                <w:rStyle w:val="VerbatimChar"/>
              </w:rPr>
              <w:t xml:space="preserve">DateUpdate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2026-09-30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Three of the four are NAV-sourced.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timesheet_delta</w:t>
      </w:r>
      <w:r>
        <w:t xml:space="preserve"> </w:t>
      </w:r>
      <w:r>
        <w:t xml:space="preserve">draws on Intranet data as well — and</w:t>
      </w:r>
      <w:r>
        <w:t xml:space="preserve"> </w:t>
      </w:r>
      <w:r>
        <w:t xml:space="preserve">it is the one slated for deletion under the entry-level feed design.</w:t>
      </w:r>
    </w:p>
    <w:bookmarkStart w:id="23" w:name="failure-mode"/>
    <w:p>
      <w:pPr>
        <w:pStyle w:val="Heading3"/>
      </w:pPr>
      <w:r>
        <w:t xml:space="preserve">Failure mode</w:t>
      </w:r>
    </w:p>
    <w:p>
      <w:pPr>
        <w:pStyle w:val="FirstParagraph"/>
      </w:pPr>
      <w:r>
        <w:t xml:space="preserve">All four are</w:t>
      </w:r>
      <w:r>
        <w:t xml:space="preserve"> </w:t>
      </w:r>
      <w:r>
        <w:rPr>
          <w:b/>
          <w:bCs/>
        </w:rPr>
        <w:t xml:space="preserve">TRUNCATE-then-INSERT</w:t>
      </w:r>
      <w:r>
        <w:t xml:space="preserve">. If the nightly job simply stops, the last successful load</w:t>
      </w:r>
      <w:r>
        <w:t xml:space="preserve"> </w:t>
      </w:r>
      <w:r>
        <w:t xml:space="preserve">remains in place indefinitely. The e-Project screens keep rendering, the numbers keep looking</w:t>
      </w:r>
      <w:r>
        <w:t xml:space="preserve"> </w:t>
      </w:r>
      <w:r>
        <w:t xml:space="preserve">plausible, and they are frozen at the switch-off date. There is no freshness column on</w:t>
      </w:r>
      <w:r>
        <w:t xml:space="preserve"> </w:t>
      </w:r>
      <w:r>
        <w:rPr>
          <w:rStyle w:val="VerbatimChar"/>
        </w:rPr>
        <w:t xml:space="preserve">prm_project_budget_data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prm_project_finance_data</w:t>
      </w:r>
      <w:r>
        <w:t xml:space="preserve"> </w:t>
      </w:r>
      <w:r>
        <w:t xml:space="preserve">at all, so nothing in the UI can detect it.</w:t>
      </w:r>
    </w:p>
    <w:p>
      <w:pPr>
        <w:pStyle w:val="BodyText"/>
      </w:pPr>
      <w:r>
        <w:rPr>
          <w:b/>
          <w:bCs/>
        </w:rPr>
        <w:t xml:space="preserve">Required change:</w:t>
      </w:r>
      <w:r>
        <w:t xml:space="preserve"> </w:t>
      </w:r>
      <w:r>
        <w:t xml:space="preserve">add a load-stamp table (</w:t>
      </w:r>
      <w:r>
        <w:rPr>
          <w:rStyle w:val="VerbatimChar"/>
        </w:rPr>
        <w:t xml:space="preserve">etl_load_status</w:t>
      </w:r>
      <w:r>
        <w:t xml:space="preserve">: table name, row count, loaded_at) and</w:t>
      </w:r>
      <w:r>
        <w:t xml:space="preserve"> </w:t>
      </w:r>
      <w:r>
        <w:t xml:space="preserve">have e-Project display</w:t>
      </w:r>
      <w:r>
        <w:t xml:space="preserve"> </w:t>
      </w:r>
      <w:r>
        <w:t xml:space="preserve">“NAV actuals as of &lt;date&gt;”</w:t>
      </w:r>
      <w:r>
        <w:t xml:space="preserve"> </w:t>
      </w:r>
      <w:r>
        <w:t xml:space="preserve">wherever these feed a screen. Cheap, and it turns a</w:t>
      </w:r>
      <w:r>
        <w:t xml:space="preserve"> </w:t>
      </w:r>
      <w:r>
        <w:t xml:space="preserve">silent failure into a visible one. Worth doing</w:t>
      </w:r>
      <w:r>
        <w:t xml:space="preserve"> </w:t>
      </w:r>
      <w:r>
        <w:rPr>
          <w:b/>
          <w:bCs/>
        </w:rPr>
        <w:t xml:space="preserve">now</w:t>
      </w:r>
      <w:r>
        <w:t xml:space="preserve">, before any migration.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intranet-code-that-consumes-them"/>
    <w:p>
      <w:pPr>
        <w:pStyle w:val="Heading2"/>
      </w:pPr>
      <w:r>
        <w:t xml:space="preserve">3. Intranet code that consumes them</w:t>
      </w:r>
    </w:p>
    <w:p>
      <w:pPr>
        <w:pStyle w:val="FirstParagraph"/>
      </w:pPr>
      <w:r>
        <w:t xml:space="preserve">Verified:</w:t>
      </w:r>
      <w:r>
        <w:t xml:space="preserve"> </w:t>
      </w:r>
      <w:r>
        <w:rPr>
          <w:b/>
          <w:bCs/>
        </w:rPr>
        <w:t xml:space="preserve">no Intranet PHP connects to SQL Server directly.</w:t>
      </w:r>
      <w:r>
        <w:t xml:space="preserve"> </w:t>
      </w:r>
      <w:r>
        <w:t xml:space="preserve">The only</w:t>
      </w:r>
      <w:r>
        <w:t xml:space="preserve"> </w:t>
      </w:r>
      <w:r>
        <w:rPr>
          <w:rStyle w:val="VerbatimChar"/>
        </w:rPr>
        <w:t xml:space="preserve">mssql</w:t>
      </w:r>
      <w:r>
        <w:t xml:space="preserve">/</w:t>
      </w:r>
      <w:r>
        <w:rPr>
          <w:rStyle w:val="VerbatimChar"/>
        </w:rPr>
        <w:t xml:space="preserve">sqlsrv</w:t>
      </w:r>
      <w:r>
        <w:t xml:space="preserve"> </w:t>
      </w:r>
      <w:r>
        <w:t xml:space="preserve">hits in the</w:t>
      </w:r>
      <w:r>
        <w:t xml:space="preserve"> </w:t>
      </w:r>
      <w:r>
        <w:t xml:space="preserve">repo are vendored MediaWiki and LimeSurvey libraries. The entire coupling surface is the four tables</w:t>
      </w:r>
      <w:r>
        <w:t xml:space="preserve"> </w:t>
      </w:r>
      <w:r>
        <w:t xml:space="preserve">above. That gives a clean cut line.</w:t>
      </w:r>
    </w:p>
    <w:bookmarkStart w:id="25" w:name="consumer-files-complete-list"/>
    <w:p>
      <w:pPr>
        <w:pStyle w:val="Heading3"/>
      </w:pPr>
      <w:r>
        <w:t xml:space="preserve">Consumer files (complete list)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Refs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application/models/budget_planning_model.php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prm_project_budget_data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prm_project_finance_data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hr_table_cch</w:t>
            </w:r>
          </w:p>
        </w:tc>
        <w:tc>
          <w:tcPr/>
          <w:p>
            <w:pPr>
              <w:pStyle w:val="Compact"/>
            </w:pPr>
            <w:r>
              <w:t xml:space="preserve">11 / 11 /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application/models/models/budget_planning_model.php</w:t>
            </w:r>
            <w:r>
              <w:t xml:space="preserve"> </w:t>
            </w:r>
            <w:r>
              <w:rPr>
                <w:i/>
                <w:iCs/>
              </w:rPr>
              <w:t xml:space="preserve">(duplicate copy — dead?)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prm_project_finance_data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application/models/wf/wf_common_model.php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prm_project_budget_data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public/services/index.php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timesheet_delta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delta_ts=1</w:t>
            </w:r>
            <w:r>
              <w:t xml:space="preserve"> </w:t>
            </w:r>
            <w:r>
              <w:t xml:space="preserve">branch</w:t>
            </w:r>
          </w:p>
        </w:tc>
      </w:tr>
    </w:tbl>
    <w:p>
      <w:pPr>
        <w:pStyle w:val="BlockText"/>
      </w:pPr>
      <w:r>
        <w:t xml:space="preserve">The duplicated</w:t>
      </w:r>
      <w:r>
        <w:t xml:space="preserve"> </w:t>
      </w:r>
      <w:r>
        <w:rPr>
          <w:rStyle w:val="VerbatimChar"/>
        </w:rPr>
        <w:t xml:space="preserve">application/models/models/budget_planning_model.php</w:t>
      </w:r>
      <w:r>
        <w:t xml:space="preserve"> </w:t>
      </w:r>
      <w:r>
        <w:t xml:space="preserve">should be confirmed dead and</w:t>
      </w:r>
      <w:r>
        <w:t xml:space="preserve"> </w:t>
      </w:r>
      <w:r>
        <w:t xml:space="preserve">deleted before migration, so it isn’t carried forward by mistake.</w:t>
      </w:r>
    </w:p>
    <w:bookmarkEnd w:id="25"/>
    <w:bookmarkStart w:id="26" w:name="entry-points-at-risk"/>
    <w:p>
      <w:pPr>
        <w:pStyle w:val="Heading3"/>
      </w:pPr>
      <w:r>
        <w:t xml:space="preserve">Entry points at risk</w:t>
      </w:r>
    </w:p>
    <w:p>
      <w:pPr>
        <w:pStyle w:val="FirstParagraph"/>
      </w:pPr>
      <w:r>
        <w:t xml:space="preserve">All budget consumption funnels through</w:t>
      </w:r>
      <w:r>
        <w:t xml:space="preserve"> </w:t>
      </w:r>
      <w:r>
        <w:rPr>
          <w:rStyle w:val="VerbatimChar"/>
        </w:rPr>
        <w:t xml:space="preserve">application/controllers/api/budget_planning.php</w:t>
      </w:r>
      <w:r>
        <w:t xml:space="preserve"> </w:t>
      </w:r>
      <w:r>
        <w:t xml:space="preserve">(13,049 lines, 160 functions, 19 references to warehouse-fed data):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isHavingNAVData_get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prm_project_finance_data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initialNAVData_post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updateNAVdata_post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prm_project_finance_data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getnavBadData_get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prm_project_finance_data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checkExistedNAVBudget_post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prm_project_budget_data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createRevisionFromNavision_post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prm_project_budget_data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NAVgetExistedLevelOfThisDeptInThisPhase_get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prm_project_budget_data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exportToExcelFromWebWithActualCost_get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prm_project_finance_data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CCH_Correction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cch_inflation_update_post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checkCCHInRevision_post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hr_table_cch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x</w:t>
            </w:r>
            <w:r>
              <w:t xml:space="preserve"> </w:t>
            </w:r>
            <w:r>
              <w:rPr>
                <w:rStyle w:val="VerbatimChar"/>
              </w:rPr>
              <w:t xml:space="preserve">ImportFromNavision_*</w:t>
            </w:r>
            <w:r>
              <w:t xml:space="preserve"> </w:t>
            </w:r>
            <w:r>
              <w:t xml:space="preserve">model functions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prm_project_budget_data</w:t>
            </w:r>
          </w:p>
        </w:tc>
      </w:tr>
    </w:tbl>
    <w:bookmarkEnd w:id="26"/>
    <w:bookmarkStart w:id="27" w:name="how-much-this-is-used"/>
    <w:p>
      <w:pPr>
        <w:pStyle w:val="Heading3"/>
      </w:pPr>
      <w:r>
        <w:t xml:space="preserve">How much this is used</w:t>
      </w:r>
    </w:p>
    <w:p>
      <w:pPr>
        <w:pStyle w:val="FirstParagraph"/>
      </w:pPr>
      <w:r>
        <w:rPr>
          <w:rStyle w:val="VerbatimChar"/>
        </w:rPr>
        <w:t xml:space="preserve">prm_budget_revisions</w:t>
      </w:r>
      <w:r>
        <w:t xml:space="preserve">, revisions created per year by type: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 YTD</w:t>
            </w:r>
          </w:p>
        </w:tc>
        <w:tc>
          <w:tcPr/>
          <w:p>
            <w:pPr>
              <w:pStyle w:val="Compact"/>
            </w:pPr>
            <w:r>
              <w:t xml:space="preserve">Reads NAV actuals?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compares to</w:t>
            </w:r>
            <w:r>
              <w:t xml:space="preserve"> </w:t>
            </w:r>
            <w:r>
              <w:rPr>
                <w:rStyle w:val="VerbatimChar"/>
              </w:rPr>
              <w:t xml:space="preserve">prm_project_finance_data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createRevisionFromNavision</w:t>
            </w:r>
          </w:p>
        </w:tc>
      </w:tr>
    </w:tbl>
    <w:p>
      <w:pPr>
        <w:pStyle w:val="BodyText"/>
      </w:pPr>
      <w:r>
        <w:t xml:space="preserve">So the hot path is</w:t>
      </w:r>
      <w:r>
        <w:t xml:space="preserve"> </w:t>
      </w:r>
      <w:r>
        <w:rPr>
          <w:b/>
          <w:bCs/>
        </w:rPr>
        <w:t xml:space="preserve">CTC (Cost-To-Complete) revisions — ~200/year across ~75 components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createRevisionFromNavision</w:t>
      </w:r>
      <w:r>
        <w:t xml:space="preserve"> </w:t>
      </w:r>
      <w:r>
        <w:t xml:space="preserve">path is nearly unused (17 in 2026) and is a retirement candidate rather</w:t>
      </w:r>
      <w:r>
        <w:t xml:space="preserve"> </w:t>
      </w:r>
      <w:r>
        <w:t xml:space="preserve">than a migration candidate.</w:t>
      </w:r>
    </w:p>
    <w:p>
      <w:pPr>
        <w:pStyle w:val="BodyText"/>
      </w:pPr>
      <w:r>
        <w:rPr>
          <w:rStyle w:val="VerbatimChar"/>
        </w:rPr>
        <w:t xml:space="preserve">hr_table_cch</w:t>
      </w:r>
      <w:r>
        <w:t xml:space="preserve"> </w:t>
      </w:r>
      <w:r>
        <w:t xml:space="preserve">is different: it feeds</w:t>
      </w:r>
      <w:r>
        <w:t xml:space="preserve"> </w:t>
      </w:r>
      <w:r>
        <w:rPr>
          <w:rStyle w:val="VerbatimChar"/>
        </w:rPr>
        <w:t xml:space="preserve">employee_level_cost_by_office()</w:t>
      </w:r>
      <w:r>
        <w:t xml:space="preserve">, which prices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budget revision regardless of type. All 1,314 revisions in 2026 touch it. Of the four tables, this</w:t>
      </w:r>
      <w:r>
        <w:t xml:space="preserve"> </w:t>
      </w:r>
      <w:r>
        <w:t xml:space="preserve">is the one that must never go stale.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warehouse-side-inventory-to-rebuild"/>
    <w:p>
      <w:pPr>
        <w:pStyle w:val="Heading2"/>
      </w:pPr>
      <w:r>
        <w:t xml:space="preserve">4. Warehouse-side inventory to rebuild</w:t>
      </w:r>
    </w:p>
    <w:bookmarkStart w:id="29" w:name="corrected-object-counts"/>
    <w:p>
      <w:pPr>
        <w:pStyle w:val="Heading3"/>
      </w:pPr>
      <w:r>
        <w:t xml:space="preserve">4.1 Corrected object counts</w:t>
      </w:r>
    </w:p>
    <w:p>
      <w:pPr>
        <w:pStyle w:val="FirstParagraph"/>
      </w:pPr>
      <w:r>
        <w:t xml:space="preserve">Counted from</w:t>
      </w:r>
      <w:r>
        <w:t xml:space="preserve"> </w:t>
      </w:r>
      <w:r>
        <w:rPr>
          <w:rStyle w:val="VerbatimChar"/>
        </w:rPr>
        <w:t xml:space="preserve">Integration/sqlquery_result/Intranet_warehouse_tables.csv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Documented in reference §13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Intranet_Warehouse</w:t>
            </w:r>
            <w:r>
              <w:t xml:space="preserve"> </w:t>
            </w:r>
            <w:r>
              <w:t xml:space="preserve">base tables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Intranet_Warehouse</w:t>
            </w:r>
            <w:r>
              <w:t xml:space="preserve"> </w:t>
            </w:r>
            <w:r>
              <w:t xml:space="preserve">views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objects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sources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31 (correct)</w:t>
            </w:r>
          </w:p>
        </w:tc>
      </w:tr>
    </w:tbl>
    <w:p>
      <w:pPr>
        <w:pStyle w:val="BodyText"/>
      </w:pPr>
      <w:r>
        <w:t xml:space="preserve">The total is nearly right but the split is not — it is</w:t>
      </w:r>
      <w:r>
        <w:t xml:space="preserve"> </w:t>
      </w:r>
      <w:r>
        <w:rPr>
          <w:b/>
          <w:bCs/>
        </w:rPr>
        <w:t xml:space="preserve">66 views to rewrite, not 81</w:t>
      </w:r>
      <w:r>
        <w:t xml:space="preserve">, and</w:t>
      </w:r>
      <w:r>
        <w:t xml:space="preserve"> </w:t>
      </w:r>
      <w:r>
        <w:rPr>
          <w:b/>
          <w:bCs/>
        </w:rPr>
        <w:t xml:space="preserve">73</w:t>
      </w:r>
      <w:r>
        <w:rPr>
          <w:b/>
          <w:bCs/>
        </w:rPr>
        <w:t xml:space="preserve"> </w:t>
      </w:r>
      <w:r>
        <w:rPr>
          <w:b/>
          <w:bCs/>
        </w:rPr>
        <w:t xml:space="preserve">tables to land, not 59</w:t>
      </w:r>
      <w:r>
        <w:t xml:space="preserve">. Sizing for the dbt rebuild should use these numbers.</w:t>
      </w:r>
    </w:p>
    <w:bookmarkEnd w:id="29"/>
    <w:bookmarkStart w:id="30" w:name="etl"/>
    <w:p>
      <w:pPr>
        <w:pStyle w:val="Heading3"/>
      </w:pPr>
      <w:r>
        <w:t xml:space="preserve">4.2 ETL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Fate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Agent job</w:t>
            </w:r>
            <w:r>
              <w:t xml:space="preserve"> </w:t>
            </w:r>
            <w:r>
              <w:rPr>
                <w:rStyle w:val="VerbatimChar"/>
              </w:rPr>
              <w:t xml:space="preserve">ACT-FIN-WH</w:t>
            </w:r>
            <w:r>
              <w:t xml:space="preserve"> </w:t>
            </w:r>
            <w:r>
              <w:t xml:space="preserve">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all retire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SSIS packages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all retire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Datawarehouse_ACT</w:t>
            </w:r>
            <w:r>
              <w:t xml:space="preserve"> </w:t>
            </w:r>
            <w:r>
              <w:t xml:space="preserve">dimension tables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rebuild only if BC extraction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ACT_Get*</w:t>
            </w:r>
            <w:r>
              <w:t xml:space="preserve"> </w:t>
            </w:r>
            <w:r>
              <w:t xml:space="preserve">stored procedures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 not port</w:t>
            </w:r>
            <w:r>
              <w:t xml:space="preserve"> </w:t>
            </w:r>
            <w:r>
              <w:t xml:space="preserve">— they read NAV SQL directly</w:t>
            </w:r>
          </w:p>
        </w:tc>
      </w:tr>
    </w:tbl>
    <w:p>
      <w:pPr>
        <w:pStyle w:val="BodyText"/>
      </w:pPr>
      <w:r>
        <w:t xml:space="preserve">Per the reference §16.1: steps 1 and 2 read the NAV SQL database through stored procedures. Against</w:t>
      </w:r>
      <w:r>
        <w:t xml:space="preserve"> </w:t>
      </w:r>
      <w:r>
        <w:t xml:space="preserve">BC SaaS there is no SQL endpoint, so steps 4–7 (which consume what step 2 produces) break with them.</w:t>
      </w:r>
      <w:r>
        <w:t xml:space="preserve"> </w:t>
      </w:r>
      <w:r>
        <w:t xml:space="preserve">Only step 3 (Intranet → warehouse) survives as a concept.</w:t>
      </w:r>
    </w:p>
    <w:bookmarkEnd w:id="30"/>
    <w:bookmarkStart w:id="31" w:name="X86eaf553b14dc17ac93f7de74443cabdcd06f44"/>
    <w:p>
      <w:pPr>
        <w:pStyle w:val="Heading3"/>
      </w:pPr>
      <w:r>
        <w:t xml:space="preserve">4.3 Three forex mechanisms — two of which write nowhere useful</w:t>
      </w:r>
    </w:p>
    <w:p>
      <w:pPr>
        <w:pStyle w:val="FirstParagraph"/>
      </w:pPr>
      <w:r>
        <w:t xml:space="preserve">Found during this investigation; not previously recorded: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Actually writes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LoadForeignExchange.dtsx</w:t>
            </w:r>
            <w:r>
              <w:t xml:space="preserve"> </w:t>
            </w:r>
            <w:r>
              <w:t xml:space="preserve">(job</w:t>
            </w:r>
            <w:r>
              <w:t xml:space="preserve"> </w:t>
            </w:r>
            <w:r>
              <w:rPr>
                <w:rStyle w:val="VerbatimChar"/>
              </w:rPr>
              <w:t xml:space="preserve">GetForeignExchange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daily 05:00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Fact_CurrencyExRate_TEST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C#</w:t>
            </w:r>
            <w:r>
              <w:t xml:space="preserve"> </w:t>
            </w:r>
            <w:r>
              <w:rPr>
                <w:rStyle w:val="VerbatimChar"/>
              </w:rPr>
              <w:t xml:space="preserve">Program.cs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[dbo].[ForeignExchange_Upsert]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30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Fact_CurrencyExRate_TEST</w:t>
            </w:r>
            <w:r>
              <w:t xml:space="preserve"> </w:t>
            </w:r>
            <w:r>
              <w:t xml:space="preserve">(identical code — see §1.1)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application/controllers/api/exchange.php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cronDoRefreshExchange_get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prm_exchange_rate</w:t>
            </w:r>
            <w:r>
              <w:t xml:space="preserve"> </w:t>
            </w:r>
            <w:r>
              <w:t xml:space="preserve">(MySQL, genuinely used by e-Project)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ACT_Jobs_RealEstate.dtsx</w:t>
            </w:r>
            <w:r>
              <w:t xml:space="preserve"> </w:t>
            </w:r>
            <w:r>
              <w:t xml:space="preserve">step 2</w:t>
            </w:r>
          </w:p>
        </w:tc>
        <w:tc>
          <w:tcPr/>
          <w:p>
            <w:pPr>
              <w:pStyle w:val="Compact"/>
            </w:pPr>
            <w:r>
              <w:t xml:space="preserve">daily 20:00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Fact_CurrencyExRate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the real table</w:t>
            </w:r>
            <w:r>
              <w:t xml:space="preserve">, loaded from NAV</w:t>
            </w:r>
          </w:p>
        </w:tc>
      </w:tr>
    </w:tbl>
    <w:p>
      <w:pPr>
        <w:pStyle w:val="BodyText"/>
      </w:pPr>
      <w:r>
        <w:t xml:space="preserve">The first two are the same logic deployed twice, and both land in a test table that nothing reads.</w:t>
      </w:r>
      <w:r>
        <w:t xml:space="preserve"> </w:t>
      </w:r>
      <w:r>
        <w:t xml:space="preserve">The authoritative warehouse rate comes from NAV via step 2; the only genuinely live external rate</w:t>
      </w:r>
      <w:r>
        <w:t xml:space="preserve"> </w:t>
      </w:r>
      <w:r>
        <w:t xml:space="preserve">feed is the PHP one into MySQL.</w:t>
      </w:r>
    </w:p>
    <w:p>
      <w:pPr>
        <w:pStyle w:val="BodyText"/>
      </w:pPr>
      <w:r>
        <w:rPr>
          <w:b/>
          <w:bCs/>
        </w:rPr>
        <w:t xml:space="preserve">Net effect: the external exchangerate-api call is dead work in both copies.</w:t>
      </w:r>
      <w:r>
        <w:t xml:space="preserve"> </w:t>
      </w:r>
      <w:r>
        <w:t xml:space="preserve">Retire both,</w:t>
      </w:r>
      <w:r>
        <w:t xml:space="preserve"> </w:t>
      </w:r>
      <w:r>
        <w:t xml:space="preserve">keep the PHP feed, and let NAV (later BC) remain the source for warehouse rates — subject to the</w:t>
      </w:r>
      <w:r>
        <w:t xml:space="preserve"> </w:t>
      </w:r>
      <w:r>
        <w:rPr>
          <w:rStyle w:val="VerbatimChar"/>
        </w:rPr>
        <w:t xml:space="preserve">FuncGetCurrencyExRate</w:t>
      </w:r>
      <w:r>
        <w:t xml:space="preserve"> </w:t>
      </w:r>
      <w:r>
        <w:t xml:space="preserve">check in §1.1.</w:t>
      </w:r>
    </w:p>
    <w:bookmarkEnd w:id="31"/>
    <w:bookmarkStart w:id="32" w:name="nav-write-back"/>
    <w:p>
      <w:pPr>
        <w:pStyle w:val="Heading3"/>
      </w:pPr>
      <w:r>
        <w:t xml:space="preserve">4.4 NAV write-back</w:t>
      </w:r>
    </w:p>
    <w:p>
      <w:pPr>
        <w:pStyle w:val="FirstParagraph"/>
      </w:pPr>
      <w:r>
        <w:rPr>
          <w:rStyle w:val="VerbatimChar"/>
        </w:rPr>
        <w:t xml:space="preserve">ACT_PacthNavData.dtsx</w:t>
      </w:r>
      <w:r>
        <w:t xml:space="preserve"> </w:t>
      </w:r>
      <w:r>
        <w:t xml:space="preserve">(step 1) reads</w:t>
      </w:r>
      <w:r>
        <w:t xml:space="preserve"> </w:t>
      </w:r>
      <w:r>
        <w:rPr>
          <w:rStyle w:val="VerbatimChar"/>
        </w:rPr>
        <w:t xml:space="preserve">IntToNAV_DataPatchOPSStatus</w:t>
      </w:r>
      <w:r>
        <w:t xml:space="preserve"> </w:t>
      </w:r>
      <w:r>
        <w:t xml:space="preserve">and executes dynamic SQL</w:t>
      </w:r>
      <w:r>
        <w:t xml:space="preserve"> </w:t>
      </w:r>
      <w:r>
        <w:rPr>
          <w:b/>
          <w:bCs/>
        </w:rPr>
        <w:t xml:space="preserve">against the NAV database</w:t>
      </w:r>
      <w:r>
        <w:t xml:space="preserve">. Under BC SaaS this is impossible and must become an API call. It is the</w:t>
      </w:r>
      <w:r>
        <w:t xml:space="preserve"> </w:t>
      </w:r>
      <w:r>
        <w:t xml:space="preserve">only step that writes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the ERP from the warehouse — easy to overlook because it is step 1.</w:t>
      </w:r>
    </w:p>
    <w:bookmarkEnd w:id="32"/>
    <w:bookmarkStart w:id="33" w:name="power-bi"/>
    <w:p>
      <w:pPr>
        <w:pStyle w:val="Heading3"/>
      </w:pPr>
      <w:r>
        <w:t xml:space="preserve">4.5 Power BI</w:t>
      </w:r>
    </w:p>
    <w:p>
      <w:pPr>
        <w:pStyle w:val="FirstParagraph"/>
      </w:pPr>
      <w:r>
        <w:t xml:space="preserve">5 reports / 31 sources, all DirectQuery to</w:t>
      </w:r>
      <w:r>
        <w:t xml:space="preserve"> </w:t>
      </w:r>
      <w:r>
        <w:rPr>
          <w:rStyle w:val="VerbatimChar"/>
        </w:rPr>
        <w:t xml:space="preserve">Intranet_Warehouse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[CORRECTION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Integration_Complete_Reference.md</w:t>
      </w:r>
      <w:r>
        <w:rPr>
          <w:b/>
          <w:bCs/>
        </w:rPr>
        <w:t xml:space="preserve"> </w:t>
      </w:r>
      <w:r>
        <w:rPr>
          <w:b/>
          <w:bCs/>
        </w:rPr>
        <w:t xml:space="preserve">§7]</w:t>
      </w:r>
      <w:r>
        <w:t xml:space="preserve"> </w:t>
      </w:r>
      <w:r>
        <w:t xml:space="preserve">That document states HR-Dashboard and</w:t>
      </w:r>
      <w:r>
        <w:t xml:space="preserve"> </w:t>
      </w:r>
      <w:r>
        <w:t xml:space="preserve">Timesheet-Analysis are free of</w:t>
      </w:r>
      <w:r>
        <w:t xml:space="preserve"> </w:t>
      </w:r>
      <w:r>
        <w:rPr>
          <w:rStyle w:val="VerbatimChar"/>
        </w:rPr>
        <w:t xml:space="preserve">Datawarehouse_ACT</w:t>
      </w:r>
      <w:r>
        <w:t xml:space="preserve">. They are not. Dependency closure over the view</w:t>
      </w:r>
      <w:r>
        <w:t xml:space="preserve"> </w:t>
      </w:r>
      <w:r>
        <w:t xml:space="preserve">definitions (§8) shows</w:t>
      </w:r>
      <w:r>
        <w:t xml:space="preserve"> </w:t>
      </w:r>
      <w:r>
        <w:rPr>
          <w:b/>
          <w:bCs/>
        </w:rPr>
        <w:t xml:space="preserve">all five reports reach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Datawarehouse_ACT</w:t>
      </w:r>
      <w:r>
        <w:t xml:space="preserve">, two of them transitively: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Datawarehouse_ACT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Analysis / Contract Summary / Finance Dashboard</w:t>
            </w:r>
          </w:p>
        </w:tc>
        <w:tc>
          <w:tcPr/>
          <w:p>
            <w:pPr>
              <w:pStyle w:val="Compact"/>
            </w:pPr>
            <w:r>
              <w:t xml:space="preserve">direct, many views</w:t>
            </w:r>
          </w:p>
        </w:tc>
        <w:tc>
          <w:tcPr/>
          <w:p>
            <w:pPr>
              <w:pStyle w:val="Compact"/>
            </w:pPr>
            <w:r>
              <w:t xml:space="preserve">NAV transactional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HR-Dashboard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Dim_Offices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ACT_Entities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Dim_GLSetup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data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Timesheet-Analysis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Dim_Phases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Fact_Budget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Dim_JobTaskLinesDepartmentPhaseWise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FuncGetCurrencyExRate</w:t>
            </w:r>
          </w:p>
        </w:tc>
        <w:tc>
          <w:tcPr/>
          <w:p>
            <w:pPr>
              <w:pStyle w:val="Compact"/>
            </w:pPr>
            <w:r>
              <w:t xml:space="preserve">NAV transactional,</w:t>
            </w:r>
            <w:r>
              <w:t xml:space="preserve"> </w:t>
            </w:r>
            <w:r>
              <w:rPr>
                <w:b/>
                <w:bCs/>
              </w:rPr>
              <w:t xml:space="preserve">but avoidable — see §8.4</w:t>
            </w:r>
          </w:p>
        </w:tc>
      </w:tr>
    </w:tbl>
    <w:p>
      <w:pPr>
        <w:pStyle w:val="BodyText"/>
      </w:pPr>
      <w:r>
        <w:t xml:space="preserve">Source objects were read from the</w:t>
      </w:r>
      <w:r>
        <w:t xml:space="preserve"> </w:t>
      </w:r>
      <w:r>
        <w:rPr>
          <w:rStyle w:val="VerbatimChar"/>
        </w:rPr>
        <w:t xml:space="preserve">.pbit</w:t>
      </w:r>
      <w:r>
        <w:t xml:space="preserve"> </w:t>
      </w:r>
      <w:r>
        <w:t xml:space="preserve">DataModelSchema JSON (UTF-16), not inferred.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f0b7ecae8fd2faf0d22772b043e34898ffbfceb"/>
    <w:p>
      <w:pPr>
        <w:pStyle w:val="Heading2"/>
      </w:pPr>
      <w:r>
        <w:t xml:space="preserve">5. Recommended sequencing — change one variable at a time</w:t>
      </w:r>
    </w:p>
    <w:p>
      <w:pPr>
        <w:pStyle w:val="FirstParagraph"/>
      </w:pPr>
      <w:r>
        <w:t xml:space="preserve">The temptation is a single cutover: new platform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new ERP source at once. That changes two</w:t>
      </w:r>
      <w:r>
        <w:t xml:space="preserve"> </w:t>
      </w:r>
      <w:r>
        <w:t xml:space="preserve">variables simultaneously in the one chain that is in the operational path. Prefer:</w:t>
      </w:r>
    </w:p>
    <w:bookmarkStart w:id="35" w:name="X568c45607bd41d430ce57433e6f94ae8393073a"/>
    <w:p>
      <w:pPr>
        <w:pStyle w:val="Heading3"/>
      </w:pPr>
      <w:r>
        <w:t xml:space="preserve">Phase A — make the current system safe to leave running (weeks, no dependencies)</w:t>
      </w:r>
    </w:p>
    <w:p>
      <w:pPr>
        <w:pStyle w:val="Compact"/>
        <w:numPr>
          <w:ilvl w:val="0"/>
          <w:numId w:val="1004"/>
        </w:numPr>
      </w:pPr>
      <w:r>
        <w:t xml:space="preserve">Fix the C# crash (§1) — try/catch, then split forex out.</w:t>
      </w:r>
    </w:p>
    <w:p>
      <w:pPr>
        <w:pStyle w:val="Compact"/>
        <w:numPr>
          <w:ilvl w:val="0"/>
          <w:numId w:val="100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etl_load_status</w:t>
      </w:r>
      <w:r>
        <w:t xml:space="preserve"> </w:t>
      </w:r>
      <w:r>
        <w:t xml:space="preserve">+ freshness display in e-Project (§2).</w:t>
      </w:r>
    </w:p>
    <w:p>
      <w:pPr>
        <w:pStyle w:val="Compact"/>
        <w:numPr>
          <w:ilvl w:val="0"/>
          <w:numId w:val="100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and st.validated = 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DeltaTS_IntranetTSSummary</w:t>
      </w:r>
      <w:r>
        <w:t xml:space="preserve"> </w:t>
      </w:r>
      <w:r>
        <w:t xml:space="preserve">(carried over from reference §15.3).</w:t>
      </w:r>
    </w:p>
    <w:p>
      <w:pPr>
        <w:pStyle w:val="Compact"/>
        <w:numPr>
          <w:ilvl w:val="0"/>
          <w:numId w:val="1004"/>
        </w:numPr>
      </w:pPr>
      <w:r>
        <w:t xml:space="preserve">Raise or re-window</w:t>
      </w:r>
      <w:r>
        <w:t xml:space="preserve"> </w:t>
      </w:r>
      <w:r>
        <w:rPr>
          <w:rStyle w:val="VerbatimChar"/>
        </w:rPr>
        <w:t xml:space="preserve">Summarized_Timesheet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LIMIT 1500000</w:t>
      </w:r>
      <w:r>
        <w:t xml:space="preserve"> </w:t>
      </w:r>
      <w:r>
        <w:t xml:space="preserve">— currently at 81% (reference §3).</w:t>
      </w:r>
    </w:p>
    <w:p>
      <w:pPr>
        <w:pStyle w:val="Compact"/>
        <w:numPr>
          <w:ilvl w:val="0"/>
          <w:numId w:val="1004"/>
        </w:numPr>
      </w:pPr>
      <w:r>
        <w:t xml:space="preserve">Confirm and delete</w:t>
      </w:r>
      <w:r>
        <w:t xml:space="preserve"> </w:t>
      </w:r>
      <w:r>
        <w:rPr>
          <w:rStyle w:val="VerbatimChar"/>
        </w:rPr>
        <w:t xml:space="preserve">application/models/models/budget_planning_model.php</w:t>
      </w:r>
      <w:r>
        <w:t xml:space="preserve"> </w:t>
      </w:r>
      <w:r>
        <w:t xml:space="preserve">if dead.</w:t>
      </w:r>
    </w:p>
    <w:p>
      <w:pPr>
        <w:pStyle w:val="FirstParagraph"/>
      </w:pPr>
      <w:r>
        <w:t xml:space="preserve">None of these depend on any migration decision. All are reversible.</w:t>
      </w:r>
    </w:p>
    <w:bookmarkEnd w:id="35"/>
    <w:bookmarkStart w:id="36" w:name="Xec8fbc85bd4b197635c29eaca2d2b2db4dcb4dd"/>
    <w:p>
      <w:pPr>
        <w:pStyle w:val="Heading3"/>
      </w:pPr>
      <w:r>
        <w:t xml:space="preserve">Phase B — stand up Azure PostgreSQL, move the Intranet-fed half only</w:t>
      </w:r>
    </w:p>
    <w:p>
      <w:pPr>
        <w:pStyle w:val="FirstParagraph"/>
      </w:pPr>
      <w:r>
        <w:t xml:space="preserve">Flow 1 has no NAV dependency. Rebuild it as extract + dbt into Azure PG and move HR-Dashboard and</w:t>
      </w:r>
      <w:r>
        <w:t xml:space="preserve"> </w:t>
      </w:r>
      <w:r>
        <w:t xml:space="preserve">Timesheet-Analysis onto it. This proves the stack — connectivity from Azure to on-prem MySQL at</w:t>
      </w:r>
      <w:r>
        <w:t xml:space="preserve"> </w:t>
      </w:r>
      <w:r>
        <w:rPr>
          <w:rStyle w:val="VerbatimChar"/>
        </w:rPr>
        <w:t xml:space="preserve">10.0.1.110</w:t>
      </w:r>
      <w:r>
        <w:t xml:space="preserve">, dbt, DirectQuery-to-Postgres behaviour — with nothing operational at risk.</w:t>
      </w:r>
    </w:p>
    <w:p>
      <w:pPr>
        <w:pStyle w:val="BodyText"/>
      </w:pPr>
      <w:r>
        <w:rPr>
          <w:b/>
          <w:bCs/>
        </w:rPr>
        <w:t xml:space="preserve">Scope is 17 views + 26 tables, not 66 + 73</w:t>
      </w:r>
      <w:r>
        <w:t xml:space="preserve"> </w:t>
      </w:r>
      <w:r>
        <w:t xml:space="preserve">— see §8.5, which also lists the two prerequisites</w:t>
      </w:r>
      <w:r>
        <w:t xml:space="preserve"> </w:t>
      </w:r>
      <w:r>
        <w:t xml:space="preserve">(re-source</w:t>
      </w:r>
      <w:r>
        <w:t xml:space="preserve"> </w:t>
      </w:r>
      <w:r>
        <w:rPr>
          <w:rStyle w:val="VerbatimChar"/>
        </w:rPr>
        <w:t xml:space="preserve">Dim_Phases</w:t>
      </w:r>
      <w:r>
        <w:t xml:space="preserve">; re-home</w:t>
      </w:r>
      <w:r>
        <w:t xml:space="preserve"> </w:t>
      </w:r>
      <w:r>
        <w:rPr>
          <w:rStyle w:val="VerbatimChar"/>
        </w:rPr>
        <w:t xml:space="preserve">ACT_Entities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Dim_GLSetup</w:t>
      </w:r>
      <w:r>
        <w:t xml:space="preserve"> </w:t>
      </w:r>
      <w:r>
        <w:t xml:space="preserve">as master data).</w:t>
      </w:r>
    </w:p>
    <w:bookmarkEnd w:id="36"/>
    <w:bookmarkStart w:id="37" w:name="X2c1494823000c80c4616e8cc53a7255e609ba30"/>
    <w:p>
      <w:pPr>
        <w:pStyle w:val="Heading3"/>
      </w:pPr>
      <w:r>
        <w:t xml:space="preserve">Phase C — move the NAV-fed half</w:t>
      </w:r>
      <w:r>
        <w:t xml:space="preserve"> </w:t>
      </w:r>
      <w:r>
        <w:rPr>
          <w:b/>
          <w:bCs/>
        </w:rPr>
        <w:t xml:space="preserve">while NAV is still NAV</w:t>
      </w:r>
    </w:p>
    <w:p>
      <w:pPr>
        <w:pStyle w:val="FirstParagraph"/>
      </w:pPr>
      <w:r>
        <w:t xml:space="preserve">Repoint the three NAV-sourced write-back feeds (</w:t>
      </w:r>
      <w:r>
        <w:rPr>
          <w:rStyle w:val="VerbatimChar"/>
        </w:rPr>
        <w:t xml:space="preserve">hr_table_cch</w:t>
      </w:r>
      <w:r>
        <w:t xml:space="preserve">,</w:t>
      </w:r>
      <w:r>
        <w:t xml:space="preserve"> </w:t>
      </w:r>
      <w:r>
        <w:rPr>
          <w:rStyle w:val="VerbatimChar"/>
        </w:rPr>
        <w:t xml:space="preserve">prm_project_budget_data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prm_project_finance_data</w:t>
      </w:r>
      <w:r>
        <w:t xml:space="preserve">) so they are produced by the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warehouse, still extracting from the</w:t>
      </w:r>
      <w:r>
        <w:t xml:space="preserve"> </w:t>
      </w:r>
      <w:r>
        <w:t xml:space="preserve">NAV SQL Server over VPN / self-hosted IR. The old warehouse can then be switched off.</w:t>
      </w:r>
    </w:p>
    <w:p>
      <w:pPr>
        <w:pStyle w:val="BodyText"/>
      </w:pPr>
      <w:r>
        <w:t xml:space="preserve">This is the step that actually retires the old DW, and it is deliberately done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ERP</w:t>
      </w:r>
      <w:r>
        <w:t xml:space="preserve"> </w:t>
      </w:r>
      <w:r>
        <w:t xml:space="preserve">changes — so if a number moves, the cause is the platform, not the ERP.</w:t>
      </w:r>
    </w:p>
    <w:bookmarkEnd w:id="37"/>
    <w:bookmarkStart w:id="38" w:name="phase-d-bc-migration"/>
    <w:p>
      <w:pPr>
        <w:pStyle w:val="Heading3"/>
      </w:pPr>
      <w:r>
        <w:t xml:space="preserve">Phase D — BC migration</w:t>
      </w:r>
    </w:p>
    <w:p>
      <w:pPr>
        <w:pStyle w:val="FirstParagraph"/>
      </w:pPr>
      <w:r>
        <w:t xml:space="preserve">Replace the NAV SQL extraction with BC extraction (API / Data Lake export). The write-back contracts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archetype_intranet</w:t>
      </w:r>
      <w:r>
        <w:t xml:space="preserve"> </w:t>
      </w:r>
      <w:r>
        <w:t xml:space="preserve">are unchanged, because Phase C already moved them. Timesheet moves to the</w:t>
      </w:r>
      <w:r>
        <w:t xml:space="preserve"> </w:t>
      </w:r>
      <w:r>
        <w:t xml:space="preserve">entry-level feed and</w:t>
      </w:r>
      <w:r>
        <w:t xml:space="preserve"> </w:t>
      </w:r>
      <w:r>
        <w:rPr>
          <w:rStyle w:val="VerbatimChar"/>
        </w:rPr>
        <w:t xml:space="preserve">timesheet_delta</w:t>
      </w:r>
      <w:r>
        <w:t xml:space="preserve"> </w:t>
      </w:r>
      <w:r>
        <w:t xml:space="preserve">is deleted along with its five</w:t>
      </w:r>
      <w:r>
        <w:t xml:space="preserve"> </w:t>
      </w:r>
      <w:r>
        <w:rPr>
          <w:rStyle w:val="VerbatimChar"/>
        </w:rPr>
        <w:t xml:space="preserve">DeltaTS_*</w:t>
      </w:r>
      <w:r>
        <w:t xml:space="preserve"> </w:t>
      </w:r>
      <w:r>
        <w:t xml:space="preserve">views.</w:t>
      </w:r>
    </w:p>
    <w:bookmarkEnd w:id="38"/>
    <w:bookmarkStart w:id="39" w:name="phase-e-history-freeze"/>
    <w:p>
      <w:pPr>
        <w:pStyle w:val="Heading3"/>
      </w:pPr>
      <w:r>
        <w:t xml:space="preserve">Phase E — history freeze</w:t>
      </w:r>
    </w:p>
    <w:p>
      <w:pPr>
        <w:pStyle w:val="FirstParagraph"/>
      </w:pPr>
      <w:r>
        <w:t xml:space="preserve">One-time bulk extract of</w:t>
      </w:r>
      <w:r>
        <w:t xml:space="preserve"> </w:t>
      </w:r>
      <w:r>
        <w:rPr>
          <w:rStyle w:val="VerbatimChar"/>
        </w:rPr>
        <w:t xml:space="preserve">Datawarehouse_ACT</w:t>
      </w:r>
      <w:r>
        <w:t xml:space="preserve"> </w:t>
      </w:r>
      <w:r>
        <w:t xml:space="preserve">(2015–2026) into the new warehouse as a frozen</w:t>
      </w:r>
      <w:r>
        <w:t xml:space="preserve"> </w:t>
      </w:r>
      <w:r>
        <w:t xml:space="preserve">historical schema,</w:t>
      </w:r>
      <w:r>
        <w:t xml:space="preserve"> </w:t>
      </w:r>
      <w:r>
        <w:rPr>
          <w:b/>
          <w:bCs/>
        </w:rPr>
        <w:t xml:space="preserve">before the SQL Server is decommissioned</w:t>
      </w:r>
      <w:r>
        <w:t xml:space="preserve">. This is the only item on the list</w:t>
      </w:r>
      <w:r>
        <w:t xml:space="preserve"> </w:t>
      </w:r>
      <w:r>
        <w:t xml:space="preserve">that cannot be redone later.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cision-needed-before-phase-c"/>
    <w:p>
      <w:pPr>
        <w:pStyle w:val="Heading2"/>
      </w:pPr>
      <w:r>
        <w:t xml:space="preserve">6. Decision needed before Phase C</w:t>
      </w:r>
    </w:p>
    <w:p>
      <w:pPr>
        <w:pStyle w:val="FirstParagraph"/>
      </w:pPr>
      <w:r>
        <w:t xml:space="preserve">Today the warehouse is in the operational path — the Intranet reads tables the ETL produces. The</w:t>
      </w:r>
      <w:r>
        <w:t xml:space="preserve"> </w:t>
      </w:r>
      <w:r>
        <w:t xml:space="preserve">target architecture in the reference doc is</w:t>
      </w:r>
      <w:r>
        <w:t xml:space="preserve"> </w:t>
      </w:r>
      <w:r>
        <w:rPr>
          <w:i/>
          <w:iCs/>
        </w:rPr>
        <w:t xml:space="preserve">warehouse = analytics only</w:t>
      </w:r>
      <w:r>
        <w:t xml:space="preserve">, with operational data</w:t>
      </w:r>
      <w:r>
        <w:t xml:space="preserve"> </w:t>
      </w:r>
      <w:r>
        <w:t xml:space="preserve">moving Intranet &lt;-&gt; BC directly by API.</w:t>
      </w:r>
    </w:p>
    <w:p>
      <w:pPr>
        <w:pStyle w:val="BodyText"/>
      </w:pPr>
      <w:r>
        <w:t xml:space="preserve">Those are different Phase C designs: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Keep operational write-back</w:t>
      </w:r>
      <w:r>
        <w:t xml:space="preserve"> </w:t>
      </w:r>
      <w:r>
        <w:t xml:space="preserve">— simplest, preserves e-Project unchanged, but carries the</w:t>
      </w:r>
      <w:r>
        <w:t xml:space="preserve"> </w:t>
      </w:r>
      <w:r>
        <w:t xml:space="preserve">nightly-batch coupling into the new platform.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Operational by API</w:t>
      </w:r>
      <w:r>
        <w:t xml:space="preserve"> </w:t>
      </w:r>
      <w:r>
        <w:t xml:space="preserve">— e-Project calls BC for actual cost instead of reading a mirrored table.</w:t>
      </w:r>
      <w:r>
        <w:t xml:space="preserve"> </w:t>
      </w:r>
      <w:r>
        <w:t xml:space="preserve">Cleaner, but it is a change to</w:t>
      </w:r>
      <w:r>
        <w:t xml:space="preserve"> </w:t>
      </w:r>
      <w:r>
        <w:rPr>
          <w:rStyle w:val="VerbatimChar"/>
        </w:rPr>
        <w:t xml:space="preserve">budget_planning_model.php</w:t>
      </w:r>
      <w:r>
        <w:t xml:space="preserve"> </w:t>
      </w:r>
      <w:r>
        <w:t xml:space="preserve">and its ~22 query sites, and it puts</w:t>
      </w:r>
      <w:r>
        <w:t xml:space="preserve"> </w:t>
      </w:r>
      <w:r>
        <w:t xml:space="preserve">e-Project screens on a live ERP dependency.</w:t>
      </w:r>
    </w:p>
    <w:p>
      <w:pPr>
        <w:pStyle w:val="FirstParagraph"/>
      </w:pPr>
      <w:r>
        <w:t xml:space="preserve">Deciding this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Phase C has been built means building it twice. The e-Project query sites are</w:t>
      </w:r>
      <w:r>
        <w:t xml:space="preserve"> </w:t>
      </w:r>
      <w:r>
        <w:t xml:space="preserve">enumerated in §3 — that is the scope of the second option.</w:t>
      </w:r>
    </w:p>
    <w:p>
      <w:r>
        <w:pict>
          <v:rect style="width:0;height:1.5pt" o:hralign="center" o:hrstd="t" o:hr="t"/>
        </w:pict>
      </w:r>
    </w:p>
    <w:bookmarkEnd w:id="41"/>
    <w:bookmarkStart w:id="42" w:name="open-questions"/>
    <w:p>
      <w:pPr>
        <w:pStyle w:val="Heading2"/>
      </w:pPr>
      <w:r>
        <w:t xml:space="preserve">7.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CRMToNAV-PaymentSchedule</w:t>
            </w:r>
            <w:r>
              <w:t xml:space="preserve"> </w:t>
            </w:r>
            <w:r>
              <w:t xml:space="preserve">deployed, or is only</w:t>
            </w:r>
            <w:r>
              <w:t xml:space="preserve"> </w:t>
            </w:r>
            <w:r>
              <w:rPr>
                <w:rStyle w:val="VerbatimChar"/>
              </w:rPr>
              <w:t xml:space="preserve">CRMToNAV-Contract</w:t>
            </w:r>
            <w:r>
              <w:t xml:space="preserve"> </w:t>
            </w:r>
            <w:r>
              <w:t xml:space="preserve">scheduled?</w:t>
            </w:r>
          </w:p>
        </w:tc>
        <w:tc>
          <w:tcPr/>
          <w:p>
            <w:pPr>
              <w:pStyle w:val="Compact"/>
            </w:pPr>
            <w:r>
              <w:t xml:space="preserve">§1 fix scope — there may be two binaries to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Does anything outside Power BI query</w:t>
            </w:r>
            <w:r>
              <w:t xml:space="preserve"> </w:t>
            </w:r>
            <w:r>
              <w:rPr>
                <w:rStyle w:val="VerbatimChar"/>
              </w:rPr>
              <w:t xml:space="preserve">Intranet_Warehouse</w:t>
            </w:r>
            <w:r>
              <w:t xml:space="preserve"> </w:t>
            </w:r>
            <w:r>
              <w:t xml:space="preserve">directly (Excel, Access, ad-hoc)?</w:t>
            </w:r>
          </w:p>
        </w:tc>
        <w:tc>
          <w:tcPr/>
          <w:p>
            <w:pPr>
              <w:pStyle w:val="Compact"/>
            </w:pPr>
            <w:r>
              <w:t xml:space="preserve">Confirms the 25 unreferenced views in §8.2 are truly dead. Needs Query Store or an Extended Events session on the 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Can Azure reach</w:t>
            </w:r>
            <w:r>
              <w:t xml:space="preserve"> </w:t>
            </w:r>
            <w:r>
              <w:rPr>
                <w:rStyle w:val="VerbatimChar"/>
              </w:rPr>
              <w:t xml:space="preserve">10.0.1.110</w:t>
            </w:r>
            <w:r>
              <w:t xml:space="preserve"> </w:t>
            </w:r>
            <w:r>
              <w:t xml:space="preserve">(MySQL) and</w:t>
            </w:r>
            <w:r>
              <w:t xml:space="preserve"> </w:t>
            </w:r>
            <w:r>
              <w:rPr>
                <w:rStyle w:val="VerbatimChar"/>
              </w:rPr>
              <w:t xml:space="preserve">ACT-NAV2013</w:t>
            </w:r>
            <w:r>
              <w:t xml:space="preserve"> </w:t>
            </w:r>
            <w:r>
              <w:t xml:space="preserve">(SQL Server)?</w:t>
            </w:r>
          </w:p>
        </w:tc>
        <w:tc>
          <w:tcPr/>
          <w:p>
            <w:pPr>
              <w:pStyle w:val="Compact"/>
            </w:pPr>
            <w:r>
              <w:t xml:space="preserve">Phase B and C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Which of the 66 views are referenced by the 31 Power BI sources?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— see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createRevisionFromNavision_post</w:t>
            </w:r>
            <w:r>
              <w:t xml:space="preserve"> </w:t>
            </w:r>
            <w:r>
              <w:t xml:space="preserve">(17 uses in 2026) worth migrating or retiring?</w:t>
            </w:r>
          </w:p>
        </w:tc>
        <w:tc>
          <w:tcPr/>
          <w:p>
            <w:pPr>
              <w:pStyle w:val="Compact"/>
            </w:pPr>
            <w:r>
              <w:t xml:space="preserve">Phase C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8" w:name="X660c96eff0b4b71ee0fa561b4baab46a862fcfa"/>
    <w:p>
      <w:pPr>
        <w:pStyle w:val="Heading2"/>
      </w:pPr>
      <w:r>
        <w:t xml:space="preserve">8. Rebuild sizing — dependency closure over the warehouse</w:t>
      </w:r>
    </w:p>
    <w:p>
      <w:pPr>
        <w:pStyle w:val="FirstParagraph"/>
      </w:pPr>
      <w:r>
        <w:t xml:space="preserve">Method: parsed all 66 view definitions from</w:t>
      </w:r>
      <w:r>
        <w:t xml:space="preserve"> </w:t>
      </w:r>
      <w:r>
        <w:rPr>
          <w:rStyle w:val="VerbatimChar"/>
        </w:rPr>
        <w:t xml:space="preserve">Intranet_warehouse_view.csv</w:t>
      </w:r>
      <w:r>
        <w:t xml:space="preserve">, built a reference graph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 treating self-database three-part names as local), and computed the</w:t>
      </w:r>
      <w:r>
        <w:t xml:space="preserve"> </w:t>
      </w:r>
      <w:r>
        <w:t xml:space="preserve">closure from the 31 Power BI sources. Cross-checked every unreachable object against all 10</w:t>
      </w:r>
      <w:r>
        <w:t xml:space="preserve"> </w:t>
      </w:r>
      <w:r>
        <w:rPr>
          <w:rStyle w:val="VerbatimChar"/>
        </w:rPr>
        <w:t xml:space="preserve">.dtsx</w:t>
      </w:r>
      <w:r>
        <w:t xml:space="preserve"> </w:t>
      </w:r>
      <w:r>
        <w:t xml:space="preserve">packages and the</w:t>
      </w:r>
      <w:r>
        <w:t xml:space="preserve"> </w:t>
      </w:r>
      <w:r>
        <w:rPr>
          <w:rStyle w:val="VerbatimChar"/>
        </w:rPr>
        <w:t xml:space="preserve">Datawarehouse_ACT</w:t>
      </w:r>
      <w:r>
        <w:t xml:space="preserve"> </w:t>
      </w:r>
      <w:r>
        <w:t xml:space="preserve">procedure/view exports to separate</w:t>
      </w:r>
      <w:r>
        <w:t xml:space="preserve"> </w:t>
      </w:r>
      <w:r>
        <w:t xml:space="preserve">“unused”</w:t>
      </w:r>
      <w:r>
        <w:t xml:space="preserve"> </w:t>
      </w:r>
      <w:r>
        <w:t xml:space="preserve">from</w:t>
      </w:r>
      <w:r>
        <w:t xml:space="preserve"> </w:t>
      </w:r>
      <w:r>
        <w:t xml:space="preserve">“used by something that isn’t Power BI”</w:t>
      </w:r>
      <w:r>
        <w:t xml:space="preserve">.</w:t>
      </w:r>
    </w:p>
    <w:bookmarkStart w:id="43" w:name="X6f6585c51066ffb016a33348e07b394deed6c92"/>
    <w:p>
      <w:pPr>
        <w:pStyle w:val="Heading3"/>
      </w:pPr>
      <w:r>
        <w:t xml:space="preserve">8.1 Headline — most of the warehouse is not used by 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Reachable from Power 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Operational (SSIS / DW_ACT)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Referenced by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tables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dbt rebuild is 35 views, not 66.</w:t>
      </w:r>
      <w:r>
        <w:t xml:space="preserve"> </w:t>
      </w:r>
      <w:r>
        <w:t xml:space="preserve">Roughly a third of the view layer and over half the landed</w:t>
      </w:r>
      <w:r>
        <w:t xml:space="preserve"> </w:t>
      </w:r>
      <w:r>
        <w:t xml:space="preserve">tables have no consumer in Power BI, SSIS, or</w:t>
      </w:r>
      <w:r>
        <w:t xml:space="preserve"> </w:t>
      </w:r>
      <w:r>
        <w:rPr>
          <w:rStyle w:val="VerbatimChar"/>
        </w:rPr>
        <w:t xml:space="preserve">Datawarehouse_ACT</w:t>
      </w:r>
      <w:r>
        <w:t xml:space="preserve">.</w:t>
      </w:r>
    </w:p>
    <w:bookmarkEnd w:id="43"/>
    <w:bookmarkStart w:id="44" w:name="the-25-unreferenced-views"/>
    <w:p>
      <w:pPr>
        <w:pStyle w:val="Heading3"/>
      </w:pPr>
      <w:r>
        <w:t xml:space="preserve">8.2 The 25 unreferenced views</w:t>
      </w:r>
    </w:p>
    <w:p>
      <w:pPr>
        <w:pStyle w:val="FirstParagraph"/>
      </w:pPr>
      <w:r>
        <w:rPr>
          <w:rStyle w:val="VerbatimChar"/>
        </w:rPr>
        <w:t xml:space="preserve">AllContract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BudgetPlanning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Budget_TimesheetByLevel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CRM_Contract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CRM_Contract_fees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CRM_Dead_Reason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CRM_Dim_Project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CRM_Dim_Target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Dim_FinancialOffices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Dim_Goal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Dim_Objective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Emp_ContractExpiredWithin3Month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Emp_Transfer_2nd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Fact_ActualIndirectCost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Fact_BudgetedHoursbyEmpLevel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Fact_Fin_InstantBacklog_View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Fact_Fin_InstantBacklogDelta_View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Fact_MonthlyPnLGrossMargin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Fact_NavisionTimeSheet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Fact_Strategic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Fact_SubconRevCostToExclude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Fact_TrainingKPI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Reminder_Project_Key_Contact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Strategic_Summarize</w:t>
      </w:r>
    </w:p>
    <w:p>
      <w:pPr>
        <w:pStyle w:val="BodyText"/>
      </w:pPr>
      <w:r>
        <w:t xml:space="preserve">Only one (</w:t>
      </w:r>
      <w:r>
        <w:rPr>
          <w:rStyle w:val="VerbatimChar"/>
        </w:rPr>
        <w:t xml:space="preserve">Fact_BudgetedHoursbyEmpLevel</w:t>
      </w:r>
      <w:r>
        <w:t xml:space="preserve">) is referenced by another view, and that referrer is itself</w:t>
      </w:r>
      <w:r>
        <w:t xml:space="preserve"> </w:t>
      </w:r>
      <w:r>
        <w:t xml:space="preserve">unreferenced — so the whole set drops as a unit.</w:t>
      </w:r>
    </w:p>
    <w:p>
      <w:pPr>
        <w:pStyle w:val="BlockText"/>
      </w:pPr>
      <w:r>
        <w:rPr>
          <w:b/>
          <w:bCs/>
        </w:rPr>
        <w:t xml:space="preserve">Caveat:</w:t>
      </w:r>
      <w:r>
        <w:t xml:space="preserve"> </w:t>
      </w:r>
      <w:r>
        <w:t xml:space="preserve">“unreferenced”</w:t>
      </w:r>
      <w:r>
        <w:t xml:space="preserve"> </w:t>
      </w:r>
      <w:r>
        <w:t xml:space="preserve">here means no Power BI model, no SSIS package, and no</w:t>
      </w:r>
      <w:r>
        <w:t xml:space="preserve"> </w:t>
      </w:r>
      <w:r>
        <w:rPr>
          <w:rStyle w:val="VerbatimChar"/>
        </w:rPr>
        <w:t xml:space="preserve">Datawarehouse_ACT</w:t>
      </w:r>
      <w:r>
        <w:t xml:space="preserve"> </w:t>
      </w:r>
      <w:r>
        <w:t xml:space="preserve">object points at them. A human querying them from Excel or SSMS would not</w:t>
      </w:r>
      <w:r>
        <w:t xml:space="preserve"> </w:t>
      </w:r>
      <w:r>
        <w:t xml:space="preserve">appear in this evidence. Settle that with open question #2 before deleting — but</w:t>
      </w:r>
      <w:r>
        <w:t xml:space="preserve"> </w:t>
      </w:r>
      <w:r>
        <w:rPr>
          <w:b/>
          <w:bCs/>
        </w:rPr>
        <w:t xml:space="preserve">do not port them</w:t>
      </w:r>
      <w:r>
        <w:rPr>
          <w:b/>
          <w:bCs/>
        </w:rPr>
        <w:t xml:space="preserve"> </w:t>
      </w:r>
      <w:r>
        <w:rPr>
          <w:b/>
          <w:bCs/>
        </w:rPr>
        <w:t xml:space="preserve">to dbt on spec.</w:t>
      </w:r>
    </w:p>
    <w:p>
      <w:pPr>
        <w:pStyle w:val="FirstParagraph"/>
      </w:pPr>
      <w:r>
        <w:rPr>
          <w:b/>
          <w:bCs/>
        </w:rPr>
        <w:t xml:space="preserve">7 base tables are loaded by nothing and read by nothing:</w:t>
      </w:r>
      <w:r>
        <w:t xml:space="preserve"> </w:t>
      </w:r>
      <w:r>
        <w:rPr>
          <w:rStyle w:val="VerbatimChar"/>
        </w:rPr>
        <w:t xml:space="preserve">AI_MonthlyReport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DimDate_Post2025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Fact_Fin_Backlog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backup_TS_PHL</w:t>
      </w:r>
      <w:r>
        <w:t xml:space="preserve">,</w:t>
      </w:r>
      <w:r>
        <w:t xml:space="preserve"> </w:t>
      </w:r>
      <w:r>
        <w:rPr>
          <w:rStyle w:val="VerbatimChar"/>
        </w:rPr>
        <w:t xml:space="preserve">prm_budget_revision_position_description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sysdiagrams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timesheet_phase</w:t>
      </w:r>
      <w:r>
        <w:t xml:space="preserve">. (</w:t>
      </w:r>
      <w:r>
        <w:rPr>
          <w:rStyle w:val="VerbatimChar"/>
        </w:rPr>
        <w:t xml:space="preserve">backup_TS_PHL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sysdiagrams</w:t>
      </w:r>
      <w:r>
        <w:t xml:space="preserve"> </w:t>
      </w:r>
      <w:r>
        <w:t xml:space="preserve">are self-evidently leftovers.)</w:t>
      </w:r>
    </w:p>
    <w:bookmarkEnd w:id="44"/>
    <w:bookmarkStart w:id="45" w:name="X7f76120ee9d7c76a258906ec7d5b61f0056df9a"/>
    <w:p>
      <w:pPr>
        <w:pStyle w:val="Heading3"/>
      </w:pPr>
      <w:r>
        <w:t xml:space="preserve">8.3 Six views are operational, not reporting — do not mistake them for dead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DeltaTS_IntranetTSSummary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ACT_SendTSDelta.dtsx</w:t>
            </w:r>
            <w:r>
              <w:t xml:space="preserve"> </w:t>
            </w:r>
            <w:r>
              <w:t xml:space="preserve">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DeltaTS_NavTSSummary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DeltaTS_DeltaToSendInIntranet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DeltaTS_NAVTSCreationToSendInIntranet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DeltaTS_NAVTSRemovalToSendInIntranet</w:t>
            </w:r>
          </w:p>
        </w:tc>
        <w:tc>
          <w:tcPr/>
          <w:p>
            <w:pPr>
              <w:pStyle w:val="Compact"/>
            </w:pPr>
            <w:r>
              <w:t xml:space="preserve">reached via</w:t>
            </w:r>
            <w:r>
              <w:t xml:space="preserve"> </w:t>
            </w:r>
            <w:r>
              <w:rPr>
                <w:rStyle w:val="VerbatimChar"/>
              </w:rPr>
              <w:t xml:space="preserve">Datawarehouse_ACT.DeltaTS_SummaryToSendInIntranet</w:t>
            </w:r>
            <w:r>
              <w:t xml:space="preserve">, which</w:t>
            </w:r>
            <w:r>
              <w:t xml:space="preserve"> </w:t>
            </w:r>
            <w:r>
              <w:rPr>
                <w:rStyle w:val="VerbatimChar"/>
              </w:rPr>
              <w:t xml:space="preserve">ACT_SendTSDelta.dtsx</w:t>
            </w:r>
            <w:r>
              <w:t xml:space="preserve"> </w:t>
            </w:r>
            <w:r>
              <w:t xml:space="preserve">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IntToNAV_DataPatchOPSStatus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ACT_PacthNavData.dtsx</w:t>
            </w:r>
            <w:r>
              <w:t xml:space="preserve"> </w:t>
            </w:r>
            <w:r>
              <w:t xml:space="preserve">(step 1)</w:t>
            </w:r>
          </w:p>
        </w:tc>
      </w:tr>
    </w:tbl>
    <w:p>
      <w:pPr>
        <w:pStyle w:val="BodyText"/>
      </w:pPr>
      <w:r>
        <w:t xml:space="preserve">A naive</w:t>
      </w:r>
      <w:r>
        <w:t xml:space="preserve"> </w:t>
      </w:r>
      <w:r>
        <w:t xml:space="preserve">“not used by Power BI, therefore drop”</w:t>
      </w:r>
      <w:r>
        <w:t xml:space="preserve"> </w:t>
      </w:r>
      <w:r>
        <w:t xml:space="preserve">pass would delete the entire timesheet-delta chain.</w:t>
      </w:r>
      <w:r>
        <w:t xml:space="preserve"> </w:t>
      </w:r>
      <w:r>
        <w:t xml:space="preserve">All six retire</w:t>
      </w:r>
      <w:r>
        <w:t xml:space="preserve"> </w:t>
      </w:r>
      <w:r>
        <w:rPr>
          <w:i/>
          <w:iCs/>
        </w:rPr>
        <w:t xml:space="preserve">by design</w:t>
      </w:r>
      <w:r>
        <w:t xml:space="preserve"> </w:t>
      </w:r>
      <w:r>
        <w:t xml:space="preserve">under Phase D (entry-level feed), not by cleanup.</w:t>
      </w:r>
    </w:p>
    <w:bookmarkEnd w:id="45"/>
    <w:bookmarkStart w:id="46" w:name="Xaa24ec5bdb903511560e350a9ab90d90e097dfb"/>
    <w:p>
      <w:pPr>
        <w:pStyle w:val="Heading3"/>
      </w:pPr>
      <w:r>
        <w:t xml:space="preserve">8.4 The two chokepoints — and why they are smaller than they look</w:t>
      </w:r>
    </w:p>
    <w:p>
      <w:pPr>
        <w:pStyle w:val="FirstParagraph"/>
      </w:pPr>
      <w:r>
        <w:t xml:space="preserve">Of the 35 Power BI-reachable views,</w:t>
      </w:r>
      <w:r>
        <w:t xml:space="preserve"> </w:t>
      </w:r>
      <w:r>
        <w:rPr>
          <w:b/>
          <w:bCs/>
        </w:rPr>
        <w:t xml:space="preserve">17 touch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Datawarehouse_ACT</w:t>
      </w:r>
      <w:r>
        <w:t xml:space="preserve">. The external surface is only</w:t>
      </w:r>
      <w:r>
        <w:t xml:space="preserve"> </w:t>
      </w:r>
      <w:r>
        <w:t xml:space="preserve">11 distinct objects:</w:t>
      </w:r>
    </w:p>
    <w:p>
      <w:pPr>
        <w:pStyle w:val="BodyText"/>
      </w:pPr>
      <w:r>
        <w:rPr>
          <w:rStyle w:val="VerbatimChar"/>
        </w:rPr>
        <w:t xml:space="preserve">ACT_Entities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Contract_Summary_View_BI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Dim_CustLedgerEntries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Dim_GLEntry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Dim_GLSetup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Dim_JobLedgerEntry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Dim_JobTaskLinesDepartmentPhaseWise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Dim_JobVariations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Fact_Backlog_Historic_ContractWise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ValuatedTimesheet</w:t>
      </w:r>
    </w:p>
    <w:p>
      <w:pPr>
        <w:pStyle w:val="BodyText"/>
      </w:pPr>
      <w:r>
        <w:t xml:space="preserve">Two of those are</w:t>
      </w:r>
      <w:r>
        <w:t xml:space="preserve"> </w:t>
      </w:r>
      <w:r>
        <w:rPr>
          <w:b/>
          <w:bCs/>
        </w:rPr>
        <w:t xml:space="preserve">master data, not transactional</w:t>
      </w:r>
      <w:r>
        <w:t xml:space="preserve">, and they are what drag the HR reports into the</w:t>
      </w:r>
      <w:r>
        <w:t xml:space="preserve"> </w:t>
      </w:r>
      <w:r>
        <w:t xml:space="preserve">NAV half: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ACT_Entities</w:t>
      </w:r>
      <w:r>
        <w:t xml:space="preserve"> </w:t>
      </w:r>
      <w:r>
        <w:t xml:space="preserve">— the legal-entity / office register (21 active entities).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Dim_GLSetup</w:t>
      </w:r>
      <w:r>
        <w:t xml:space="preserve"> </w:t>
      </w:r>
      <w:r>
        <w:t xml:space="preserve">— local currency and VAT rate per entity.</w:t>
      </w:r>
    </w:p>
    <w:p>
      <w:pPr>
        <w:pStyle w:val="FirstParagraph"/>
      </w:pPr>
      <w:r>
        <w:rPr>
          <w:rStyle w:val="VerbatimChar"/>
        </w:rPr>
        <w:t xml:space="preserve">Dim_Offices</w:t>
      </w:r>
      <w:r>
        <w:t xml:space="preserve"> </w:t>
      </w:r>
      <w:r>
        <w:t xml:space="preserve">joins both,</w:t>
      </w:r>
      <w:r>
        <w:t xml:space="preserve"> </w:t>
      </w:r>
      <w:r>
        <w:rPr>
          <w:rStyle w:val="VerbatimChar"/>
        </w:rPr>
        <w:t xml:space="preserve">Emp_Training</w:t>
      </w:r>
      <w:r>
        <w:t xml:space="preserve"> </w:t>
      </w:r>
      <w:r>
        <w:t xml:space="preserve">joins</w:t>
      </w:r>
      <w:r>
        <w:t xml:space="preserve"> </w:t>
      </w:r>
      <w:r>
        <w:rPr>
          <w:rStyle w:val="VerbatimChar"/>
        </w:rPr>
        <w:t xml:space="preserve">Dim_Offices</w:t>
      </w:r>
      <w:r>
        <w:t xml:space="preserve">, and HR-Dashboard reads</w:t>
      </w:r>
      <w:r>
        <w:t xml:space="preserve"> </w:t>
      </w:r>
      <w:r>
        <w:rPr>
          <w:rStyle w:val="VerbatimChar"/>
        </w:rPr>
        <w:t xml:space="preserve">Emp_Training</w:t>
      </w:r>
      <w:r>
        <w:t xml:space="preserve">.</w:t>
      </w:r>
      <w:r>
        <w:t xml:space="preserve"> </w:t>
      </w:r>
      <w:r>
        <w:t xml:space="preserve">So HR-Dashboard’s only tie to the old warehouse is the entity master.</w:t>
      </w:r>
    </w:p>
    <w:p>
      <w:pPr>
        <w:pStyle w:val="BlockText"/>
      </w:pPr>
      <w:r>
        <w:rPr>
          <w:b/>
          <w:bCs/>
        </w:rPr>
        <w:t xml:space="preserve">This is the same master data the DW country/office/entity workstream is already validating.</w:t>
      </w:r>
      <w:r>
        <w:t xml:space="preserve"> </w:t>
      </w:r>
      <w:r>
        <w:t xml:space="preserve">Re-homing</w:t>
      </w:r>
      <w:r>
        <w:t xml:space="preserve"> </w:t>
      </w:r>
      <w:r>
        <w:rPr>
          <w:rStyle w:val="VerbatimChar"/>
        </w:rPr>
        <w:t xml:space="preserve">ACT_Entities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Dim_GLSetup</w:t>
      </w:r>
      <w:r>
        <w:t xml:space="preserve"> </w:t>
      </w:r>
      <w:r>
        <w:t xml:space="preserve">as owned master-data tables in the new warehouse</w:t>
      </w:r>
      <w:r>
        <w:t xml:space="preserve"> </w:t>
      </w:r>
      <w:r>
        <w:t xml:space="preserve">unblocks HR-Dashboard completely, and removes the entity register from the ERP’s custody —</w:t>
      </w:r>
      <w:r>
        <w:t xml:space="preserve"> </w:t>
      </w:r>
      <w:r>
        <w:t xml:space="preserve">which is the right place for it regardless of BC.</w:t>
      </w:r>
    </w:p>
    <w:p>
      <w:pPr>
        <w:pStyle w:val="FirstParagraph"/>
      </w:pPr>
      <w:r>
        <w:rPr>
          <w:b/>
          <w:bCs/>
        </w:rPr>
        <w:t xml:space="preserve">Timesheet-Analysis has a one-view fix.</w:t>
      </w:r>
      <w:r>
        <w:t xml:space="preserve"> </w:t>
      </w:r>
      <w:r>
        <w:t xml:space="preserve">Its only path to</w:t>
      </w:r>
      <w:r>
        <w:t xml:space="preserve"> </w:t>
      </w:r>
      <w:r>
        <w:rPr>
          <w:rStyle w:val="VerbatimChar"/>
        </w:rPr>
        <w:t xml:space="preserve">Datawarehouse_ACT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Timesheet-Analysis -&gt; Dim_Phases -&gt; Fact_Budget -&gt; Dim_JobTaskLinesDepartmentPhaseWise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Dim_Phases</w:t>
      </w:r>
      <w:r>
        <w:t xml:space="preserve"> </w:t>
      </w:r>
      <w:r>
        <w:t xml:space="preserve">is nothing but: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contractMilestoneName, contractMilestoneCode, ISNULL(ordre.[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Intranet_Warehouse.dbo.Fact_Budget b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Intranet_Warehouse.dbo.Dim_PhasesOrder ordre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A phase dimension derived by</w:t>
      </w:r>
      <w:r>
        <w:t xml:space="preserve"> </w:t>
      </w:r>
      <w:r>
        <w:rPr>
          <w:rStyle w:val="VerbatimChar"/>
        </w:rPr>
        <w:t xml:space="preserve">SELECT DISTINCT</w:t>
      </w:r>
      <w:r>
        <w:t xml:space="preserve"> </w:t>
      </w:r>
      <w:r>
        <w:t xml:space="preserve">off a NAV-sourced fact table — when the phase list</w:t>
      </w:r>
      <w:r>
        <w:t xml:space="preserve"> </w:t>
      </w:r>
      <w:r>
        <w:t xml:space="preserve">exists natively in the Intranet as</w:t>
      </w:r>
      <w:r>
        <w:t xml:space="preserve"> </w:t>
      </w:r>
      <w:r>
        <w:rPr>
          <w:rStyle w:val="VerbatimChar"/>
        </w:rPr>
        <w:t xml:space="preserve">timesheet_phase_2015</w:t>
      </w:r>
      <w:r>
        <w:t xml:space="preserve">.</w:t>
      </w:r>
      <w:r>
        <w:t xml:space="preserve"> </w:t>
      </w:r>
      <w:r>
        <w:rPr>
          <w:b/>
          <w:bCs/>
        </w:rPr>
        <w:t xml:space="preserve">Re-source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Dim_Phases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timesheet_phase_2015</w:t>
      </w:r>
      <w:r>
        <w:rPr>
          <w:b/>
          <w:bCs/>
        </w:rPr>
        <w:t xml:space="preserve"> </w:t>
      </w:r>
      <w:r>
        <w:rPr>
          <w:b/>
          <w:bCs/>
        </w:rPr>
        <w:t xml:space="preserve">and Timesheet-Analysis becomes entirely NAV-free.</w:t>
      </w:r>
    </w:p>
    <w:bookmarkEnd w:id="46"/>
    <w:bookmarkStart w:id="47" w:name="revised-phase-b-scope"/>
    <w:p>
      <w:pPr>
        <w:pStyle w:val="Heading3"/>
      </w:pPr>
      <w:r>
        <w:t xml:space="preserve">8.5 Revised Phase B scope</w:t>
      </w:r>
    </w:p>
    <w:p>
      <w:pPr>
        <w:pStyle w:val="FirstParagraph"/>
      </w:pPr>
      <w:r>
        <w:t xml:space="preserve">With those two changes, Phase B (HR-Dashboard + Timesheet-Analysis on Azure PostgreSQL) 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 to rebuild as dbt models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tables to 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External-database dependencies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none</w:t>
            </w:r>
            <w:r>
              <w:t xml:space="preserve">, once</w:t>
            </w:r>
            <w:r>
              <w:t xml:space="preserve"> </w:t>
            </w:r>
            <w:r>
              <w:rPr>
                <w:rStyle w:val="VerbatimChar"/>
              </w:rPr>
              <w:t xml:space="preserve">ACT_Entities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Dim_GLSetup</w:t>
            </w:r>
            <w:r>
              <w:t xml:space="preserve"> </w:t>
            </w:r>
            <w:r>
              <w:t xml:space="preserve">are master data and</w:t>
            </w:r>
            <w:r>
              <w:t xml:space="preserve"> </w:t>
            </w:r>
            <w:r>
              <w:rPr>
                <w:rStyle w:val="VerbatimChar"/>
              </w:rPr>
              <w:t xml:space="preserve">Dim_Phases</w:t>
            </w:r>
            <w:r>
              <w:t xml:space="preserve"> </w:t>
            </w:r>
            <w:r>
              <w:t xml:space="preserve">is re-sourced</w:t>
            </w:r>
          </w:p>
        </w:tc>
      </w:tr>
    </w:tbl>
    <w:p>
      <w:pPr>
        <w:pStyle w:val="BodyText"/>
      </w:pPr>
      <w:r>
        <w:t xml:space="preserve">Against the headline figures in the reference doc (66 views, 73 tables), that is roughly a quarter</w:t>
      </w:r>
      <w:r>
        <w:t xml:space="preserve"> </w:t>
      </w:r>
      <w:r>
        <w:t xml:space="preserve">of the work — and it carries no ERP dependency at all, so it can start before any BC decision.</w:t>
      </w:r>
    </w:p>
    <w:p>
      <w:pPr>
        <w:pStyle w:val="BodyText"/>
      </w:pPr>
      <w:r>
        <w:rPr>
          <w:b/>
          <w:bCs/>
        </w:rPr>
        <w:t xml:space="preserve">Order of work within Phase B:</w:t>
      </w:r>
    </w:p>
    <w:p>
      <w:pPr>
        <w:pStyle w:val="Compact"/>
        <w:numPr>
          <w:ilvl w:val="0"/>
          <w:numId w:val="1007"/>
        </w:numPr>
      </w:pPr>
      <w:r>
        <w:t xml:space="preserve">Re-source</w:t>
      </w:r>
      <w:r>
        <w:t xml:space="preserve"> </w:t>
      </w:r>
      <w:r>
        <w:rPr>
          <w:rStyle w:val="VerbatimChar"/>
        </w:rPr>
        <w:t xml:space="preserve">Dim_Phases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timesheet_phase_2015</w:t>
      </w:r>
      <w:r>
        <w:t xml:space="preserve"> </w:t>
      </w:r>
      <w:r>
        <w:rPr>
          <w:b/>
          <w:bCs/>
        </w:rPr>
        <w:t xml:space="preserve">on the current SQL Server first</w:t>
      </w:r>
      <w:r>
        <w:t xml:space="preserve">, and</w:t>
      </w:r>
      <w:r>
        <w:t xml:space="preserve"> </w:t>
      </w:r>
      <w:r>
        <w:t xml:space="preserve">confirm Timesheet-Analysis still reconciles. Cheap, reversible, and it proves the assumption</w:t>
      </w:r>
      <w:r>
        <w:t xml:space="preserve"> </w:t>
      </w:r>
      <w:r>
        <w:t xml:space="preserve">before the platform changes.</w:t>
      </w:r>
    </w:p>
    <w:p>
      <w:pPr>
        <w:pStyle w:val="Compact"/>
        <w:numPr>
          <w:ilvl w:val="0"/>
          <w:numId w:val="1007"/>
        </w:numPr>
      </w:pPr>
      <w:r>
        <w:t xml:space="preserve">Establish</w:t>
      </w:r>
      <w:r>
        <w:t xml:space="preserve"> </w:t>
      </w:r>
      <w:r>
        <w:rPr>
          <w:rStyle w:val="VerbatimChar"/>
        </w:rPr>
        <w:t xml:space="preserve">ACT_Entities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Dim_GLSetup</w:t>
      </w:r>
      <w:r>
        <w:t xml:space="preserve"> </w:t>
      </w:r>
      <w:r>
        <w:t xml:space="preserve">as master data in the new warehouse (joins the existing</w:t>
      </w:r>
      <w:r>
        <w:t xml:space="preserve"> </w:t>
      </w:r>
      <w:r>
        <w:t xml:space="preserve">country/office/entity workstream).</w:t>
      </w:r>
    </w:p>
    <w:p>
      <w:pPr>
        <w:pStyle w:val="Compact"/>
        <w:numPr>
          <w:ilvl w:val="0"/>
          <w:numId w:val="1007"/>
        </w:numPr>
      </w:pPr>
      <w:r>
        <w:t xml:space="preserve">Land the 26 tables, rebuild the 17 views, rebind the two reports.</w:t>
      </w:r>
    </w:p>
    <w:bookmarkEnd w:id="47"/>
    <w:bookmarkEnd w:id="48"/>
    <w:bookmarkEnd w:id="49"/>
    <w:sectPr w:rsidR="00310C62" w:rsidRPr="00310C62" w:rsidSect="00776C25">
      <w:headerReference r:id="rId10" w:type="first"/>
      <w:footerReference r:id="rId11" w:type="first"/>
      <w:type w:val="continuous"/>
      <w:pgSz w:h="16837" w:orient="portrait" w:w="11905"/>
      <w:pgMar w:bottom="1440" w:footer="288" w:gutter="0" w:header="720" w:left="1440" w:right="1440" w:top="1440"/>
      <w:cols w:space="720"/>
      <w:titlePg/>
      <w:docGrid w:linePitch="360"/>
      <w:headerReference r:id="Rd95ac3247fc74f8f" w:type="default"/>
      <w:footerReference r:id="R5a9fe2d84b294344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451"/>
      <w:gridCol w:w="5574"/>
    </w:tblGrid>
    <w:tr w:rsidRPr="00FD5666" w:rsidR="00FD5666" w:rsidTr="000B43C8" w14:paraId="1291A3F5" w14:textId="77777777">
      <w:tc>
        <w:tcPr>
          <w:tcW w:w="3528" w:type="dxa"/>
        </w:tcPr>
        <w:p w:rsidRPr="008F2E7D" w:rsidR="000B43C8" w:rsidRDefault="00FD5666" w14:paraId="6D83DEA7" w14:textId="220D594F">
          <w:pPr>
            <w:pStyle w:val="Footer"/>
            <w:rPr>
              <w:sz w:val="20"/>
              <w:szCs w:val="20"/>
              <w:highlight w:val="yellow"/>
            </w:rPr>
          </w:pPr>
          <w:r w:rsidRPr="008F2E7D">
            <w:rPr>
              <w:sz w:val="18"/>
              <w:szCs w:val="18"/>
              <w:highlight w:val="yellow"/>
            </w:rPr>
            <w:t>[doc. Number xxx]</w:t>
          </w:r>
        </w:p>
      </w:tc>
      <w:tc>
        <w:tcPr>
          <w:tcW w:w="5713" w:type="dxa"/>
          <w:vAlign w:val="center"/>
        </w:tcPr>
        <w:p w:rsidRPr="008F2E7D" w:rsidR="000B43C8" w:rsidP="00FD5666" w:rsidRDefault="008F2E7D" w14:paraId="770193D7" w14:textId="16CEEF8D">
          <w:pPr>
            <w:pStyle w:val="Footer"/>
            <w:jc w:val="right"/>
            <w:rPr>
              <w:highlight w:val="yellow"/>
            </w:rPr>
          </w:pPr>
          <w:r w:rsidRPr="008F2E7D">
            <w:rPr>
              <w:sz w:val="18"/>
              <w:szCs w:val="18"/>
              <w:highlight w:val="yellow"/>
            </w:rPr>
            <w:t>P</w:t>
          </w:r>
          <w:r w:rsidRPr="008F2E7D" w:rsidR="00FD5666">
            <w:rPr>
              <w:sz w:val="18"/>
              <w:szCs w:val="18"/>
              <w:highlight w:val="yellow"/>
            </w:rPr>
            <w:t>roject</w:t>
          </w:r>
          <w:r w:rsidRPr="008F2E7D">
            <w:rPr>
              <w:sz w:val="18"/>
              <w:szCs w:val="18"/>
              <w:highlight w:val="yellow"/>
            </w:rPr>
            <w:t xml:space="preserve"> </w:t>
          </w:r>
          <w:proofErr w:type="spellStart"/>
          <w:r w:rsidRPr="008F2E7D">
            <w:rPr>
              <w:sz w:val="18"/>
              <w:szCs w:val="18"/>
              <w:highlight w:val="yellow"/>
            </w:rPr>
            <w:t>xxxxxxx</w:t>
          </w:r>
          <w:proofErr w:type="spellEnd"/>
        </w:p>
      </w:tc>
    </w:tr>
  </w:tbl>
  <w:p w:rsidR="000B43C8" w:rsidRDefault="008F2E7D" w14:paraId="7BA92F69" w14:textId="4579CFC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DB17613" wp14:editId="29FF57C0">
              <wp:simplePos x="0" y="0"/>
              <wp:positionH relativeFrom="page">
                <wp:align>left</wp:align>
              </wp:positionH>
              <wp:positionV relativeFrom="paragraph">
                <wp:posOffset>-405130</wp:posOffset>
              </wp:positionV>
              <wp:extent cx="7635240" cy="0"/>
              <wp:effectExtent l="0" t="19050" r="41910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35240" cy="0"/>
                      </a:xfrm>
                      <a:prstGeom prst="line">
                        <a:avLst/>
                      </a:prstGeom>
                      <a:ln w="63500">
                        <a:gradFill flip="none" rotWithShape="1">
                          <a:gsLst>
                            <a:gs pos="53100">
                              <a:srgbClr val="00B9EF"/>
                            </a:gs>
                            <a:gs pos="0">
                              <a:srgbClr val="7FBC42"/>
                            </a:gs>
                            <a:gs pos="100000">
                              <a:srgbClr val="70CBF3"/>
                            </a:gs>
                          </a:gsLst>
                          <a:lin ang="0" scaled="1"/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2" style="position:absolute;z-index:25165568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" o:spid="_x0000_s1026" strokeweight="5pt" from="0,-31.9pt" to="601.2pt,-31.9pt" w14:anchorId="6F8298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">
              <v:stroke joinstyle="miter"/>
              <w10:wrap anchorx="page"/>
            </v:line>
          </w:pict>
        </mc:Fallback>
      </mc:AlternateContent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BCF040" w:rsidTr="46BCF040" w14:paraId="7BE6005B">
      <w:trPr>
        <w:trHeight w:val="300"/>
      </w:trPr>
      <w:tc>
        <w:tcPr>
          <w:tcW w:w="3005" w:type="dxa"/>
          <w:tcMar/>
        </w:tcPr>
        <w:p w:rsidR="46BCF040" w:rsidP="46BCF040" w:rsidRDefault="46BCF040" w14:paraId="16EBA164" w14:textId="557AA37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BCF040" w:rsidP="46BCF040" w:rsidRDefault="46BCF040" w14:paraId="750C363D" w14:textId="5A436F2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BCF040" w:rsidP="46BCF040" w:rsidRDefault="46BCF040" w14:paraId="1A7BC13F" w14:textId="2B57F5DC">
          <w:pPr>
            <w:pStyle w:val="Header"/>
            <w:bidi w:val="0"/>
            <w:ind w:right="-115"/>
            <w:jc w:val="right"/>
          </w:pPr>
        </w:p>
      </w:tc>
    </w:tr>
  </w:tbl>
  <w:p w:rsidR="46BCF040" w:rsidP="46BCF040" w:rsidRDefault="46BCF040" w14:paraId="009B19B9" w14:textId="7B0D3518">
    <w:pPr>
      <w:pStyle w:val="Footer"/>
      <w:bidi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9725D" w:rsidRDefault="00F9725D" w14:paraId="069FF5A2" w14:textId="238EA0CC">
    <w:pPr>
      <w:pStyle w:val="Header"/>
    </w:pPr>
    <w:r w:rsidR="7402FBD3">
      <w:drawing>
        <wp:inline wp14:editId="15CA9FAA" wp14:anchorId="00744662">
          <wp:extent cx="1199386" cy="721332"/>
          <wp:effectExtent l="0" t="0" r="1270" b="3175"/>
          <wp:docPr id="3" name="Picture 3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9386" cy="7213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  <w:p w:rsidR="000B43C8" w:rsidRDefault="00FB21AF" w14:paraId="6BD2BA21" w14:textId="6D25A46A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0FF4DA98" wp14:editId="44262C9E">
          <wp:simplePos x="0" y="0"/>
          <wp:positionH relativeFrom="margin">
            <wp:posOffset>-337564</wp:posOffset>
          </wp:positionH>
          <wp:positionV relativeFrom="paragraph">
            <wp:posOffset>703118</wp:posOffset>
          </wp:positionV>
          <wp:extent cx="7587907" cy="7884729"/>
          <wp:effectExtent l="0" t="0" r="0" b="254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2">
                    <a:alphaModFix am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07" cy="78847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5666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AF1BDF" wp14:editId="1BB10720">
              <wp:simplePos x="0" y="0"/>
              <wp:positionH relativeFrom="column">
                <wp:posOffset>-7620</wp:posOffset>
              </wp:positionH>
              <wp:positionV relativeFrom="paragraph">
                <wp:posOffset>92710</wp:posOffset>
              </wp:positionV>
              <wp:extent cx="5631180" cy="0"/>
              <wp:effectExtent l="0" t="19050" r="45720" b="381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31180" cy="0"/>
                      </a:xfrm>
                      <a:prstGeom prst="line">
                        <a:avLst/>
                      </a:prstGeom>
                      <a:ln w="63500">
                        <a:gradFill flip="none" rotWithShape="1">
                          <a:gsLst>
                            <a:gs pos="53800">
                              <a:srgbClr val="00B9EF"/>
                            </a:gs>
                            <a:gs pos="0">
                              <a:srgbClr val="7FBC42"/>
                            </a:gs>
                            <a:gs pos="100000">
                              <a:srgbClr val="70CBF3"/>
                            </a:gs>
                          </a:gsLst>
                          <a:lin ang="0" scaled="1"/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1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weight="5pt" from="-.6pt,7.3pt" to="442.8pt,7.3pt" w14:anchorId="0C51DB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">
              <v:stroke joinstyle="miter"/>
            </v:line>
          </w:pict>
        </mc:Fallback>
      </mc:AlternateConten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BCF040" w:rsidTr="46BCF040" w14:paraId="0E9F08CE">
      <w:trPr>
        <w:trHeight w:val="300"/>
      </w:trPr>
      <w:tc>
        <w:tcPr>
          <w:tcW w:w="3005" w:type="dxa"/>
          <w:tcMar/>
        </w:tcPr>
        <w:p w:rsidR="46BCF040" w:rsidP="46BCF040" w:rsidRDefault="46BCF040" w14:paraId="7708DDE4" w14:textId="743F851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BCF040" w:rsidP="46BCF040" w:rsidRDefault="46BCF040" w14:paraId="60580C7E" w14:textId="4AEC5C0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BCF040" w:rsidP="46BCF040" w:rsidRDefault="46BCF040" w14:paraId="57C3DBB0" w14:textId="1DCBE002">
          <w:pPr>
            <w:pStyle w:val="Header"/>
            <w:bidi w:val="0"/>
            <w:ind w:right="-115"/>
            <w:jc w:val="right"/>
          </w:pPr>
        </w:p>
      </w:tc>
    </w:tr>
  </w:tbl>
  <w:p w:rsidR="46BCF040" w:rsidP="46BCF040" w:rsidRDefault="46BCF040" w14:paraId="10D101FF" w14:textId="091917D8">
    <w:pPr>
      <w:pStyle w:val="Header"/>
      <w:bidi w:val="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dirty" w:spelling="clean"/>
  <w:stylePaneFormatFilter w:val="0004"/>
  <w:trackRevisions w:val="false"/>
  <w:doNotTrackMoves/>
  <w:defaultTabStop w:val="720"/>
  <w:drawingGridHorizontalSpacing w:val="100"/>
  <w:drawingGridVerticalSpacing w:val="360"/>
  <w:displayHorizontalDrawingGridEvery w:val="0"/>
  <w:displayVerticalDrawingGridEvery w:val="2"/>
  <w:characterSpacingControl w:val="doNotCompress"/>
  <w:savePreviewPicture/>
  <w:hdrShapeDefaults>
    <o:shapedefaults spidmax="2050" v:ext="edit">
      <o:colormru colors="#055e63" v:ext="edit"/>
    </o:shapedefaults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C8"/>
    <w:rsid w:val="000213AD"/>
    <w:rsid w:val="000665AC"/>
    <w:rsid w:val="00090D6E"/>
    <w:rsid w:val="000B43C8"/>
    <w:rsid w:val="002153C9"/>
    <w:rsid w:val="00230BD5"/>
    <w:rsid w:val="00310C62"/>
    <w:rsid w:val="00345911"/>
    <w:rsid w:val="004C1459"/>
    <w:rsid w:val="005C25C5"/>
    <w:rsid w:val="006343D2"/>
    <w:rsid w:val="006D51A2"/>
    <w:rsid w:val="00751405"/>
    <w:rsid w:val="00776C25"/>
    <w:rsid w:val="007A3076"/>
    <w:rsid w:val="007A5183"/>
    <w:rsid w:val="008571BE"/>
    <w:rsid w:val="0085742B"/>
    <w:rsid w:val="008F2E7D"/>
    <w:rsid w:val="00957982"/>
    <w:rsid w:val="00996443"/>
    <w:rsid w:val="00B44FD0"/>
    <w:rsid w:val="00B671D1"/>
    <w:rsid w:val="00C53A25"/>
    <w:rsid w:val="00C61B94"/>
    <w:rsid w:val="00D16238"/>
    <w:rsid w:val="00D63B88"/>
    <w:rsid w:val="00E2378D"/>
    <w:rsid w:val="00F133C0"/>
    <w:rsid w:val="00F352FA"/>
    <w:rsid w:val="00F36657"/>
    <w:rsid w:val="00F51A2A"/>
    <w:rsid w:val="00F56507"/>
    <w:rsid w:val="00F9725D"/>
    <w:rsid w:val="00FB21AF"/>
    <w:rsid w:val="00FD5666"/>
    <w:rsid w:val="46BCF040"/>
    <w:rsid w:val="7402FBD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o:colormru colors="#055e63" v:ext="edi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10C62"/>
    <w:rPr>
      <w:rFonts w:ascii="Helvetica" w:hAnsi="Helvetica"/>
    </w:rPr>
  </w:style>
  <w:style w:styleId="Heading1" w:type="paragraph">
    <w:name w:val="heading 1"/>
    <w:basedOn w:val="Normal"/>
    <w:next w:val="Normal"/>
    <w:link w:val="Heading1Char"/>
    <w:uiPriority w:val="9"/>
    <w:qFormat/>
    <w:rsid w:val="00310C62"/>
    <w:pPr>
      <w:keepNext/>
      <w:keepLines/>
      <w:spacing w:after="0" w:before="240"/>
      <w:outlineLvl w:val="0"/>
    </w:pPr>
    <w:rPr>
      <w:rFonts w:cstheme="majorBidi" w:eastAsiaTheme="majorEastAsia"/>
      <w:color w:val="055E63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10C62"/>
    <w:pPr>
      <w:keepNext/>
      <w:keepLines/>
      <w:spacing w:after="0" w:before="40"/>
      <w:outlineLvl w:val="1"/>
    </w:pPr>
    <w:rPr>
      <w:rFonts w:cstheme="majorBidi" w:eastAsiaTheme="majorEastAsia"/>
      <w:b/>
      <w:color w:val="055E63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4C1459"/>
    <w:pPr>
      <w:keepNext/>
      <w:keepLines/>
      <w:spacing w:after="0" w:before="40"/>
      <w:outlineLvl w:val="2"/>
    </w:pPr>
    <w:rPr>
      <w:rFonts w:ascii="Roboto" w:cstheme="majorBidi" w:eastAsiaTheme="majorEastAsia" w:hAnsi="Roboto"/>
      <w:color w:val="055E63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352FA"/>
    <w:pPr>
      <w:keepNext/>
      <w:keepLines/>
      <w:spacing w:after="0" w:before="40"/>
      <w:outlineLvl w:val="3"/>
    </w:pPr>
    <w:rPr>
      <w:rFonts w:cstheme="majorBidi" w:eastAsiaTheme="majorEastAsia"/>
      <w:i/>
      <w:iCs/>
      <w:color w:val="055E63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0B43C8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0B43C8"/>
  </w:style>
  <w:style w:styleId="Footer" w:type="paragraph">
    <w:name w:val="footer"/>
    <w:basedOn w:val="Normal"/>
    <w:link w:val="FooterChar"/>
    <w:uiPriority w:val="99"/>
    <w:unhideWhenUsed/>
    <w:rsid w:val="000B43C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0B43C8"/>
  </w:style>
  <w:style w:styleId="TableGrid" w:type="table">
    <w:name w:val="Table Grid"/>
    <w:basedOn w:val="TableNormal"/>
    <w:uiPriority w:val="39"/>
    <w:rsid w:val="000B43C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310C62"/>
    <w:rPr>
      <w:rFonts w:ascii="Helvetica" w:cstheme="majorBidi" w:eastAsiaTheme="majorEastAsia" w:hAnsi="Helvetica"/>
      <w:color w:val="055E63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310C62"/>
    <w:pPr>
      <w:spacing w:after="0" w:line="240" w:lineRule="auto"/>
      <w:contextualSpacing/>
    </w:pPr>
    <w:rPr>
      <w:rFonts w:cstheme="majorBidi" w:eastAsiaTheme="majorEastAsia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10C62"/>
    <w:rPr>
      <w:rFonts w:ascii="Helvetica" w:cstheme="majorBidi" w:eastAsiaTheme="majorEastAsia" w:hAnsi="Helvetica"/>
      <w:spacing w:val="-10"/>
      <w:kern w:val="28"/>
      <w:sz w:val="56"/>
      <w:szCs w:val="56"/>
    </w:rPr>
  </w:style>
  <w:style w:customStyle="1" w:styleId="Heading2Char" w:type="character">
    <w:name w:val="Heading 2 Char"/>
    <w:basedOn w:val="DefaultParagraphFont"/>
    <w:link w:val="Heading2"/>
    <w:uiPriority w:val="9"/>
    <w:rsid w:val="00310C62"/>
    <w:rPr>
      <w:rFonts w:ascii="Helvetica" w:cstheme="majorBidi" w:eastAsiaTheme="majorEastAsia" w:hAnsi="Helvetica"/>
      <w:b/>
      <w:color w:val="055E63"/>
      <w:sz w:val="26"/>
      <w:szCs w:val="26"/>
    </w:rPr>
  </w:style>
  <w:style w:styleId="IntenseEmphasis" w:type="character">
    <w:name w:val="Intense Emphasis"/>
    <w:basedOn w:val="DefaultParagraphFont"/>
    <w:uiPriority w:val="21"/>
    <w:qFormat/>
    <w:rsid w:val="004C1459"/>
    <w:rPr>
      <w:rFonts w:ascii="Helvetica" w:hAnsi="Helvetica"/>
      <w:i/>
      <w:iCs/>
      <w:color w:val="055E63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4C1459"/>
    <w:pPr>
      <w:pBdr>
        <w:top w:color="055E63" w:space="10" w:sz="4" w:val="single"/>
        <w:bottom w:color="055E63" w:space="10" w:sz="4" w:val="single"/>
      </w:pBdr>
      <w:spacing w:after="360" w:before="360"/>
      <w:ind w:left="864" w:right="864"/>
      <w:jc w:val="center"/>
    </w:pPr>
    <w:rPr>
      <w:i/>
      <w:iCs/>
      <w:color w:val="055E63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4C1459"/>
    <w:rPr>
      <w:rFonts w:ascii="Helvetica" w:hAnsi="Helvetica"/>
      <w:i/>
      <w:iCs/>
      <w:color w:val="055E63"/>
    </w:rPr>
  </w:style>
  <w:style w:styleId="IntenseReference" w:type="character">
    <w:name w:val="Intense Reference"/>
    <w:basedOn w:val="DefaultParagraphFont"/>
    <w:uiPriority w:val="32"/>
    <w:qFormat/>
    <w:rsid w:val="004C1459"/>
    <w:rPr>
      <w:rFonts w:ascii="Helvetica" w:hAnsi="Helvetica"/>
      <w:b/>
      <w:bCs/>
      <w:smallCaps/>
      <w:color w:val="055E63"/>
      <w:spacing w:val="5"/>
    </w:rPr>
  </w:style>
  <w:style w:styleId="Subtitle" w:type="paragraph">
    <w:name w:val="Subtitle"/>
    <w:basedOn w:val="Normal"/>
    <w:next w:val="Normal"/>
    <w:link w:val="SubtitleChar"/>
    <w:uiPriority w:val="11"/>
    <w:qFormat/>
    <w:rsid w:val="004C1459"/>
    <w:pPr>
      <w:numPr>
        <w:ilvl w:val="1"/>
      </w:numPr>
    </w:pPr>
    <w:rPr>
      <w:rFonts w:ascii="Roboto" w:eastAsiaTheme="minorEastAsia" w:hAnsi="Roboto"/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4C1459"/>
    <w:rPr>
      <w:rFonts w:ascii="Roboto" w:eastAsiaTheme="minorEastAsia" w:hAnsi="Roboto"/>
      <w:color w:themeColor="text1" w:themeTint="A5" w:val="5A5A5A"/>
      <w:spacing w:val="15"/>
    </w:rPr>
  </w:style>
  <w:style w:customStyle="1" w:styleId="Heading3Char" w:type="character">
    <w:name w:val="Heading 3 Char"/>
    <w:basedOn w:val="DefaultParagraphFont"/>
    <w:link w:val="Heading3"/>
    <w:uiPriority w:val="9"/>
    <w:rsid w:val="004C1459"/>
    <w:rPr>
      <w:rFonts w:ascii="Roboto" w:cstheme="majorBidi" w:eastAsiaTheme="majorEastAsia" w:hAnsi="Roboto"/>
      <w:color w:val="055E63"/>
      <w:sz w:val="24"/>
      <w:szCs w:val="24"/>
    </w:rPr>
  </w:style>
  <w:style w:styleId="SubtleReference" w:type="character">
    <w:name w:val="Subtle Reference"/>
    <w:basedOn w:val="DefaultParagraphFont"/>
    <w:uiPriority w:val="31"/>
    <w:qFormat/>
    <w:rsid w:val="004C1459"/>
    <w:rPr>
      <w:rFonts w:ascii="Roboto" w:hAnsi="Roboto"/>
      <w:smallCaps/>
      <w:color w:themeColor="text1" w:themeTint="A5" w:val="5A5A5A"/>
    </w:rPr>
  </w:style>
  <w:style w:styleId="SubtleEmphasis" w:type="character">
    <w:name w:val="Subtle Emphasis"/>
    <w:basedOn w:val="DefaultParagraphFont"/>
    <w:uiPriority w:val="19"/>
    <w:qFormat/>
    <w:rsid w:val="004C1459"/>
    <w:rPr>
      <w:rFonts w:ascii="Roboto" w:hAnsi="Roboto"/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4C1459"/>
    <w:rPr>
      <w:rFonts w:ascii="Roboto" w:hAnsi="Roboto"/>
      <w:i/>
      <w:iCs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352FA"/>
    <w:rPr>
      <w:rFonts w:ascii="Helvetica" w:cstheme="majorBidi" w:eastAsiaTheme="majorEastAsia" w:hAnsi="Helvetica"/>
      <w:i/>
      <w:iCs/>
      <w:color w:val="055E63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5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styles" Target="styles.xml"/><Relationship Id="rId13" Type="http://schemas.openxmlformats.org/officeDocument/2006/relationships/footnotes" Target="footnotes.xml"/><Relationship Id="R5a9fe2d84b294344" Type="http://schemas.openxmlformats.org/officeDocument/2006/relationships/footer" Target="footer2.xml"/><Relationship Id="rId21" Type="http://schemas.openxmlformats.org/officeDocument/2006/relationships/customXml" Target="../customXml/item2.xml"/><Relationship Id="rId17" Type="http://schemas.openxmlformats.org/officeDocument/2006/relationships/settings" Target="settings.xml"/><Relationship Id="rId12" Type="http://schemas.openxmlformats.org/officeDocument/2006/relationships/comments" Target="comments.xml"/><Relationship Id="rId16" Type="http://schemas.openxmlformats.org/officeDocument/2006/relationships/webSettings" Target="webSettings.xml"/><Relationship Id="rId20" Type="http://schemas.openxmlformats.org/officeDocument/2006/relationships/customXml" Target="../customXml/item1.xml"/><Relationship Id="rId11" Type="http://schemas.openxmlformats.org/officeDocument/2006/relationships/footer" Target="footer1.xml"/><Relationship Id="Rd95ac3247fc74f8f" Type="http://schemas.openxmlformats.org/officeDocument/2006/relationships/header" Target="header2.xml"/><Relationship Id="rId15" Type="http://schemas.openxmlformats.org/officeDocument/2006/relationships/fontTable" Target="fontTable.xml"/><Relationship Id="rId19" Type="http://schemas.openxmlformats.org/officeDocument/2006/relationships/numbering" Target="numbering.xml"/><Relationship Id="rId10" Type="http://schemas.openxmlformats.org/officeDocument/2006/relationships/header" Target="header1.xml"/><Relationship Id="rId14" Type="http://schemas.openxmlformats.org/officeDocument/2006/relationships/theme" Target="theme/theme1.xml"/><Relationship Id="rId22" Type="http://schemas.openxmlformats.org/officeDocument/2006/relationships/customXml" Target="../customXml/item3.xm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1A5F15673AB843BE9F31F2F7D212A7" ma:contentTypeVersion="3" ma:contentTypeDescription="Create a new document." ma:contentTypeScope="" ma:versionID="aa0bdd15eb2df431d90015dab69ae332">
  <xsd:schema xmlns:xsd="http://www.w3.org/2001/XMLSchema" xmlns:xs="http://www.w3.org/2001/XMLSchema" xmlns:p="http://schemas.microsoft.com/office/2006/metadata/properties" xmlns:ns2="8300b161-5b96-4b23-af01-ed0f77cbe4cf" targetNamespace="http://schemas.microsoft.com/office/2006/metadata/properties" ma:root="true" ma:fieldsID="4bd3c63d454e7fbeca8d723c3311d3b7" ns2:_="">
    <xsd:import namespace="8300b161-5b96-4b23-af01-ed0f77cbe4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00b161-5b96-4b23-af01-ed0f77cbe4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C8D240-27E8-4D1A-A53D-350F81F15726}"/>
</file>

<file path=customXml/itemProps2.xml><?xml version="1.0" encoding="utf-8"?>
<ds:datastoreItem xmlns:ds="http://schemas.openxmlformats.org/officeDocument/2006/customXml" ds:itemID="{016B498B-73A4-44FD-9392-BE12517E31C5}"/>
</file>

<file path=customXml/itemProps3.xml><?xml version="1.0" encoding="utf-8"?>
<ds:datastoreItem xmlns:ds="http://schemas.openxmlformats.org/officeDocument/2006/customXml" ds:itemID="{5B010FFC-855D-4E94-A258-60305E41684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Old Data Warehouse — Decommission Impact &amp; Migration Register</dc:title>
  <dc:creator/>
  <cp:keywords/>
  <dcterms:created xsi:type="dcterms:W3CDTF">2026-10-05T08:38:15Z</dcterms:created>
  <dcterms:modified xsi:type="dcterms:W3CDTF">2026-10-05T08:38:15Z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0x010100BA1A5F15673AB843BE9F31F2F7D212A7</vt:lpwstr>
  </property>
</Properties>
</file>