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0280" cy="2070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clab_isotipo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07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jc w:val="center"/>
      </w:pPr>
      <w:r>
        <w:rPr>
          <w:rFonts w:ascii="Lato" w:hAnsi="Lato" w:eastAsia="Lato"/>
          <w:b/>
          <w:i w:val="0"/>
          <w:color w:val="1A4F82"/>
          <w:sz w:val="68"/>
        </w:rPr>
        <w:t>PCC</w:t>
      </w:r>
      <w:r>
        <w:rPr>
          <w:rFonts w:ascii="Lato" w:hAnsi="Lato" w:eastAsia="Lato"/>
          <w:b/>
          <w:i w:val="0"/>
          <w:color w:val="38B2A3"/>
          <w:sz w:val="68"/>
        </w:rPr>
        <w:t>LAB</w:t>
      </w:r>
    </w:p>
    <w:p>
      <w:pPr>
        <w:spacing w:before="20" w:after="200" w:line="276" w:lineRule="auto"/>
        <w:jc w:val="center"/>
      </w:pPr>
      <w:r>
        <w:rPr>
          <w:rFonts w:ascii="Roboto" w:hAnsi="Roboto" w:eastAsia="Roboto"/>
          <w:b/>
          <w:i w:val="0"/>
          <w:color w:val="607D8B"/>
          <w:sz w:val="27"/>
        </w:rPr>
        <w:t>MANUAL DE MARCA E IDENTIDAD VISUAL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hRule="auto"/>
        </w:trPr>
        <w:tc>
          <w:tcPr>
            <w:tcW w:type="dxa" w:w="2324"/>
            <w:vAlign w:val="center"/>
            <w:tcBorders>
              <w:left w:val="single" w:sz="8" w:color="D9E1E6"/>
              <w:top w:val="single" w:sz="8" w:color="D9E1E6"/>
              <w:right w:val="single" w:sz="8" w:color="D9E1E6"/>
              <w:bottom w:val="single" w:sz="8" w:color="D9E1E6"/>
            </w:tcBorders>
            <w:shd w:fill="F4F7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Roboto" w:hAnsi="Roboto" w:eastAsia="Roboto"/>
                <w:b/>
                <w:i w:val="0"/>
                <w:color w:val="1A4F82"/>
                <w:sz w:val="21"/>
              </w:rPr>
              <w:t>Alcance</w:t>
            </w:r>
          </w:p>
        </w:tc>
        <w:tc>
          <w:tcPr>
            <w:tcW w:type="dxa" w:w="5896"/>
            <w:vAlign w:val="center"/>
            <w:tcBorders>
              <w:left w:val="single" w:sz="8" w:color="D9E1E6"/>
              <w:top w:val="single" w:sz="8" w:color="D9E1E6"/>
              <w:right w:val="single" w:sz="8" w:color="D9E1E6"/>
              <w:bottom w:val="single" w:sz="8" w:color="D9E1E6"/>
            </w:tcBorders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20"/>
              </w:rPr>
              <w:t>Identidad visual, verbal y de interfaz para producto digital, documentación y exportables.</w:t>
            </w:r>
          </w:p>
        </w:tc>
      </w:tr>
      <w:tr>
        <w:trPr>
          <w:trHeight w:hRule="auto"/>
        </w:trPr>
        <w:tc>
          <w:tcPr>
            <w:tcW w:type="dxa" w:w="2324"/>
            <w:vAlign w:val="center"/>
            <w:tcBorders>
              <w:left w:val="single" w:sz="8" w:color="D9E1E6"/>
              <w:top w:val="single" w:sz="8" w:color="D9E1E6"/>
              <w:right w:val="single" w:sz="8" w:color="D9E1E6"/>
              <w:bottom w:val="single" w:sz="8" w:color="D9E1E6"/>
            </w:tcBorders>
            <w:shd w:fill="F4F7F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Roboto" w:hAnsi="Roboto" w:eastAsia="Roboto"/>
                <w:b/>
                <w:i w:val="0"/>
                <w:color w:val="1A4F82"/>
                <w:sz w:val="21"/>
              </w:rPr>
              <w:t>Criterio</w:t>
            </w:r>
          </w:p>
        </w:tc>
        <w:tc>
          <w:tcPr>
            <w:tcW w:type="dxa" w:w="5896"/>
            <w:vAlign w:val="center"/>
            <w:tcBorders>
              <w:left w:val="single" w:sz="8" w:color="D9E1E6"/>
              <w:top w:val="single" w:sz="8" w:color="D9E1E6"/>
              <w:right w:val="single" w:sz="8" w:color="D9E1E6"/>
              <w:bottom w:val="single" w:sz="8" w:color="D9E1E6"/>
            </w:tcBorders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20"/>
              </w:rPr>
              <w:t>Marca técnica. Sin slogan obligatorio. El descriptor se usa solo cuando aporte claridad operativa.</w:t>
            </w:r>
          </w:p>
        </w:tc>
      </w:tr>
    </w:tbl>
    <w:p/>
    <w:p>
      <w:pPr>
        <w:spacing w:before="320" w:after="0" w:line="276" w:lineRule="auto"/>
        <w:jc w:val="center"/>
      </w:pPr>
      <w:r>
        <w:rPr>
          <w:rFonts w:ascii="Roboto" w:hAnsi="Roboto" w:eastAsia="Roboto"/>
          <w:b w:val="0"/>
          <w:i w:val="0"/>
          <w:color w:val="607D8B"/>
          <w:sz w:val="20"/>
        </w:rPr>
        <w:t>Documento rector para diseño, producto, piezas institucionales y reportes PDF.</w:t>
      </w:r>
    </w:p>
    <w:p>
      <w:r>
        <w:br w:type="page"/>
      </w:r>
    </w:p>
    <w:p>
      <w:pPr>
        <w:spacing w:before="200" w:after="40" w:line="276" w:lineRule="auto"/>
        <w:jc w:val="left"/>
      </w:pPr>
      <w:r>
        <w:rPr>
          <w:rFonts w:ascii="Roboto" w:hAnsi="Roboto" w:eastAsia="Roboto"/>
          <w:b/>
          <w:i w:val="0"/>
          <w:caps/>
          <w:color w:val="38B2A3"/>
          <w:sz w:val="17"/>
        </w:rPr>
        <w:t>ESTRUCTURA DEL DOCUMENTO</w:t>
      </w:r>
    </w:p>
    <w:p>
      <w:pPr>
        <w:pStyle w:val="Heading1"/>
        <w:spacing w:before="0" w:after="80" w:line="276" w:lineRule="auto"/>
        <w:jc w:val="left"/>
      </w:pPr>
      <w:r>
        <w:rPr>
          <w:rFonts w:ascii="Lato" w:hAnsi="Lato" w:eastAsia="Lato"/>
          <w:b/>
          <w:i w:val="0"/>
          <w:color w:val="1A4F82"/>
          <w:sz w:val="36"/>
        </w:rPr>
        <w:t>Índice</w:t>
      </w:r>
    </w:p>
    <w:p>
      <w:pPr>
        <w:spacing w:before="0" w:after="120" w:line="240" w:lineRule="auto"/>
        <w:jc w:val="left"/>
        <w:pBdr>
          <w:bottom w:val="single" w:sz="8" w:space="1" w:color="D9E1E6"/>
        </w:pBdr>
      </w:pPr>
      <w:r>
        <w:t xml:space="preserve"> 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1. Marco de marca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2. Plataforma estratégica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3. Sistema de identidad visual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4. Logotipo y arquitectura de uso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5. Paleta cromática y semántica de estado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6. Tipografía y sistema editorial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7. Lenguaje visual de producto (UI/UX)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8. Voz, tono y microcopy operativo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9. Aplicaciones recomendadas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10. Normas de uso y errores prohibidos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11. Implementación y gobernanza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F4F7F9" w:val="clear"/>
            <w:tcBorders>
              <w:left w:val="single" w:sz="6" w:color="D9E1E6"/>
              <w:top w:val="single" w:sz="6" w:color="D9E1E6"/>
              <w:right w:val="single" w:sz="6" w:color="D9E1E6"/>
              <w:bottom w:val="single" w:sz="6" w:color="D9E1E6"/>
            </w:tcBorders>
          </w:tcPr>
          <w:p>
            <w:pPr>
              <w:spacing w:before="0" w:after="40" w:line="276" w:lineRule="auto"/>
            </w:pPr>
            <w:r>
              <w:rPr>
                <w:rFonts w:ascii="Lato" w:hAnsi="Lato" w:eastAsia="Lato"/>
                <w:b/>
                <w:i w:val="0"/>
                <w:color w:val="1A4F82"/>
                <w:sz w:val="22"/>
              </w:rPr>
              <w:t>Criterio general</w:t>
            </w:r>
          </w:p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20"/>
              </w:rPr>
              <w:t>PCCLAB no se diseña como una marca aspiracional o promocional. Se diseña como una capa de autoridad técnica sobre procesos reales de control, validación, trazabilidad y acción correctiva.</w:t>
            </w:r>
          </w:p>
        </w:tc>
      </w:tr>
    </w:tbl>
    <w:p/>
    <w:p>
      <w:pPr>
        <w:spacing w:before="200" w:after="40" w:line="276" w:lineRule="auto"/>
        <w:jc w:val="left"/>
      </w:pPr>
      <w:r>
        <w:rPr>
          <w:rFonts w:ascii="Roboto" w:hAnsi="Roboto" w:eastAsia="Roboto"/>
          <w:b/>
          <w:i w:val="0"/>
          <w:caps/>
          <w:color w:val="38B2A3"/>
          <w:sz w:val="17"/>
        </w:rPr>
        <w:t>FUNDAMENTO</w:t>
      </w:r>
    </w:p>
    <w:p>
      <w:pPr>
        <w:pStyle w:val="Heading1"/>
        <w:spacing w:before="0" w:after="80" w:line="276" w:lineRule="auto"/>
        <w:jc w:val="left"/>
      </w:pPr>
      <w:r>
        <w:rPr>
          <w:rFonts w:ascii="Lato" w:hAnsi="Lato" w:eastAsia="Lato"/>
          <w:b/>
          <w:i w:val="0"/>
          <w:color w:val="1A4F82"/>
          <w:sz w:val="36"/>
        </w:rPr>
        <w:t>1. Marco de marca</w:t>
      </w:r>
    </w:p>
    <w:p>
      <w:pPr>
        <w:spacing w:before="0" w:after="120" w:line="240" w:lineRule="auto"/>
        <w:jc w:val="left"/>
        <w:pBdr>
          <w:bottom w:val="single" w:sz="8" w:space="1" w:color="D9E1E6"/>
        </w:pBdr>
      </w:pPr>
      <w:r>
        <w:t xml:space="preserve"> 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</w:r>
      <w:r>
        <w:rPr>
          <w:rFonts w:ascii="Roboto" w:hAnsi="Roboto" w:eastAsia="Roboto"/>
          <w:b/>
          <w:i w:val="0"/>
          <w:color w:val="263238"/>
          <w:sz w:val="21"/>
        </w:rPr>
        <w:t>PCCLAB</w:t>
      </w:r>
      <w:r>
        <w:rPr>
          <w:rFonts w:ascii="Roboto" w:hAnsi="Roboto" w:eastAsia="Roboto"/>
          <w:b w:val="0"/>
          <w:i w:val="0"/>
          <w:color w:val="263238"/>
          <w:sz w:val="21"/>
        </w:rPr>
        <w:t xml:space="preserve"> es una marca concebida para entornos donde la evidencia pesa más que la estética ornamental. El sistema debe sentirse confiable, preciso y operativamente útil desde el primer contacto.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  <w:t xml:space="preserve">El nombre remite de forma directa a los </w:t>
      </w:r>
      <w:r>
        <w:rPr>
          <w:rFonts w:ascii="Roboto" w:hAnsi="Roboto" w:eastAsia="Roboto"/>
          <w:b/>
          <w:i w:val="0"/>
          <w:color w:val="263238"/>
          <w:sz w:val="21"/>
        </w:rPr>
        <w:t>Puntos Críticos de Control (PCC)</w:t>
      </w:r>
      <w:r>
        <w:rPr>
          <w:rFonts w:ascii="Roboto" w:hAnsi="Roboto" w:eastAsia="Roboto"/>
          <w:b w:val="0"/>
          <w:i w:val="0"/>
          <w:color w:val="263238"/>
          <w:sz w:val="21"/>
        </w:rPr>
        <w:t>. Esa referencia no es decorativa: ordena la semántica completa del producto. Todo lo visual y lo verbal debe transmitir que la marca está construida alrededor de control preventivo, validación documental y lectura analítica de desvíos.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/>
          <w:i w:val="0"/>
          <w:color w:val="263238"/>
          <w:sz w:val="21"/>
        </w:rPr>
        <w:t xml:space="preserve">La marca debe transmitir: </w:t>
      </w:r>
      <w:r>
        <w:rPr>
          <w:rFonts w:ascii="Roboto" w:hAnsi="Roboto" w:eastAsia="Roboto"/>
          <w:b w:val="0"/>
          <w:i w:val="0"/>
          <w:color w:val="263238"/>
          <w:sz w:val="21"/>
        </w:rPr>
        <w:t>rigor científico, trazabilidad, autoridad técnica, estabilidad operativa y lectura clara de estados.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/>
          <w:i w:val="0"/>
          <w:color w:val="263238"/>
          <w:sz w:val="21"/>
        </w:rPr>
        <w:t xml:space="preserve">La marca no debe transmitir: </w:t>
      </w:r>
      <w:r>
        <w:rPr>
          <w:rFonts w:ascii="Roboto" w:hAnsi="Roboto" w:eastAsia="Roboto"/>
          <w:b w:val="0"/>
          <w:i w:val="0"/>
          <w:color w:val="263238"/>
          <w:sz w:val="21"/>
        </w:rPr>
        <w:t>ornamento, informalidad, simpatía forzada, estética de startup genérica o ambigüedad verbal.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/>
          <w:i w:val="0"/>
          <w:color w:val="263238"/>
          <w:sz w:val="21"/>
        </w:rPr>
        <w:t xml:space="preserve">Sensación buscada: </w:t>
      </w:r>
      <w:r>
        <w:rPr>
          <w:rFonts w:ascii="Roboto" w:hAnsi="Roboto" w:eastAsia="Roboto"/>
          <w:b w:val="0"/>
          <w:i w:val="0"/>
          <w:color w:val="263238"/>
          <w:sz w:val="21"/>
        </w:rPr>
        <w:t>tablero de control, laboratorio aplicado, sistema experto, plataforma confiable para auditoría y decisión.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F4F7F9" w:val="clear"/>
            <w:tcBorders>
              <w:left w:val="single" w:sz="6" w:color="D9E1E6"/>
              <w:top w:val="single" w:sz="6" w:color="D9E1E6"/>
              <w:right w:val="single" w:sz="6" w:color="D9E1E6"/>
              <w:bottom w:val="single" w:sz="6" w:color="D9E1E6"/>
            </w:tcBorders>
          </w:tcPr>
          <w:p>
            <w:pPr>
              <w:spacing w:before="0" w:after="40" w:line="276" w:lineRule="auto"/>
            </w:pPr>
            <w:r>
              <w:rPr>
                <w:rFonts w:ascii="Lato" w:hAnsi="Lato" w:eastAsia="Lato"/>
                <w:b/>
                <w:i w:val="0"/>
                <w:color w:val="1A4F82"/>
                <w:sz w:val="22"/>
              </w:rPr>
              <w:t>Decisión sobre slogan</w:t>
            </w:r>
          </w:p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20"/>
              </w:rPr>
              <w:t>No se fija un slogan permanente. Cuando haga falta una línea complementaria, debe operar como descriptor funcional, no como claim publicitario. Ejemplos válidos: “Sistema operativo bromatológico”, “Control y trazabilidad analítica” o “Gestión técnica de muestras y desvíos”.</w:t>
            </w:r>
          </w:p>
        </w:tc>
      </w:tr>
    </w:tbl>
    <w:p/>
    <w:p>
      <w:pPr>
        <w:spacing w:before="200" w:after="40" w:line="276" w:lineRule="auto"/>
        <w:jc w:val="left"/>
      </w:pPr>
      <w:r>
        <w:rPr>
          <w:rFonts w:ascii="Roboto" w:hAnsi="Roboto" w:eastAsia="Roboto"/>
          <w:b/>
          <w:i w:val="0"/>
          <w:caps/>
          <w:color w:val="38B2A3"/>
          <w:sz w:val="17"/>
        </w:rPr>
        <w:t>DIRECCIÓN DE MARCA</w:t>
      </w:r>
    </w:p>
    <w:p>
      <w:pPr>
        <w:pStyle w:val="Heading1"/>
        <w:spacing w:before="0" w:after="80" w:line="276" w:lineRule="auto"/>
        <w:jc w:val="left"/>
      </w:pPr>
      <w:r>
        <w:rPr>
          <w:rFonts w:ascii="Lato" w:hAnsi="Lato" w:eastAsia="Lato"/>
          <w:b/>
          <w:i w:val="0"/>
          <w:color w:val="1A4F82"/>
          <w:sz w:val="36"/>
        </w:rPr>
        <w:t>2. Plataforma estratégica</w:t>
      </w:r>
    </w:p>
    <w:p>
      <w:pPr>
        <w:spacing w:before="0" w:after="120" w:line="240" w:lineRule="auto"/>
        <w:jc w:val="left"/>
        <w:pBdr>
          <w:bottom w:val="single" w:sz="8" w:space="1" w:color="D9E1E6"/>
        </w:pBdr>
      </w:pPr>
      <w:r>
        <w:t xml:space="preserve"> 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2.1 Propósito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  <w:t>Transformar registros, resultados analíticos y evidencias de control en información técnica clara, accionable y trazable.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2.2 Promesa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  <w:t>PCCLAB organiza, jerarquiza y presenta información crítica de inocuidad y control bromatológico con criterio operativo. La marca debe sugerir que detrás del sistema hay metodología, no improvisación.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2.3 Personalidad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Precisa.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Sobria.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Estructurada.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Confiable.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Clínica en la lectura de datos.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Firme al comunicar un desvío.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2.4 Atributos rectores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438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Atributo</w:t>
            </w:r>
          </w:p>
        </w:tc>
        <w:tc>
          <w:tcPr>
            <w:tcW w:type="dxa" w:w="3231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Qué comunica</w:t>
            </w:r>
          </w:p>
        </w:tc>
        <w:tc>
          <w:tcPr>
            <w:tcW w:type="dxa" w:w="3685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Cómo se traduce visualmente</w:t>
            </w:r>
          </w:p>
        </w:tc>
      </w:tr>
      <w:tr>
        <w:tc>
          <w:tcPr>
            <w:tcW w:type="dxa" w:w="3213"/>
            <w:vAlign w:val="cente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Rigor científico</w:t>
            </w:r>
          </w:p>
        </w:tc>
        <w:tc>
          <w:tcPr>
            <w:tcW w:type="dxa" w:w="3213"/>
            <w:vAlign w:val="cente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Manejo serio de criterio analítico y normativa.</w:t>
            </w:r>
          </w:p>
        </w:tc>
        <w:tc>
          <w:tcPr>
            <w:tcW w:type="dxa" w:w="3213"/>
            <w:vAlign w:val="cente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Jerarquías limpias, tablas claras, mensajes sin ambigüedad.</w:t>
            </w:r>
          </w:p>
        </w:tc>
      </w:tr>
      <w:tr>
        <w:tc>
          <w:tcPr>
            <w:tcW w:type="dxa" w:w="3213"/>
            <w:vAlign w:val="cente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Trazabilidad</w:t>
            </w:r>
          </w:p>
        </w:tc>
        <w:tc>
          <w:tcPr>
            <w:tcW w:type="dxa" w:w="3213"/>
            <w:vAlign w:val="cente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Capacidad de seguir cada registro, muestra y acción.</w:t>
            </w:r>
          </w:p>
        </w:tc>
        <w:tc>
          <w:tcPr>
            <w:tcW w:type="dxa" w:w="3213"/>
            <w:vAlign w:val="cente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Estructuras ordenadas, metadatos visibles, estados consistentes.</w:t>
            </w:r>
          </w:p>
        </w:tc>
      </w:tr>
      <w:tr>
        <w:tc>
          <w:tcPr>
            <w:tcW w:type="dxa" w:w="3213"/>
            <w:vAlign w:val="cente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Eficiencia operativa</w:t>
            </w:r>
          </w:p>
        </w:tc>
        <w:tc>
          <w:tcPr>
            <w:tcW w:type="dxa" w:w="3213"/>
            <w:vAlign w:val="cente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Lectura rápida y toma de acción sin fricción.</w:t>
            </w:r>
          </w:p>
        </w:tc>
        <w:tc>
          <w:tcPr>
            <w:tcW w:type="dxa" w:w="3213"/>
            <w:vAlign w:val="cente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Botones directos, etiquetas cortas, iconografía útil.</w:t>
            </w:r>
          </w:p>
        </w:tc>
      </w:tr>
      <w:tr>
        <w:tc>
          <w:tcPr>
            <w:tcW w:type="dxa" w:w="3213"/>
            <w:vAlign w:val="cente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Autoridad técnica</w:t>
            </w:r>
          </w:p>
        </w:tc>
        <w:tc>
          <w:tcPr>
            <w:tcW w:type="dxa" w:w="3213"/>
            <w:vAlign w:val="cente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Confianza profesional e institucional.</w:t>
            </w:r>
          </w:p>
        </w:tc>
        <w:tc>
          <w:tcPr>
            <w:tcW w:type="dxa" w:w="3213"/>
            <w:vAlign w:val="cente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Color principal sobrio, tipografía firme, nada de adornos blandos.</w:t>
            </w:r>
          </w:p>
        </w:tc>
      </w:tr>
    </w:tbl>
    <w:p/>
    <w:p>
      <w:pPr>
        <w:spacing w:before="200" w:after="40" w:line="276" w:lineRule="auto"/>
        <w:jc w:val="left"/>
      </w:pPr>
      <w:r>
        <w:rPr>
          <w:rFonts w:ascii="Roboto" w:hAnsi="Roboto" w:eastAsia="Roboto"/>
          <w:b/>
          <w:i w:val="0"/>
          <w:caps/>
          <w:color w:val="38B2A3"/>
          <w:sz w:val="17"/>
        </w:rPr>
        <w:t>BASE FORMAL</w:t>
      </w:r>
    </w:p>
    <w:p>
      <w:pPr>
        <w:pStyle w:val="Heading1"/>
        <w:spacing w:before="0" w:after="80" w:line="276" w:lineRule="auto"/>
        <w:jc w:val="left"/>
      </w:pPr>
      <w:r>
        <w:rPr>
          <w:rFonts w:ascii="Lato" w:hAnsi="Lato" w:eastAsia="Lato"/>
          <w:b/>
          <w:i w:val="0"/>
          <w:color w:val="1A4F82"/>
          <w:sz w:val="36"/>
        </w:rPr>
        <w:t>3. Sistema de identidad visual</w:t>
      </w:r>
    </w:p>
    <w:p>
      <w:pPr>
        <w:spacing w:before="0" w:after="120" w:line="240" w:lineRule="auto"/>
        <w:jc w:val="left"/>
        <w:pBdr>
          <w:bottom w:val="single" w:sz="8" w:space="1" w:color="D9E1E6"/>
        </w:pBdr>
      </w:pPr>
      <w:r>
        <w:t xml:space="preserve"> 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3.1 Arquitectura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  <w:t xml:space="preserve">La identidad de PCCLAB se sostiene en cuatro pilares: </w:t>
      </w:r>
      <w:r>
        <w:rPr>
          <w:rFonts w:ascii="Roboto" w:hAnsi="Roboto" w:eastAsia="Roboto"/>
          <w:b/>
          <w:i w:val="0"/>
          <w:color w:val="263238"/>
          <w:sz w:val="21"/>
        </w:rPr>
        <w:t>símbolo</w:t>
      </w:r>
      <w:r>
        <w:rPr>
          <w:rFonts w:ascii="Roboto" w:hAnsi="Roboto" w:eastAsia="Roboto"/>
          <w:b w:val="0"/>
          <w:i w:val="0"/>
          <w:color w:val="263238"/>
          <w:sz w:val="21"/>
        </w:rPr>
        <w:t xml:space="preserve">, </w:t>
      </w:r>
      <w:r>
        <w:rPr>
          <w:rFonts w:ascii="Roboto" w:hAnsi="Roboto" w:eastAsia="Roboto"/>
          <w:b/>
          <w:i w:val="0"/>
          <w:color w:val="263238"/>
          <w:sz w:val="21"/>
        </w:rPr>
        <w:t>wordmark</w:t>
      </w:r>
      <w:r>
        <w:rPr>
          <w:rFonts w:ascii="Roboto" w:hAnsi="Roboto" w:eastAsia="Roboto"/>
          <w:b w:val="0"/>
          <w:i w:val="0"/>
          <w:color w:val="263238"/>
          <w:sz w:val="21"/>
        </w:rPr>
        <w:t xml:space="preserve">, </w:t>
      </w:r>
      <w:r>
        <w:rPr>
          <w:rFonts w:ascii="Roboto" w:hAnsi="Roboto" w:eastAsia="Roboto"/>
          <w:b/>
          <w:i w:val="0"/>
          <w:color w:val="263238"/>
          <w:sz w:val="21"/>
        </w:rPr>
        <w:t>color semántico</w:t>
      </w:r>
      <w:r>
        <w:rPr>
          <w:rFonts w:ascii="Roboto" w:hAnsi="Roboto" w:eastAsia="Roboto"/>
          <w:b w:val="0"/>
          <w:i w:val="0"/>
          <w:color w:val="263238"/>
          <w:sz w:val="21"/>
        </w:rPr>
        <w:t xml:space="preserve"> y </w:t>
      </w:r>
      <w:r>
        <w:rPr>
          <w:rFonts w:ascii="Roboto" w:hAnsi="Roboto" w:eastAsia="Roboto"/>
          <w:b/>
          <w:i w:val="0"/>
          <w:color w:val="263238"/>
          <w:sz w:val="21"/>
        </w:rPr>
        <w:t>lenguaje de interfaz</w:t>
      </w:r>
      <w:r>
        <w:rPr>
          <w:rFonts w:ascii="Roboto" w:hAnsi="Roboto" w:eastAsia="Roboto"/>
          <w:b w:val="0"/>
          <w:i w:val="0"/>
          <w:color w:val="263238"/>
          <w:sz w:val="21"/>
        </w:rPr>
        <w:t>. Ninguno debe trabajar aislado. El símbolo aporta memoria visual; la palabra PCCLAB aporta reconocimiento; el color organiza estados y el sistema UI/UX baja la marca a operación real.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3.2 Criterios formales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Geometría simple y trazos limpios.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Jerarquías fuertes y espacios respirados.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Uso intencional del color, nunca decorativo.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Bordes contenidos: sensación de tablero y no de app blanda.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Contraste alto para lectura técnica y decisiones rápidas.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F4F7F9" w:val="clear"/>
            <w:tcBorders>
              <w:left w:val="single" w:sz="6" w:color="D9E1E6"/>
              <w:top w:val="single" w:sz="6" w:color="D9E1E6"/>
              <w:right w:val="single" w:sz="6" w:color="D9E1E6"/>
              <w:bottom w:val="single" w:sz="6" w:color="D9E1E6"/>
            </w:tcBorders>
          </w:tcPr>
          <w:p>
            <w:pPr>
              <w:spacing w:before="0" w:after="40" w:line="276" w:lineRule="auto"/>
            </w:pPr>
            <w:r>
              <w:rPr>
                <w:rFonts w:ascii="Lato" w:hAnsi="Lato" w:eastAsia="Lato"/>
                <w:b/>
                <w:i w:val="0"/>
                <w:color w:val="1A4F82"/>
                <w:sz w:val="22"/>
              </w:rPr>
              <w:t>Qué debe percibirse</w:t>
            </w:r>
          </w:p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20"/>
              </w:rPr>
              <w:t>Un director técnico, un bromatólogo o un responsable de calidad deben sentir que el sistema fue diseñado para trabajar, no para impresionar. Esa es la vara correcta.</w:t>
            </w:r>
          </w:p>
        </w:tc>
      </w:tr>
    </w:tbl>
    <w:p/>
    <w:p>
      <w:pPr>
        <w:spacing w:before="200" w:after="40" w:line="276" w:lineRule="auto"/>
        <w:jc w:val="left"/>
      </w:pPr>
      <w:r>
        <w:rPr>
          <w:rFonts w:ascii="Roboto" w:hAnsi="Roboto" w:eastAsia="Roboto"/>
          <w:b/>
          <w:i w:val="0"/>
          <w:caps/>
          <w:color w:val="38B2A3"/>
          <w:sz w:val="17"/>
        </w:rPr>
        <w:t>SIGNO PRINCIPAL</w:t>
      </w:r>
    </w:p>
    <w:p>
      <w:pPr>
        <w:pStyle w:val="Heading1"/>
        <w:spacing w:before="0" w:after="80" w:line="276" w:lineRule="auto"/>
        <w:jc w:val="left"/>
      </w:pPr>
      <w:r>
        <w:rPr>
          <w:rFonts w:ascii="Lato" w:hAnsi="Lato" w:eastAsia="Lato"/>
          <w:b/>
          <w:i w:val="0"/>
          <w:color w:val="1A4F82"/>
          <w:sz w:val="36"/>
        </w:rPr>
        <w:t>4. Logotipo y arquitectura de uso</w:t>
      </w:r>
    </w:p>
    <w:p>
      <w:pPr>
        <w:spacing w:before="0" w:after="120" w:line="240" w:lineRule="auto"/>
        <w:jc w:val="left"/>
        <w:pBdr>
          <w:bottom w:val="single" w:sz="8" w:space="1" w:color="D9E1E6"/>
        </w:pBdr>
      </w:pPr>
      <w:r>
        <w:t xml:space="preserve"> 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4.1 Concepto del isotipo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  <w:t xml:space="preserve">El isotipo representa un </w:t>
      </w:r>
      <w:r>
        <w:rPr>
          <w:rFonts w:ascii="Roboto" w:hAnsi="Roboto" w:eastAsia="Roboto"/>
          <w:b/>
          <w:i w:val="0"/>
          <w:color w:val="263238"/>
          <w:sz w:val="21"/>
        </w:rPr>
        <w:t>microscopio estilizado</w:t>
      </w:r>
      <w:r>
        <w:rPr>
          <w:rFonts w:ascii="Roboto" w:hAnsi="Roboto" w:eastAsia="Roboto"/>
          <w:b w:val="0"/>
          <w:i w:val="0"/>
          <w:color w:val="263238"/>
          <w:sz w:val="21"/>
        </w:rPr>
        <w:t xml:space="preserve"> que integra la letra </w:t>
      </w:r>
      <w:r>
        <w:rPr>
          <w:rFonts w:ascii="Roboto" w:hAnsi="Roboto" w:eastAsia="Roboto"/>
          <w:b/>
          <w:i w:val="0"/>
          <w:color w:val="263238"/>
          <w:sz w:val="21"/>
        </w:rPr>
        <w:t>P</w:t>
      </w:r>
      <w:r>
        <w:rPr>
          <w:rFonts w:ascii="Roboto" w:hAnsi="Roboto" w:eastAsia="Roboto"/>
          <w:b w:val="0"/>
          <w:i w:val="0"/>
          <w:color w:val="263238"/>
          <w:sz w:val="21"/>
        </w:rPr>
        <w:t xml:space="preserve"> en su estructura. La construcción resuelve tres niveles de sentido a la vez: observación técnica, precisión y vínculo directo con los PCC.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4.2 Lectura simbólica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/>
          <w:i w:val="0"/>
          <w:color w:val="263238"/>
          <w:sz w:val="21"/>
        </w:rPr>
        <w:t xml:space="preserve">Microscopio: </w:t>
      </w:r>
      <w:r>
        <w:rPr>
          <w:rFonts w:ascii="Roboto" w:hAnsi="Roboto" w:eastAsia="Roboto"/>
          <w:b w:val="0"/>
          <w:i w:val="0"/>
          <w:color w:val="263238"/>
          <w:sz w:val="21"/>
        </w:rPr>
        <w:t>inspección, validación y lectura analítica.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/>
          <w:i w:val="0"/>
          <w:color w:val="263238"/>
          <w:sz w:val="21"/>
        </w:rPr>
        <w:t xml:space="preserve">Letra P integrada: </w:t>
      </w:r>
      <w:r>
        <w:rPr>
          <w:rFonts w:ascii="Roboto" w:hAnsi="Roboto" w:eastAsia="Roboto"/>
          <w:b w:val="0"/>
          <w:i w:val="0"/>
          <w:color w:val="263238"/>
          <w:sz w:val="21"/>
        </w:rPr>
        <w:t>ancla de marca y referencia inmediata a Punto Crítico de Control.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/>
          <w:i w:val="0"/>
          <w:color w:val="263238"/>
          <w:sz w:val="21"/>
        </w:rPr>
        <w:t xml:space="preserve">Composición compacta: </w:t>
      </w:r>
      <w:r>
        <w:rPr>
          <w:rFonts w:ascii="Roboto" w:hAnsi="Roboto" w:eastAsia="Roboto"/>
          <w:b w:val="0"/>
          <w:i w:val="0"/>
          <w:color w:val="263238"/>
          <w:sz w:val="21"/>
        </w:rPr>
        <w:t>solidez, estabilidad y fácil aplicación en interfaz, exportables y favicons.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4.3 Versiones permitidas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Versión</w:t>
            </w:r>
          </w:p>
        </w:tc>
        <w:tc>
          <w:tcPr>
            <w:tcW w:type="dxa" w:w="3628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Uso prioritario</w:t>
            </w:r>
          </w:p>
        </w:tc>
        <w:tc>
          <w:tcPr>
            <w:tcW w:type="dxa" w:w="3118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Observación</w:t>
            </w:r>
          </w:p>
        </w:tc>
      </w:tr>
      <w:tr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Isotipo solo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Icono de app, favicon, marca de agua, sello pequeño.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Usar cuando el espacio no garantice legibilidad del wordmark.</w:t>
            </w:r>
          </w:p>
        </w:tc>
      </w:tr>
      <w:tr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Isotipo + wordmark horizontal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Cabeceras, dashboards, portadas, piezas institucionales.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Versión principal del sistema.</w:t>
            </w:r>
          </w:p>
        </w:tc>
      </w:tr>
      <w:tr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Wordmark solo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Encabezados secundarios, firmas livianas, documentación extensa.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Aplicar solo si el isotipo ya está presente en el contexto.</w:t>
            </w:r>
          </w:p>
        </w:tc>
      </w:tr>
    </w:tbl>
    <w:p/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4.4 Área de resguardo y mínimos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Respetar un área libre mínima equivalente a la altura de la letra P del wordmark alrededor del conjunto.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No ubicar texto, bordes, firmas ni otros logos dentro de esa zona.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Tamaño mínimo sugerido del isotipo: 24 px en digital.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Tamaño mínimo sugerido de la versión completa: 120 px de ancho en digital o 25 mm en impresión.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4.5 Descriptor institucional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  <w:t xml:space="preserve">Cuando el contexto requiera aclarar la función del producto, usar un </w:t>
      </w:r>
      <w:r>
        <w:rPr>
          <w:rFonts w:ascii="Roboto" w:hAnsi="Roboto" w:eastAsia="Roboto"/>
          <w:b/>
          <w:i w:val="0"/>
          <w:color w:val="263238"/>
          <w:sz w:val="21"/>
        </w:rPr>
        <w:t>descriptor</w:t>
      </w:r>
      <w:r>
        <w:rPr>
          <w:rFonts w:ascii="Roboto" w:hAnsi="Roboto" w:eastAsia="Roboto"/>
          <w:b w:val="0"/>
          <w:i w:val="0"/>
          <w:color w:val="263238"/>
          <w:sz w:val="21"/>
        </w:rPr>
        <w:t xml:space="preserve"> y no un slogan fijo. Ese descriptor debe ir en tipografía secundaria, tono neutro y escala subordinada al logo.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Descriptor válido: “Sistema operativo bromatológico”.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Descriptor válido: “Control analítico y trazabilidad”.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Descriptor no válido: frases marketineras, claims grandilocuentes o mensajes emocionales.</w:t>
      </w:r>
    </w:p>
    <w:p>
      <w:pPr>
        <w:spacing w:before="200" w:after="40" w:line="276" w:lineRule="auto"/>
        <w:jc w:val="left"/>
      </w:pPr>
      <w:r>
        <w:rPr>
          <w:rFonts w:ascii="Roboto" w:hAnsi="Roboto" w:eastAsia="Roboto"/>
          <w:b/>
          <w:i w:val="0"/>
          <w:caps/>
          <w:color w:val="38B2A3"/>
          <w:sz w:val="17"/>
        </w:rPr>
        <w:t>COLOR COMO SEÑAL</w:t>
      </w:r>
    </w:p>
    <w:p>
      <w:pPr>
        <w:pStyle w:val="Heading1"/>
        <w:spacing w:before="0" w:after="80" w:line="276" w:lineRule="auto"/>
        <w:jc w:val="left"/>
      </w:pPr>
      <w:r>
        <w:rPr>
          <w:rFonts w:ascii="Lato" w:hAnsi="Lato" w:eastAsia="Lato"/>
          <w:b/>
          <w:i w:val="0"/>
          <w:color w:val="1A4F82"/>
          <w:sz w:val="36"/>
        </w:rPr>
        <w:t>5. Paleta cromática y semántica de estado</w:t>
      </w:r>
    </w:p>
    <w:p>
      <w:pPr>
        <w:spacing w:before="0" w:after="120" w:line="240" w:lineRule="auto"/>
        <w:jc w:val="left"/>
        <w:pBdr>
          <w:bottom w:val="single" w:sz="8" w:space="1" w:color="D9E1E6"/>
        </w:pBdr>
      </w:pPr>
      <w:r>
        <w:t xml:space="preserve"> 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  <w:t>La paleta es fría, limpia y operativa. El color principal no busca llamar la atención por saturación sino ordenar la interfaz y transmitir criterio técnico. Los colores de estado solo deben aparecer cuando hay significado.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304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Muestra</w:t>
            </w:r>
          </w:p>
        </w:tc>
        <w:tc>
          <w:tcPr>
            <w:tcW w:type="dxa" w:w="1701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Nombre</w:t>
            </w:r>
          </w:p>
        </w:tc>
        <w:tc>
          <w:tcPr>
            <w:tcW w:type="dxa" w:w="1701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Hex</w:t>
            </w:r>
          </w:p>
        </w:tc>
        <w:tc>
          <w:tcPr>
            <w:tcW w:type="dxa" w:w="2608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Uso principal</w:t>
            </w:r>
          </w:p>
        </w:tc>
        <w:tc>
          <w:tcPr>
            <w:tcW w:type="dxa" w:w="2268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Semántica</w:t>
            </w:r>
          </w:p>
        </w:tc>
      </w:tr>
      <w:tr>
        <w:tc>
          <w:tcPr>
            <w:tcW w:type="dxa" w:w="1928"/>
            <w:shd w:fill="1A4F82" w:val="clea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/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Deep Ocean</w:t>
            </w:r>
          </w:p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#1A4F82</w:t>
            </w:r>
          </w:p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Encabezados, botones primarios, títulos, navegación.</w:t>
            </w:r>
          </w:p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Confianza, ciencia, autoridad.</w:t>
            </w:r>
          </w:p>
        </w:tc>
      </w:tr>
      <w:tr>
        <w:tc>
          <w:tcPr>
            <w:tcW w:type="dxa" w:w="1928"/>
            <w:shd w:fill="38B2A3" w:val="clea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/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Bromatology Green</w:t>
            </w:r>
          </w:p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#38B2A3</w:t>
            </w:r>
          </w:p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Apto, checks, validación, acciones cumplidas.</w:t>
            </w:r>
          </w:p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Higiene, control, conformidad.</w:t>
            </w:r>
          </w:p>
        </w:tc>
      </w:tr>
      <w:tr>
        <w:tc>
          <w:tcPr>
            <w:tcW w:type="dxa" w:w="1928"/>
            <w:shd w:fill="607D8B" w:val="clea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/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Slate Gray</w:t>
            </w:r>
          </w:p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#607D8B</w:t>
            </w:r>
          </w:p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Textos secundarios, metadatos, iconos neutros.</w:t>
            </w:r>
          </w:p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Orden, neutralidad técnica.</w:t>
            </w:r>
          </w:p>
        </w:tc>
      </w:tr>
      <w:tr>
        <w:tc>
          <w:tcPr>
            <w:tcW w:type="dxa" w:w="1928"/>
            <w:shd w:fill="FBC02D" w:val="clea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/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Critical Alert</w:t>
            </w:r>
          </w:p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#FBC02D</w:t>
            </w:r>
          </w:p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Advertencias, análisis por vencer, observaciones.</w:t>
            </w:r>
          </w:p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Atención preventiva, precaución.</w:t>
            </w:r>
          </w:p>
        </w:tc>
      </w:tr>
      <w:tr>
        <w:tc>
          <w:tcPr>
            <w:tcW w:type="dxa" w:w="1928"/>
            <w:shd w:fill="E53935" w:val="clear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/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Danger Red</w:t>
            </w:r>
          </w:p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#E53935</w:t>
            </w:r>
          </w:p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No apto, patógenos detectados, bloqueo.</w:t>
            </w:r>
          </w:p>
        </w:tc>
        <w:tc>
          <w:tcPr>
            <w:tcW w:type="dxa" w:w="1928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Acción correctiva inmediata.</w:t>
            </w:r>
          </w:p>
        </w:tc>
      </w:tr>
    </w:tbl>
    <w:p/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5.1 Reglas de uso del color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Deep Ocean es el color rector. Debe dominar títulos, estructura y acciones primarias.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El verde nunca reemplaza al azul como color de identidad. Se reserva a conformidad y éxito.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El amarillo debe usarse para advertencias reales, no como recurso decorativo de énfasis.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El rojo solo aparece cuando existe un evento de criticidad, bloqueo o desviación seria.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Nunca confiar solo en color para comunicar estado: sumar etiqueta, icono o texto de apoyo.</w:t>
      </w:r>
    </w:p>
    <w:p>
      <w:pPr>
        <w:spacing w:before="200" w:after="40" w:line="276" w:lineRule="auto"/>
        <w:jc w:val="left"/>
      </w:pPr>
      <w:r>
        <w:rPr>
          <w:rFonts w:ascii="Roboto" w:hAnsi="Roboto" w:eastAsia="Roboto"/>
          <w:b/>
          <w:i w:val="0"/>
          <w:caps/>
          <w:color w:val="38B2A3"/>
          <w:sz w:val="17"/>
        </w:rPr>
        <w:t>SISTEMA DE LECTURA</w:t>
      </w:r>
    </w:p>
    <w:p>
      <w:pPr>
        <w:pStyle w:val="Heading1"/>
        <w:spacing w:before="0" w:after="80" w:line="276" w:lineRule="auto"/>
        <w:jc w:val="left"/>
      </w:pPr>
      <w:r>
        <w:rPr>
          <w:rFonts w:ascii="Lato" w:hAnsi="Lato" w:eastAsia="Lato"/>
          <w:b/>
          <w:i w:val="0"/>
          <w:color w:val="1A4F82"/>
          <w:sz w:val="36"/>
        </w:rPr>
        <w:t>6. Tipografía y sistema editorial</w:t>
      </w:r>
    </w:p>
    <w:p>
      <w:pPr>
        <w:spacing w:before="0" w:after="120" w:line="240" w:lineRule="auto"/>
        <w:jc w:val="left"/>
        <w:pBdr>
          <w:bottom w:val="single" w:sz="8" w:space="1" w:color="D9E1E6"/>
        </w:pBdr>
      </w:pPr>
      <w:r>
        <w:t xml:space="preserve"> 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6.1 Familias tipográficas normativas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Sistema</w:t>
            </w:r>
          </w:p>
        </w:tc>
        <w:tc>
          <w:tcPr>
            <w:tcW w:type="dxa" w:w="2381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Familia</w:t>
            </w:r>
          </w:p>
        </w:tc>
        <w:tc>
          <w:tcPr>
            <w:tcW w:type="dxa" w:w="2891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Uso recomendado</w:t>
            </w:r>
          </w:p>
        </w:tc>
        <w:tc>
          <w:tcPr>
            <w:tcW w:type="dxa" w:w="2268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Notas</w:t>
            </w:r>
          </w:p>
        </w:tc>
      </w:tr>
      <w:tr>
        <w:tc>
          <w:tcPr>
            <w:tcW w:type="dxa" w:w="240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Principal</w:t>
            </w:r>
          </w:p>
        </w:tc>
        <w:tc>
          <w:tcPr>
            <w:tcW w:type="dxa" w:w="240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Montserrat Bold / ExtraBold</w:t>
            </w:r>
          </w:p>
        </w:tc>
        <w:tc>
          <w:tcPr>
            <w:tcW w:type="dxa" w:w="240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Wordmark, títulos, indicadores clave.</w:t>
            </w:r>
          </w:p>
        </w:tc>
        <w:tc>
          <w:tcPr>
            <w:tcW w:type="dxa" w:w="240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Geométrica, firme, de lectura contundente.</w:t>
            </w:r>
          </w:p>
        </w:tc>
      </w:tr>
      <w:tr>
        <w:tc>
          <w:tcPr>
            <w:tcW w:type="dxa" w:w="240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Secundaria</w:t>
            </w:r>
          </w:p>
        </w:tc>
        <w:tc>
          <w:tcPr>
            <w:tcW w:type="dxa" w:w="240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Open Sans o Roboto</w:t>
            </w:r>
          </w:p>
        </w:tc>
        <w:tc>
          <w:tcPr>
            <w:tcW w:type="dxa" w:w="240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Formularios, tablas, resultados, textos corridos.</w:t>
            </w:r>
          </w:p>
        </w:tc>
        <w:tc>
          <w:tcPr>
            <w:tcW w:type="dxa" w:w="240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Alta legibilidad en pantallas pequeñas.</w:t>
            </w:r>
          </w:p>
        </w:tc>
      </w:tr>
      <w:tr>
        <w:tc>
          <w:tcPr>
            <w:tcW w:type="dxa" w:w="240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Mono opcional</w:t>
            </w:r>
          </w:p>
        </w:tc>
        <w:tc>
          <w:tcPr>
            <w:tcW w:type="dxa" w:w="240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Roboto Mono o equivalente</w:t>
            </w:r>
          </w:p>
        </w:tc>
        <w:tc>
          <w:tcPr>
            <w:tcW w:type="dxa" w:w="240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Códigos de muestra, ID, protocolos, hashes.</w:t>
            </w:r>
          </w:p>
        </w:tc>
        <w:tc>
          <w:tcPr>
            <w:tcW w:type="dxa" w:w="240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Solo para datos técnicos puntuales.</w:t>
            </w:r>
          </w:p>
        </w:tc>
      </w:tr>
    </w:tbl>
    <w:p/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6.2 Principios editoriales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Títulos con peso alto y espaciado generoso.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Textos corridos sin bloques excesivamente densos.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Tablas con padding suficiente y filas autoajustables.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Números, fechas y estados alineados de forma consistente.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Nada de tipografías decorativas, condensadas extremas o cursivas largas.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6.3 Recomendación de escalas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Portada o wordmark: 30–36 pt según soporte.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Título de sección: 16–20 pt.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Subtítulo: 12–14 pt.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Cuerpo de texto: 10–11 pt.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Metadatos o notas: 8.5–9.5 pt.</w:t>
      </w:r>
    </w:p>
    <w:p>
      <w:pPr>
        <w:spacing w:before="200" w:after="40" w:line="276" w:lineRule="auto"/>
        <w:jc w:val="left"/>
      </w:pPr>
      <w:r>
        <w:rPr>
          <w:rFonts w:ascii="Roboto" w:hAnsi="Roboto" w:eastAsia="Roboto"/>
          <w:b/>
          <w:i w:val="0"/>
          <w:caps/>
          <w:color w:val="38B2A3"/>
          <w:sz w:val="17"/>
        </w:rPr>
        <w:t>INTERFAZ OPERATIVA</w:t>
      </w:r>
    </w:p>
    <w:p>
      <w:pPr>
        <w:pStyle w:val="Heading1"/>
        <w:spacing w:before="0" w:after="80" w:line="276" w:lineRule="auto"/>
        <w:jc w:val="left"/>
      </w:pPr>
      <w:r>
        <w:rPr>
          <w:rFonts w:ascii="Lato" w:hAnsi="Lato" w:eastAsia="Lato"/>
          <w:b/>
          <w:i w:val="0"/>
          <w:color w:val="1A4F82"/>
          <w:sz w:val="36"/>
        </w:rPr>
        <w:t>7. Lenguaje visual de producto (UI/UX)</w:t>
      </w:r>
    </w:p>
    <w:p>
      <w:pPr>
        <w:spacing w:before="0" w:after="120" w:line="240" w:lineRule="auto"/>
        <w:jc w:val="left"/>
        <w:pBdr>
          <w:bottom w:val="single" w:sz="8" w:space="1" w:color="D9E1E6"/>
        </w:pBdr>
      </w:pPr>
      <w:r>
        <w:t xml:space="preserve"> 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  <w:t>PCCLAB debe verse como una herramienta de trabajo. Las decisiones de interfaz tienen que reducir fricción cognitiva: menos adorno, más estructura, más estados visibles, más lectura rápida.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7.1 Componentes 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Componente</w:t>
            </w:r>
          </w:p>
        </w:tc>
        <w:tc>
          <w:tcPr>
            <w:tcW w:type="dxa" w:w="3402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Norma visual</w:t>
            </w:r>
          </w:p>
        </w:tc>
        <w:tc>
          <w:tcPr>
            <w:tcW w:type="dxa" w:w="3685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Evitar</w:t>
            </w:r>
          </w:p>
        </w:tc>
      </w:tr>
      <w:tr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Cards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Bordes de 4–8 px, jerarquía limpia, fondo claro, sombra mínima o nula.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Tarjetas blandas, burbujas redondeadas o exceso de efectos.</w:t>
            </w:r>
          </w:p>
        </w:tc>
      </w:tr>
      <w:tr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Tablas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Columnas intencionales, headers claros, estado visible, alineación consistente.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Filas apretadas, columnas iguales sin criterio, texto pegado a bordes.</w:t>
            </w:r>
          </w:p>
        </w:tc>
      </w:tr>
      <w:tr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Botones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Primario azul, secundario neutro, crítico rojo.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CTA ambiguo o demasiadas acciones compitiendo.</w:t>
            </w:r>
          </w:p>
        </w:tc>
      </w:tr>
      <w:tr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Iconografía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Línea fina / outlined, coherente en grosor.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Íconos caricaturescos, rellenos pesados o inconsistentes.</w:t>
            </w:r>
          </w:p>
        </w:tc>
      </w:tr>
      <w:tr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Gráficos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Barras o líneas limpias, sin 3D ni sombras pesadas.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Pseudoinfografías, donuts decorativos o chartjunk.</w:t>
            </w:r>
          </w:p>
        </w:tc>
      </w:tr>
    </w:tbl>
    <w:p/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7.2 Comportamiento de estados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APTO: verde + etiqueta explícita + icono de validación.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OBSERVADO: amarillo + texto preventivo + fecha o motivo visible.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NO APTO: rojo + mensaje técnico + llamada a acción correctiva.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PENDIENTE: gris o azul neutro + indicación de condición faltante.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F4F7F9" w:val="clear"/>
            <w:tcBorders>
              <w:left w:val="single" w:sz="6" w:color="D9E1E6"/>
              <w:top w:val="single" w:sz="6" w:color="D9E1E6"/>
              <w:right w:val="single" w:sz="6" w:color="D9E1E6"/>
              <w:bottom w:val="single" w:sz="6" w:color="D9E1E6"/>
            </w:tcBorders>
          </w:tcPr>
          <w:p>
            <w:pPr>
              <w:spacing w:before="0" w:after="40" w:line="276" w:lineRule="auto"/>
            </w:pPr>
            <w:r>
              <w:rPr>
                <w:rFonts w:ascii="Lato" w:hAnsi="Lato" w:eastAsia="Lato"/>
                <w:b/>
                <w:i w:val="0"/>
                <w:color w:val="1A4F82"/>
                <w:sz w:val="22"/>
              </w:rPr>
              <w:t>Norma de diseño para formularios y reportes</w:t>
            </w:r>
          </w:p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20"/>
              </w:rPr>
              <w:t>No modelar formularios como si fueran una hoja de cálculo. Cada bloque debe leerse como una unidad de proceso: identificación, resultados, estado, observaciones y acción.</w:t>
            </w:r>
          </w:p>
        </w:tc>
      </w:tr>
    </w:tbl>
    <w:p/>
    <w:p>
      <w:pPr>
        <w:spacing w:before="200" w:after="40" w:line="276" w:lineRule="auto"/>
        <w:jc w:val="left"/>
      </w:pPr>
      <w:r>
        <w:rPr>
          <w:rFonts w:ascii="Roboto" w:hAnsi="Roboto" w:eastAsia="Roboto"/>
          <w:b/>
          <w:i w:val="0"/>
          <w:caps/>
          <w:color w:val="38B2A3"/>
          <w:sz w:val="17"/>
        </w:rPr>
        <w:t>LENGUAJE DEL SISTEMA</w:t>
      </w:r>
    </w:p>
    <w:p>
      <w:pPr>
        <w:pStyle w:val="Heading1"/>
        <w:spacing w:before="0" w:after="80" w:line="276" w:lineRule="auto"/>
        <w:jc w:val="left"/>
      </w:pPr>
      <w:r>
        <w:rPr>
          <w:rFonts w:ascii="Lato" w:hAnsi="Lato" w:eastAsia="Lato"/>
          <w:b/>
          <w:i w:val="0"/>
          <w:color w:val="1A4F82"/>
          <w:sz w:val="36"/>
        </w:rPr>
        <w:t>8. Voz, tono y microcopy operativo</w:t>
      </w:r>
    </w:p>
    <w:p>
      <w:pPr>
        <w:spacing w:before="0" w:after="120" w:line="240" w:lineRule="auto"/>
        <w:jc w:val="left"/>
        <w:pBdr>
          <w:bottom w:val="single" w:sz="8" w:space="1" w:color="D9E1E6"/>
        </w:pBdr>
      </w:pPr>
      <w:r>
        <w:t xml:space="preserve"> 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  <w:t xml:space="preserve">El tono de PCCLAB es </w:t>
      </w:r>
      <w:r>
        <w:rPr>
          <w:rFonts w:ascii="Roboto" w:hAnsi="Roboto" w:eastAsia="Roboto"/>
          <w:b/>
          <w:i w:val="0"/>
          <w:color w:val="263238"/>
          <w:sz w:val="21"/>
        </w:rPr>
        <w:t>directo, claro y estructurado</w:t>
      </w:r>
      <w:r>
        <w:rPr>
          <w:rFonts w:ascii="Roboto" w:hAnsi="Roboto" w:eastAsia="Roboto"/>
          <w:b w:val="0"/>
          <w:i w:val="0"/>
          <w:color w:val="263238"/>
          <w:sz w:val="21"/>
        </w:rPr>
        <w:t>. El sistema no pregunta con timidez ni suaviza un hallazgo relevante. Informa, clasifica y orienta la acción.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8.1 Regla general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  <w:t xml:space="preserve">Toda pieza de texto debe responder al menos una de estas funciones: </w:t>
      </w:r>
      <w:r>
        <w:rPr>
          <w:rFonts w:ascii="Roboto" w:hAnsi="Roboto" w:eastAsia="Roboto"/>
          <w:b/>
          <w:i w:val="0"/>
          <w:color w:val="263238"/>
          <w:sz w:val="21"/>
        </w:rPr>
        <w:t>informar</w:t>
      </w:r>
      <w:r>
        <w:rPr>
          <w:rFonts w:ascii="Roboto" w:hAnsi="Roboto" w:eastAsia="Roboto"/>
          <w:b w:val="0"/>
          <w:i w:val="0"/>
          <w:color w:val="263238"/>
          <w:sz w:val="21"/>
        </w:rPr>
        <w:t xml:space="preserve">, </w:t>
      </w:r>
      <w:r>
        <w:rPr>
          <w:rFonts w:ascii="Roboto" w:hAnsi="Roboto" w:eastAsia="Roboto"/>
          <w:b/>
          <w:i w:val="0"/>
          <w:color w:val="263238"/>
          <w:sz w:val="21"/>
        </w:rPr>
        <w:t>clasificar</w:t>
      </w:r>
      <w:r>
        <w:rPr>
          <w:rFonts w:ascii="Roboto" w:hAnsi="Roboto" w:eastAsia="Roboto"/>
          <w:b w:val="0"/>
          <w:i w:val="0"/>
          <w:color w:val="263238"/>
          <w:sz w:val="21"/>
        </w:rPr>
        <w:t xml:space="preserve">, </w:t>
      </w:r>
      <w:r>
        <w:rPr>
          <w:rFonts w:ascii="Roboto" w:hAnsi="Roboto" w:eastAsia="Roboto"/>
          <w:b/>
          <w:i w:val="0"/>
          <w:color w:val="263238"/>
          <w:sz w:val="21"/>
        </w:rPr>
        <w:t>advertir</w:t>
      </w:r>
      <w:r>
        <w:rPr>
          <w:rFonts w:ascii="Roboto" w:hAnsi="Roboto" w:eastAsia="Roboto"/>
          <w:b w:val="0"/>
          <w:i w:val="0"/>
          <w:color w:val="263238"/>
          <w:sz w:val="21"/>
        </w:rPr>
        <w:t xml:space="preserve"> o </w:t>
      </w:r>
      <w:r>
        <w:rPr>
          <w:rFonts w:ascii="Roboto" w:hAnsi="Roboto" w:eastAsia="Roboto"/>
          <w:b/>
          <w:i w:val="0"/>
          <w:color w:val="263238"/>
          <w:sz w:val="21"/>
        </w:rPr>
        <w:t>disparar acción</w:t>
      </w:r>
      <w:r>
        <w:rPr>
          <w:rFonts w:ascii="Roboto" w:hAnsi="Roboto" w:eastAsia="Roboto"/>
          <w:b w:val="0"/>
          <w:i w:val="0"/>
          <w:color w:val="263238"/>
          <w:sz w:val="21"/>
        </w:rPr>
        <w:t>. Si un texto no cumple una función operativa, sobra.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8.2 Fórmula recomendada para mensajes críticos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Evento detectado.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Criterio o parámetro afectado.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Condición normativa o de especificación.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Acción recomendada o requerida.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8.3 Ejemplos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Situación</w:t>
            </w:r>
          </w:p>
        </w:tc>
        <w:tc>
          <w:tcPr>
            <w:tcW w:type="dxa" w:w="3515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Incorrecto</w:t>
            </w:r>
          </w:p>
        </w:tc>
        <w:tc>
          <w:tcPr>
            <w:tcW w:type="dxa" w:w="3912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Correcto</w:t>
            </w:r>
          </w:p>
        </w:tc>
      </w:tr>
      <w:tr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Desvío microbiológico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“Parece que hay un problemita con la muestra.”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“DESVÍO DETECTADO: recuento fuera de límite legal. Inicie plan de acción.”</w:t>
            </w:r>
          </w:p>
        </w:tc>
      </w:tr>
      <w:tr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Patógeno presente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“Tal vez convenga revisar este lote.”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“NO APTO: presencia de Salmonella spp. Bloquee lote e investigue causa.”</w:t>
            </w:r>
          </w:p>
        </w:tc>
      </w:tr>
      <w:tr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Documento incompleto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“Faltan algunos datos, cuando puedas.”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“Registro incompleto: falta código de lote y fecha de toma de muestra.”</w:t>
            </w:r>
          </w:p>
        </w:tc>
      </w:tr>
      <w:tr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Resultado conforme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“Todo salió bastante bien.”</w:t>
            </w:r>
          </w:p>
        </w:tc>
        <w:tc>
          <w:tcPr>
            <w:tcW w:type="dxa" w:w="3213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“APTO: resultados dentro de especificación.”</w:t>
            </w:r>
          </w:p>
        </w:tc>
      </w:tr>
    </w:tbl>
    <w:p/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8.4 Microcopy recomendado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“Informe validado”.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“Firma digital aplicada”.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“QR de validación generado”.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“Adjunte acta de toma de muestra”.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“Resultado fuera de especificación”.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“Plan de acción pendiente”.</w:t>
      </w:r>
    </w:p>
    <w:p>
      <w:pPr>
        <w:spacing w:before="200" w:after="40" w:line="276" w:lineRule="auto"/>
        <w:jc w:val="left"/>
      </w:pPr>
      <w:r>
        <w:rPr>
          <w:rFonts w:ascii="Roboto" w:hAnsi="Roboto" w:eastAsia="Roboto"/>
          <w:b/>
          <w:i w:val="0"/>
          <w:caps/>
          <w:color w:val="38B2A3"/>
          <w:sz w:val="17"/>
        </w:rPr>
        <w:t>BAJADA A USO REAL</w:t>
      </w:r>
    </w:p>
    <w:p>
      <w:pPr>
        <w:pStyle w:val="Heading1"/>
        <w:spacing w:before="0" w:after="80" w:line="276" w:lineRule="auto"/>
        <w:jc w:val="left"/>
      </w:pPr>
      <w:r>
        <w:rPr>
          <w:rFonts w:ascii="Lato" w:hAnsi="Lato" w:eastAsia="Lato"/>
          <w:b/>
          <w:i w:val="0"/>
          <w:color w:val="1A4F82"/>
          <w:sz w:val="36"/>
        </w:rPr>
        <w:t>9. Aplicaciones recomendadas</w:t>
      </w:r>
    </w:p>
    <w:p>
      <w:pPr>
        <w:spacing w:before="0" w:after="120" w:line="240" w:lineRule="auto"/>
        <w:jc w:val="left"/>
        <w:pBdr>
          <w:bottom w:val="single" w:sz="8" w:space="1" w:color="D9E1E6"/>
        </w:pBdr>
      </w:pPr>
      <w:r>
        <w:t xml:space="preserve"> 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9.1 Dashboard desktop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  <w:t>Pensado para lectura intensiva, filtros, validación de informes, revisión masiva y firma técnica. Debe privilegiar tablas claras, estados visibles y acciones concentradas.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9.2 App mobile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  <w:t>Pensada para planta, auditoría y captura de evidencia. La interfaz móvil debe simplificar tareas: subir foto, registrar lote, vincular muestra, leer alertas y cerrar observaciones.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9.3 Exportables PDF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  <w:t>Los informes exportados deben ser sobrios. Recomendación: logo en cabecera, bloques de identificación bien jerarquizados, resultados en tablas limpias, firma digital y QR al pie. Nada de fondos decorativos, gradientes intensos ni recursos que compitan con el contenido.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9.4 Aplicaciones institucionales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Portadas de manuales y SOPs vinculados al sistema.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Cabeceras de reportes analíticos y paneles de control.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Presentaciones técnicas con foco en trazabilidad o hallazgos.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Etiquetas o sellos digitales en documentación validada.</w:t>
      </w:r>
    </w:p>
    <w:p>
      <w:pPr>
        <w:spacing w:before="200" w:after="40" w:line="276" w:lineRule="auto"/>
        <w:jc w:val="left"/>
      </w:pPr>
      <w:r>
        <w:rPr>
          <w:rFonts w:ascii="Roboto" w:hAnsi="Roboto" w:eastAsia="Roboto"/>
          <w:b/>
          <w:i w:val="0"/>
          <w:caps/>
          <w:color w:val="38B2A3"/>
          <w:sz w:val="17"/>
        </w:rPr>
        <w:t>DISCIPLINA DE MARCA</w:t>
      </w:r>
    </w:p>
    <w:p>
      <w:pPr>
        <w:pStyle w:val="Heading1"/>
        <w:spacing w:before="0" w:after="80" w:line="276" w:lineRule="auto"/>
        <w:jc w:val="left"/>
      </w:pPr>
      <w:r>
        <w:rPr>
          <w:rFonts w:ascii="Lato" w:hAnsi="Lato" w:eastAsia="Lato"/>
          <w:b/>
          <w:i w:val="0"/>
          <w:color w:val="1A4F82"/>
          <w:sz w:val="36"/>
        </w:rPr>
        <w:t>10. Normas de uso y errores prohibidos</w:t>
      </w:r>
    </w:p>
    <w:p>
      <w:pPr>
        <w:spacing w:before="0" w:after="120" w:line="240" w:lineRule="auto"/>
        <w:jc w:val="left"/>
        <w:pBdr>
          <w:bottom w:val="single" w:sz="8" w:space="1" w:color="D9E1E6"/>
        </w:pBdr>
      </w:pPr>
      <w:r>
        <w:t xml:space="preserve"> 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No deformar el logotipo ni cambiar sus proporciones.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No alterar la paleta oficial para “darle más vida”.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No aplicar brillos, sombras pesadas, 3D o degradados improvisados.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No usar rojo o amarillo como decoración.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No reemplazar la tipografía principal por alternativas blandas o infantiles.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No redactar mensajes ambiguos cuando hay desvíos, faltantes o eventos críticos.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No saturar dashboards con tarjetas, métricas e iconos sin jerarquía.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No encerrar el isotipo en formas innecesarias si no existe una razón funcional.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F4F7F9" w:val="clear"/>
            <w:tcBorders>
              <w:left w:val="single" w:sz="6" w:color="D9E1E6"/>
              <w:top w:val="single" w:sz="6" w:color="D9E1E6"/>
              <w:right w:val="single" w:sz="6" w:color="D9E1E6"/>
              <w:bottom w:val="single" w:sz="6" w:color="D9E1E6"/>
            </w:tcBorders>
          </w:tcPr>
          <w:p>
            <w:pPr>
              <w:spacing w:before="0" w:after="40" w:line="276" w:lineRule="auto"/>
            </w:pPr>
            <w:r>
              <w:rPr>
                <w:rFonts w:ascii="Lato" w:hAnsi="Lato" w:eastAsia="Lato"/>
                <w:b/>
                <w:i w:val="0"/>
                <w:color w:val="1A4F82"/>
                <w:sz w:val="22"/>
              </w:rPr>
              <w:t>Principio disciplinario</w:t>
            </w:r>
          </w:p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20"/>
              </w:rPr>
              <w:t>La marca debe resistir el deseo de “hacerla más linda” cuando eso reduce precisión, autoridad o lectura. En PCCLAB, embellecer a costa de claridad es un error.</w:t>
            </w:r>
          </w:p>
        </w:tc>
      </w:tr>
    </w:tbl>
    <w:p/>
    <w:p>
      <w:pPr>
        <w:spacing w:before="200" w:after="40" w:line="276" w:lineRule="auto"/>
        <w:jc w:val="left"/>
      </w:pPr>
      <w:r>
        <w:rPr>
          <w:rFonts w:ascii="Roboto" w:hAnsi="Roboto" w:eastAsia="Roboto"/>
          <w:b/>
          <w:i w:val="0"/>
          <w:caps/>
          <w:color w:val="38B2A3"/>
          <w:sz w:val="17"/>
        </w:rPr>
        <w:t>CÓMO SOSTENER LA CONSISTENCIA</w:t>
      </w:r>
    </w:p>
    <w:p>
      <w:pPr>
        <w:pStyle w:val="Heading1"/>
        <w:spacing w:before="0" w:after="80" w:line="276" w:lineRule="auto"/>
        <w:jc w:val="left"/>
      </w:pPr>
      <w:r>
        <w:rPr>
          <w:rFonts w:ascii="Lato" w:hAnsi="Lato" w:eastAsia="Lato"/>
          <w:b/>
          <w:i w:val="0"/>
          <w:color w:val="1A4F82"/>
          <w:sz w:val="36"/>
        </w:rPr>
        <w:t>11. Implementación y gobernanza</w:t>
      </w:r>
    </w:p>
    <w:p>
      <w:pPr>
        <w:spacing w:before="0" w:after="120" w:line="240" w:lineRule="auto"/>
        <w:jc w:val="left"/>
        <w:pBdr>
          <w:bottom w:val="single" w:sz="8" w:space="1" w:color="D9E1E6"/>
        </w:pBdr>
      </w:pPr>
      <w:r>
        <w:t xml:space="preserve"> 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11.1 Paquete mínimo que debe existir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Archivo maestro del logo en versiones isotipo, completa y monocromática.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Paleta oficial documentada con hex y usos semánticos.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Biblioteca de iconos coherente.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Kit de componentes UI base: botones, cards, tablas, badges, alertas, modales.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Plantilla de PDF exportable con firma digital y QR.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Guía de microcopy para estados, errores, confirmaciones y desvíos.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11.2 Proceso de aprobación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Toda pieza nueva debe validarse contra este manual antes de salir.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Si el soporte es técnico-operativo, la claridad prevalece sobre cualquier criterio estético secundario.</w:t>
      </w:r>
    </w:p>
    <w:p>
      <w:pPr>
        <w:spacing w:before="0" w:after="40" w:line="276" w:lineRule="auto"/>
        <w:ind w:left="255" w:hanging="198"/>
      </w:pPr>
      <w:r>
        <w:rPr>
          <w:rFonts w:ascii="Roboto" w:hAnsi="Roboto" w:eastAsia="Roboto"/>
          <w:b/>
          <w:i w:val="0"/>
          <w:color w:val="38B2A3"/>
          <w:sz w:val="21"/>
        </w:rPr>
        <w:t xml:space="preserve">• </w:t>
      </w:r>
      <w:r>
        <w:rPr>
          <w:rFonts w:ascii="Roboto" w:hAnsi="Roboto" w:eastAsia="Roboto"/>
          <w:b w:val="0"/>
          <w:i w:val="0"/>
          <w:color w:val="263238"/>
          <w:sz w:val="21"/>
        </w:rPr>
        <w:t>Nuevos colores, claims, variaciones de logo o estilos de interfaz solo se incorporan si resuelven una necesidad real y quedan documentados.</w:t>
      </w:r>
    </w:p>
    <w:p>
      <w:pPr>
        <w:pStyle w:val="Heading2"/>
        <w:spacing w:before="140" w:after="40" w:line="276" w:lineRule="auto"/>
      </w:pPr>
      <w:r>
        <w:rPr>
          <w:rFonts w:ascii="Lato" w:hAnsi="Lato" w:eastAsia="Lato"/>
          <w:b/>
          <w:i w:val="0"/>
          <w:color w:val="1A4F82"/>
          <w:sz w:val="26"/>
        </w:rPr>
        <w:t>11.3 Checklist de control rápido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Pregunta de control</w:t>
            </w:r>
          </w:p>
        </w:tc>
        <w:tc>
          <w:tcPr>
            <w:tcW w:type="dxa" w:w="4082"/>
            <w:shd w:fill="F4F7F9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Roboto" w:hAnsi="Roboto" w:eastAsia="Roboto"/>
                <w:b/>
                <w:i w:val="0"/>
                <w:color w:val="1A4F82"/>
                <w:sz w:val="20"/>
              </w:rPr>
              <w:t>Criterio de aprobación</w:t>
            </w:r>
          </w:p>
        </w:tc>
      </w:tr>
      <w:tr>
        <w:tc>
          <w:tcPr>
            <w:tcW w:type="dxa" w:w="481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¿Se reconoce como una herramienta técnica y no como una app genérica?</w:t>
            </w:r>
          </w:p>
        </w:tc>
        <w:tc>
          <w:tcPr>
            <w:tcW w:type="dxa" w:w="481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Debe responder sí.</w:t>
            </w:r>
          </w:p>
        </w:tc>
      </w:tr>
      <w:tr>
        <w:tc>
          <w:tcPr>
            <w:tcW w:type="dxa" w:w="481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¿Los estados críticos se leen en menos de un segundo?</w:t>
            </w:r>
          </w:p>
        </w:tc>
        <w:tc>
          <w:tcPr>
            <w:tcW w:type="dxa" w:w="481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Color + etiqueta + acción.</w:t>
            </w:r>
          </w:p>
        </w:tc>
      </w:tr>
      <w:tr>
        <w:tc>
          <w:tcPr>
            <w:tcW w:type="dxa" w:w="481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¿La pieza mantiene la paleta oficial y la jerarquía tipográfica?</w:t>
            </w:r>
          </w:p>
        </w:tc>
        <w:tc>
          <w:tcPr>
            <w:tcW w:type="dxa" w:w="481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Sin desvíos.</w:t>
            </w:r>
          </w:p>
        </w:tc>
      </w:tr>
      <w:tr>
        <w:tc>
          <w:tcPr>
            <w:tcW w:type="dxa" w:w="481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¿El mensaje es directo y operativo?</w:t>
            </w:r>
          </w:p>
        </w:tc>
        <w:tc>
          <w:tcPr>
            <w:tcW w:type="dxa" w:w="481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Sin frases blandas.</w:t>
            </w:r>
          </w:p>
        </w:tc>
      </w:tr>
      <w:tr>
        <w:tc>
          <w:tcPr>
            <w:tcW w:type="dxa" w:w="481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¿El logo conserva área de resguardo y proporciones?</w:t>
            </w:r>
          </w:p>
        </w:tc>
        <w:tc>
          <w:tcPr>
            <w:tcW w:type="dxa" w:w="4819"/>
            <w:tcBorders>
              <w:left w:val="single" w:sz="4" w:color="D9E1E6"/>
              <w:top w:val="single" w:sz="4" w:color="D9E1E6"/>
              <w:right w:val="single" w:sz="4" w:color="D9E1E6"/>
              <w:bottom w:val="single" w:sz="4" w:color="D9E1E6"/>
            </w:tcBorders>
          </w:tcPr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19"/>
              </w:rPr>
              <w:t>Sin alteraciones.</w:t>
            </w:r>
          </w:p>
        </w:tc>
      </w:tr>
    </w:tbl>
    <w:p/>
    <w:p>
      <w:pPr>
        <w:spacing w:before="200" w:after="40" w:line="276" w:lineRule="auto"/>
        <w:jc w:val="left"/>
      </w:pPr>
      <w:r>
        <w:rPr>
          <w:rFonts w:ascii="Roboto" w:hAnsi="Roboto" w:eastAsia="Roboto"/>
          <w:b/>
          <w:i w:val="0"/>
          <w:caps/>
          <w:color w:val="38B2A3"/>
          <w:sz w:val="17"/>
        </w:rPr>
        <w:t>SÍNTESIS</w:t>
      </w:r>
    </w:p>
    <w:p>
      <w:pPr>
        <w:pStyle w:val="Heading1"/>
        <w:spacing w:before="0" w:after="80" w:line="276" w:lineRule="auto"/>
        <w:jc w:val="left"/>
      </w:pPr>
      <w:r>
        <w:rPr>
          <w:rFonts w:ascii="Lato" w:hAnsi="Lato" w:eastAsia="Lato"/>
          <w:b/>
          <w:i w:val="0"/>
          <w:color w:val="1A4F82"/>
          <w:sz w:val="36"/>
        </w:rPr>
        <w:t>Cierre</w:t>
      </w:r>
    </w:p>
    <w:p>
      <w:pPr>
        <w:spacing w:before="0" w:after="120" w:line="240" w:lineRule="auto"/>
        <w:jc w:val="left"/>
        <w:pBdr>
          <w:bottom w:val="single" w:sz="8" w:space="1" w:color="D9E1E6"/>
        </w:pBdr>
      </w:pPr>
      <w:r>
        <w:t xml:space="preserve"> 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  <w:t>PCCLAB debe comunicar, en un vistazo, que los datos importan, que la trazabilidad está resuelta y que los resultados tienen consecuencias. La marca no necesita caer simpática. Necesita transmitir confianza técnica.</w:t>
      </w:r>
    </w:p>
    <w:p>
      <w:pPr>
        <w:spacing w:before="0" w:after="80" w:line="276" w:lineRule="auto"/>
      </w:pPr>
      <w:r>
        <w:rPr>
          <w:rFonts w:ascii="Roboto" w:hAnsi="Roboto" w:eastAsia="Roboto"/>
          <w:b w:val="0"/>
          <w:i w:val="0"/>
          <w:color w:val="263238"/>
          <w:sz w:val="21"/>
        </w:rPr>
        <w:t>Si la identidad logra que un usuario piense “esto está hecho para controlar y decidir con evidencia”, entonces el sistema de marca está funcionando.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FFFFFF" w:val="clear"/>
            <w:tcBorders>
              <w:left w:val="single" w:sz="6" w:color="D9E1E6"/>
              <w:top w:val="single" w:sz="6" w:color="D9E1E6"/>
              <w:right w:val="single" w:sz="6" w:color="D9E1E6"/>
              <w:bottom w:val="single" w:sz="6" w:color="D9E1E6"/>
            </w:tcBorders>
          </w:tcPr>
          <w:p>
            <w:pPr>
              <w:spacing w:before="0" w:after="40" w:line="276" w:lineRule="auto"/>
            </w:pPr>
            <w:r>
              <w:rPr>
                <w:rFonts w:ascii="Lato" w:hAnsi="Lato" w:eastAsia="Lato"/>
                <w:b/>
                <w:i w:val="0"/>
                <w:color w:val="1A4F82"/>
                <w:sz w:val="22"/>
              </w:rPr>
              <w:t>Frases de apoyo opcionales</w:t>
            </w:r>
          </w:p>
          <w:p>
            <w:pPr>
              <w:spacing w:before="0" w:after="0" w:line="276" w:lineRule="auto"/>
            </w:pPr>
            <w:r>
              <w:rPr>
                <w:rFonts w:ascii="Roboto" w:hAnsi="Roboto" w:eastAsia="Roboto"/>
                <w:b w:val="0"/>
                <w:i w:val="0"/>
                <w:color w:val="263238"/>
                <w:sz w:val="20"/>
              </w:rPr>
              <w:t>“Control crítico. Evidencia clara.” · “Trazabilidad para decidir.” · “Datos analíticos con criterio operativo.”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Roboto" w:hAnsi="Roboto" w:eastAsia="Roboto"/>
        <w:b w:val="0"/>
        <w:i w:val="0"/>
        <w:color w:val="607D8B"/>
        <w:sz w:val="17"/>
      </w:rPr>
      <w:t>PCCLAB · Manual de Marca e Identidad Visual · Abril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 w:eastAsia="Roboto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ato" w:hAnsi="Lato" w:eastAsia="Lato"/>
      <w:b/>
      <w:bCs/>
      <w:color w:val="1A4F8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ato" w:hAnsi="Lato" w:eastAsia="Lato"/>
      <w:b/>
      <w:bCs/>
      <w:color w:val="1A4F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 w:eastAsia="Roboto"/>
      <w:b/>
      <w:bCs/>
      <w:color w:val="2632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ato" w:hAnsi="Lato" w:eastAsia="Lato"/>
      <w:b/>
      <w:color w:val="1A4F8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Roboto" w:hAnsi="Roboto" w:eastAsia="Roboto"/>
      <w:i/>
      <w:iCs/>
      <w:color w:val="607D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