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/>
        <w:jc w:val="center"/>
      </w:pPr>
      <w:r>
        <w:rPr>
          <w:rFonts w:ascii="Arial" w:hAnsi="Arial"/>
          <w:b/>
          <w:color w:val="F28C00"/>
          <w:sz w:val="22"/>
        </w:rPr>
        <w:t>INSTRUCTIVO</w:t>
      </w:r>
    </w:p>
    <w:p>
      <w:pPr>
        <w:spacing w:after="160"/>
        <w:jc w:val="center"/>
        <w:pBdr>
          <w:bottom w:val="single" w:sz="16" w:space="5" w:color="F28C00"/>
        </w:pBdr>
      </w:pPr>
      <w:r>
        <w:rPr>
          <w:rFonts w:ascii="Arial" w:hAnsi="Arial"/>
          <w:b/>
          <w:color w:val="202124"/>
          <w:sz w:val="34"/>
        </w:rPr>
        <w:t>EVALUACIONES DE DESEMPEÑO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01"/>
        <w:gridCol w:w="3288"/>
        <w:gridCol w:w="1701"/>
        <w:gridCol w:w="3288"/>
      </w:tblGrid>
      <w:tr>
        <w:trPr>
          <w:cantSplit/>
          <w:tblHeader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Tipo de documento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Instructivo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Proceso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Gestión de Personas / Operaciones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Código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INS-RRHH-EVD-001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Versión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Fecha de emisión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20/07/2026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Vigencia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Hasta nueva revisión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Responsable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Gestión de Personas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Aprobación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Gerencia General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Clasificación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Uso interno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Soporte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Fly Gestión / Documento digital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F28C00"/>
          <w:left w:val="single" w:sz="8" w:space="0" w:color="F28C00"/>
          <w:bottom w:val="single" w:sz="8" w:space="0" w:color="F28C00"/>
          <w:right w:val="single" w:sz="8" w:space="0" w:color="F28C00"/>
        </w:tblBorders>
      </w:tblPr>
      <w:tblGrid>
        <w:gridCol w:w="9978"/>
      </w:tblGrid>
      <w:tr>
        <w:trPr>
          <w:tblHeader w:val="true"/>
        </w:trPr>
        <w:tc>
          <w:tcPr>
            <w:tcW w:type="dxa" w:w="10092"/>
            <w:tcMar>
              <w:top w:w="100" w:type="dxa"/>
              <w:start w:w="120" w:type="dxa"/>
              <w:bottom w:w="100" w:type="dxa"/>
              <w:end w:w="120" w:type="dxa"/>
            </w:tcMar>
            <w:shd w:fill="FFF3E3"/>
          </w:tcPr>
          <w:p>
            <w:pPr>
              <w:widowControl/>
              <w:spacing w:after="0" w:line="252" w:lineRule="auto"/>
            </w:pPr>
            <w:r>
              <w:rPr>
                <w:rFonts w:ascii="Arial" w:hAnsi="Arial"/>
                <w:b/>
                <w:color w:val="202124"/>
                <w:sz w:val="17"/>
              </w:rPr>
              <w:t xml:space="preserve">PRINCIPIO RECTOR. </w:t>
            </w:r>
            <w:r>
              <w:rPr>
                <w:rFonts w:ascii="Arial" w:hAnsi="Arial"/>
                <w:color w:val="202124"/>
                <w:sz w:val="17"/>
              </w:rPr>
              <w:t>La evaluación debe reflejar hechos observables del período. No debe medir simpatía, afinidad personal ni utilizarse para evitar conversaciones de desempeño.</w:t>
            </w:r>
          </w:p>
        </w:tc>
      </w:tr>
    </w:tbl>
    <w:p>
      <w:pPr>
        <w:spacing w:after="0"/>
      </w:pPr>
    </w:p>
    <w:p>
      <w:pPr>
        <w:pStyle w:val="ISOHeading1"/>
        <w:keepNext/>
        <w:keepLines/>
      </w:pPr>
      <w:r>
        <w:t>1. Objetivo</w:t>
      </w:r>
    </w:p>
    <w:p>
      <w:pPr>
        <w:pStyle w:val="BodyISO"/>
      </w:pPr>
      <w:r>
        <w:t>Establecer criterios uniformes para completar las evaluaciones de desempeño de forma objetiva, consistente y útil para la gestión. La evaluación debe permitir reconocer fortalezas reales, detectar oportunidades de mejora, definir acciones de desarrollo y respaldar decisiones con evidencia.</w:t>
      </w:r>
    </w:p>
    <w:p>
      <w:pPr>
        <w:pStyle w:val="ISOHeading1"/>
        <w:keepNext/>
        <w:keepLines/>
      </w:pPr>
      <w:r>
        <w:t>2. Alcance</w:t>
      </w:r>
    </w:p>
    <w:p>
      <w:pPr>
        <w:pStyle w:val="BodyISO"/>
      </w:pPr>
      <w:r>
        <w:t>Aplica a todas las evaluaciones de desempeño registradas en Fly Gestión para personal operativo, administrativo, técnico y de supervisión, cualquiera sea la sede o servicio.</w:t>
      </w:r>
    </w:p>
    <w:p>
      <w:pPr>
        <w:pStyle w:val="ISOHeading1"/>
        <w:keepNext/>
        <w:keepLines/>
      </w:pPr>
      <w:r>
        <w:t>3. Referencias</w:t>
      </w:r>
    </w:p>
    <w:p>
      <w:pPr>
        <w:pStyle w:val="BulletISO"/>
        <w:ind w:left="312" w:hanging="142"/>
      </w:pPr>
      <w:r>
        <w:t>ISO 9001:2015: apartados 7.2 Competencia, 7.3 Toma de conciencia, 7.5 Información documentada, 9.1 Seguimiento, medición, análisis y evaluación, y 10.3 Mejora continua.</w:t>
      </w:r>
    </w:p>
    <w:p>
      <w:pPr>
        <w:pStyle w:val="BulletISO"/>
        <w:ind w:left="312" w:hanging="142"/>
      </w:pPr>
      <w:r>
        <w:t>Formulario digital de Evaluación de Desempeño de Fly Gestión.</w:t>
      </w:r>
    </w:p>
    <w:p>
      <w:pPr>
        <w:pStyle w:val="BulletISO"/>
        <w:ind w:left="312" w:hanging="142"/>
      </w:pPr>
      <w:r>
        <w:t>Descripciones de puesto, procedimientos operativos y registros vigentes aplicables a cada función.</w:t>
      </w:r>
    </w:p>
    <w:p>
      <w:pPr>
        <w:pStyle w:val="ISOHeading1"/>
        <w:keepNext/>
        <w:keepLines/>
      </w:pPr>
      <w:r>
        <w:t>4. Definiciones</w:t>
      </w:r>
    </w:p>
    <w:p>
      <w:pPr>
        <w:pStyle w:val="BodyISO"/>
        <w:keepLines/>
        <w:ind w:left="312" w:hanging="312"/>
      </w:pPr>
      <w:r>
        <w:rPr>
          <w:b/>
        </w:rPr>
        <w:t>4.1. Evaluación de desempeño:</w:t>
      </w:r>
      <w:r>
        <w:t xml:space="preserve"> valoración documentada del nivel de cumplimiento de una persona respecto de las responsabilidades y conductas esperadas para su puesto durante un período definido.</w:t>
      </w:r>
    </w:p>
    <w:p>
      <w:pPr>
        <w:pStyle w:val="BodyISO"/>
        <w:keepLines/>
        <w:ind w:left="312" w:hanging="312"/>
      </w:pPr>
      <w:r>
        <w:rPr>
          <w:b/>
        </w:rPr>
        <w:t>4.2. Evidencia objetiva:</w:t>
      </w:r>
      <w:r>
        <w:t xml:space="preserve"> hecho, registro, resultado o conducta observable que permite justificar una calificación.</w:t>
      </w:r>
    </w:p>
    <w:p>
      <w:pPr>
        <w:pStyle w:val="BodyISO"/>
        <w:keepLines/>
        <w:ind w:left="312" w:hanging="312"/>
      </w:pPr>
      <w:r>
        <w:rPr>
          <w:b/>
        </w:rPr>
        <w:t>4.3. Sin calificar:</w:t>
      </w:r>
      <w:r>
        <w:t xml:space="preserve"> opción que debe utilizarse cuando el evaluador no disponga de observación suficiente para valorar un ítem.</w:t>
      </w:r>
    </w:p>
    <w:p>
      <w:pPr>
        <w:pStyle w:val="BodyISO"/>
        <w:keepLines/>
        <w:ind w:left="312" w:hanging="312"/>
      </w:pPr>
      <w:r>
        <w:rPr>
          <w:b/>
        </w:rPr>
        <w:t>4.4. Oportunidad de mejora:</w:t>
      </w:r>
      <w:r>
        <w:t xml:space="preserve"> aspecto concreto del desempeño que puede desarrollarse, corregirse o consolidarse mediante una acción verificable.</w:t>
      </w:r>
    </w:p>
    <w:p>
      <w:pPr/>
      <w:r/>
    </w:p>
    <w:p>
      <w:pPr>
        <w:pStyle w:val="ISOHeading1"/>
        <w:keepNext/>
        <w:keepLines/>
      </w:pPr>
      <w:r>
        <w:t>5. Responsabilidades</w:t>
      </w:r>
    </w:p>
    <w:p>
      <w:pPr>
        <w:pStyle w:val="ISOSubheading"/>
      </w:pPr>
      <w:r>
        <w:t>Evaluador</w:t>
      </w:r>
    </w:p>
    <w:p>
      <w:pPr>
        <w:pStyle w:val="BodyISO"/>
        <w:spacing w:after="40"/>
      </w:pPr>
      <w:r>
        <w:t>Debe completar la evaluación sobre la base de hechos del período y asegurar que los comentarios sean coherentes con los puntajes.</w:t>
      </w:r>
    </w:p>
    <w:p>
      <w:pPr>
        <w:pStyle w:val="BulletISO"/>
        <w:ind w:left="312" w:hanging="142"/>
      </w:pPr>
      <w:r>
        <w:t>Conocer las responsabilidades del puesto evaluado.</w:t>
      </w:r>
    </w:p>
    <w:p>
      <w:pPr>
        <w:pStyle w:val="BulletISO"/>
        <w:ind w:left="312" w:hanging="142"/>
      </w:pPr>
      <w:r>
        <w:t>Considerar todo el período y no solamente el hecho más reciente.</w:t>
      </w:r>
    </w:p>
    <w:p>
      <w:pPr>
        <w:pStyle w:val="BulletISO"/>
        <w:ind w:left="312" w:hanging="142"/>
      </w:pPr>
      <w:r>
        <w:t>Justificar los puntajes altos o bajos con ejemplos concretos.</w:t>
      </w:r>
    </w:p>
    <w:p>
      <w:pPr>
        <w:pStyle w:val="BulletISO"/>
        <w:ind w:left="312" w:hanging="142"/>
      </w:pPr>
      <w:r>
        <w:t>Utilizar “Sin calificar” cuando no exista observación suficiente.</w:t>
      </w:r>
    </w:p>
    <w:p>
      <w:pPr>
        <w:pStyle w:val="BulletISO"/>
        <w:ind w:left="312" w:hanging="142"/>
      </w:pPr>
      <w:r>
        <w:t>Comunicar los resultados de manera profesional y respetuosa.</w:t>
      </w:r>
    </w:p>
    <w:p>
      <w:pPr>
        <w:pStyle w:val="ISOSubheading"/>
      </w:pPr>
      <w:r>
        <w:t>Responsable de sede o proceso</w:t>
      </w:r>
    </w:p>
    <w:p>
      <w:pPr>
        <w:pStyle w:val="BodyISO"/>
        <w:spacing w:after="40"/>
      </w:pPr>
      <w:r>
        <w:t>Debe verificar que la evaluación sea completa, objetiva y consistente antes de su cierre.</w:t>
      </w:r>
    </w:p>
    <w:p>
      <w:pPr>
        <w:pStyle w:val="BulletISO"/>
        <w:ind w:left="312" w:hanging="142"/>
      </w:pPr>
      <w:r>
        <w:t>Revisar posibles contradicciones entre puntajes y comentarios.</w:t>
      </w:r>
    </w:p>
    <w:p>
      <w:pPr>
        <w:pStyle w:val="BulletISO"/>
        <w:ind w:left="312" w:hanging="142"/>
      </w:pPr>
      <w:r>
        <w:t>Evitar inflación de calificaciones, favoritismos o evaluaciones de compromiso.</w:t>
      </w:r>
    </w:p>
    <w:p>
      <w:pPr>
        <w:pStyle w:val="BulletISO"/>
        <w:ind w:left="312" w:hanging="142"/>
      </w:pPr>
      <w:r>
        <w:t>Definir seguimiento cuando existan oportunidades de mejora relevantes.</w:t>
      </w:r>
    </w:p>
    <w:p>
      <w:pPr>
        <w:pStyle w:val="ISOSubheading"/>
      </w:pPr>
      <w:r>
        <w:t>Gestión de Personas</w:t>
      </w:r>
    </w:p>
    <w:p>
      <w:pPr>
        <w:pStyle w:val="BodyISO"/>
        <w:spacing w:after="40"/>
      </w:pPr>
      <w:r>
        <w:t>Debe conservar el registro, acompañar los casos que requieran intervención y utilizar la información para capacitación, seguimiento y desarrollo.</w:t>
      </w:r>
    </w:p>
    <w:p>
      <w:pPr>
        <w:pStyle w:val="BulletISO"/>
        <w:ind w:left="312" w:hanging="142"/>
      </w:pPr>
      <w:r>
        <w:t>Controlar la integridad del registro.</w:t>
      </w:r>
    </w:p>
    <w:p>
      <w:pPr>
        <w:pStyle w:val="BulletISO"/>
        <w:ind w:left="312" w:hanging="142"/>
      </w:pPr>
      <w:r>
        <w:t>Analizar tendencias y necesidades de capacitación.</w:t>
      </w:r>
    </w:p>
    <w:p>
      <w:pPr>
        <w:pStyle w:val="BulletISO"/>
        <w:ind w:left="312" w:hanging="142"/>
      </w:pPr>
      <w:r>
        <w:t>Resguardar la confidencialidad y el acceso a la información.</w:t>
      </w:r>
    </w:p>
    <w:p>
      <w:pPr>
        <w:pStyle w:val="ISOHeading1"/>
        <w:keepNext/>
        <w:keepLines/>
      </w:pPr>
      <w:r>
        <w:t>6. Desarrollo</w:t>
      </w:r>
    </w:p>
    <w:p>
      <w:pPr>
        <w:pStyle w:val="ISOHeading2"/>
        <w:keepNext/>
        <w:keepLines/>
      </w:pPr>
      <w:r>
        <w:t>6.1 Criterio general: evaluar hechos, no impresiones</w:t>
      </w:r>
    </w:p>
    <w:p>
      <w:pPr>
        <w:pStyle w:val="BodyISO"/>
      </w:pPr>
      <w:r>
        <w:t>Toda calificación debe basarse en conductas observables y hechos concretos ocurridos durante el período. El evaluador debe poder explicar el puntaje y aportar un ejemplo que lo justifique.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5046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EXPRESIÓN INSUFICIENTE</w:t>
            </w:r>
          </w:p>
        </w:tc>
        <w:tc>
          <w:tcPr>
            <w:tcW w:type="dxa" w:w="5046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EXPRESIÓN OBJETIVA</w:t>
            </w:r>
          </w:p>
        </w:tc>
      </w:tr>
      <w:tr>
        <w:trPr>
          <w:cantSplit/>
        </w:trPr>
        <w:tc>
          <w:tcPr>
            <w:tcW w:type="dxa" w:w="5046"/>
            <w:shd w:fill="FBE9E7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“Trabaja bien”.</w:t>
            </w:r>
          </w:p>
        </w:tc>
        <w:tc>
          <w:tcPr>
            <w:tcW w:type="dxa" w:w="5046"/>
            <w:shd w:fill="EAF4EA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“Cumple las tareas asignadas dentro de los tiempos definidos y mantiene actualizadas las planillas de control”.</w:t>
            </w:r>
          </w:p>
        </w:tc>
      </w:tr>
      <w:tr>
        <w:trPr>
          <w:cantSplit/>
        </w:trPr>
        <w:tc>
          <w:tcPr>
            <w:tcW w:type="dxa" w:w="5046"/>
            <w:shd w:fill="FBE9E7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“Tiene mala actitud”.</w:t>
            </w:r>
          </w:p>
        </w:tc>
        <w:tc>
          <w:tcPr>
            <w:tcW w:type="dxa" w:w="5046"/>
            <w:shd w:fill="EAF4EA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“Ante indicaciones operativas suele discutir la instrucción antes de ejecutarla, generando demoras en el equipo”.</w:t>
            </w:r>
          </w:p>
        </w:tc>
      </w:tr>
    </w:tbl>
    <w:p>
      <w:pPr>
        <w:spacing w:after="0"/>
      </w:pPr>
    </w:p>
    <w:p>
      <w:pPr>
        <w:pStyle w:val="ISOHeading2"/>
        <w:keepNext/>
        <w:keepLines/>
      </w:pPr>
      <w:r>
        <w:t>6.2 Escala de calificación</w:t>
      </w:r>
    </w:p>
    <w:p>
      <w:pPr>
        <w:pStyle w:val="BodyISO"/>
      </w:pPr>
      <w:r>
        <w:t>La escala mide el nivel de cumplimiento frente a lo esperado para el puesto. No mide simpatía, intención ni ausencia de conflictos.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B9B9B"/>
          <w:left w:val="single" w:sz="6" w:space="0" w:color="9B9B9B"/>
          <w:bottom w:val="single" w:sz="6" w:space="0" w:color="9B9B9B"/>
          <w:right w:val="single" w:sz="6" w:space="0" w:color="9B9B9B"/>
          <w:insideH w:val="single" w:sz="6" w:space="0" w:color="9B9B9B"/>
          <w:insideV w:val="single" w:sz="6" w:space="0" w:color="9B9B9B"/>
        </w:tblBorders>
      </w:tblPr>
      <w:tblGrid>
        <w:gridCol w:w="680"/>
        <w:gridCol w:w="1247"/>
        <w:gridCol w:w="2494"/>
        <w:gridCol w:w="5499"/>
      </w:tblGrid>
      <w:tr>
        <w:trPr>
          <w:tblHeader w:val="true"/>
        </w:trPr>
        <w:tc>
          <w:tcPr>
            <w:tcW w:type="dxa" w:w="2523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Puntaje</w:t>
            </w:r>
          </w:p>
        </w:tc>
        <w:tc>
          <w:tcPr>
            <w:tcW w:type="dxa" w:w="2523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2523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Definición</w:t>
            </w:r>
          </w:p>
        </w:tc>
        <w:tc>
          <w:tcPr>
            <w:tcW w:type="dxa" w:w="2523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Indicadores orientativos</w:t>
            </w:r>
          </w:p>
        </w:tc>
      </w:tr>
      <w:tr>
        <w:trPr>
          <w:cantSplit/>
        </w:trPr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  <w:shd w:fill="FFF3E3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28C00"/>
                <w:sz w:val="18"/>
              </w:rPr>
              <w:t>1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5"/>
              </w:rPr>
              <w:t>Muy bajo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Desempeño claramente inferior a lo requerido.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Incumple tareas reiteradamente; necesita supervisión permanente; no respeta procedimientos; genera errores, demoras o conflictos frecuentes; no mejora pese a las indicaciones.</w:t>
            </w:r>
          </w:p>
        </w:tc>
      </w:tr>
      <w:tr>
        <w:trPr>
          <w:cantSplit/>
        </w:trPr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  <w:shd w:fill="FFF3E3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28C00"/>
                <w:sz w:val="18"/>
              </w:rPr>
              <w:t>2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5"/>
              </w:rPr>
              <w:t>Bajo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Cumple parcialmente, pero presenta dificultades relevantes.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Cumplimiento irregular; supervisión frecuente; errores repetidos; dificultades de organización o prioridades; impacto parcial en el servicio o el equipo.</w:t>
            </w:r>
          </w:p>
        </w:tc>
      </w:tr>
      <w:tr>
        <w:trPr>
          <w:cantSplit/>
        </w:trPr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  <w:shd w:fill="FFF3E3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28C00"/>
                <w:sz w:val="18"/>
              </w:rPr>
              <w:t>3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5"/>
              </w:rPr>
              <w:t>Aceptable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Cumple con lo esperado para su puesto.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Realiza correctamente las tareas habituales; respeta horarios, procedimientos e indicaciones; mantiene un desempeño estable; requiere la supervisión normal de su función.</w:t>
            </w:r>
          </w:p>
        </w:tc>
      </w:tr>
      <w:tr>
        <w:trPr>
          <w:cantSplit/>
        </w:trPr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  <w:shd w:fill="FFF3E3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28C00"/>
                <w:sz w:val="18"/>
              </w:rPr>
              <w:t>4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5"/>
              </w:rPr>
              <w:t>Alto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Supera de manera consistente lo esperado para el puesto.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Trabaja con autonomía; se anticipa a necesidades; resuelve problemas; colabora activamente; mantiene resultados superiores al estándar habitual.</w:t>
            </w:r>
          </w:p>
        </w:tc>
      </w:tr>
      <w:tr>
        <w:trPr>
          <w:cantSplit/>
        </w:trPr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  <w:shd w:fill="FFF3E3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28C00"/>
                <w:sz w:val="18"/>
              </w:rPr>
              <w:t>5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5"/>
              </w:rPr>
              <w:t>Excelente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Desempeño excepcional y claramente superior a lo requerido.</w:t>
            </w:r>
          </w:p>
        </w:tc>
        <w:tc>
          <w:tcPr>
            <w:tcW w:type="dxa" w:w="252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Obtiene resultados sobresalientes sostenidos; implementa mejoras; resuelve situaciones complejas; genera impacto positivo comprobable; es referente y puede asumir mayores responsabilidades.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02124"/>
          <w:left w:val="single" w:sz="8" w:space="0" w:color="202124"/>
          <w:bottom w:val="single" w:sz="8" w:space="0" w:color="202124"/>
          <w:right w:val="single" w:sz="8" w:space="0" w:color="202124"/>
        </w:tblBorders>
      </w:tblPr>
      <w:tblGrid>
        <w:gridCol w:w="9978"/>
      </w:tblGrid>
      <w:tr>
        <w:trPr>
          <w:tblHeader w:val="true"/>
        </w:trPr>
        <w:tc>
          <w:tcPr>
            <w:tcW w:type="dxa" w:w="10092"/>
            <w:tcMar>
              <w:top w:w="100" w:type="dxa"/>
              <w:start w:w="120" w:type="dxa"/>
              <w:bottom w:w="100" w:type="dxa"/>
              <w:end w:w="120" w:type="dxa"/>
            </w:tcMar>
            <w:shd w:fill="202124"/>
          </w:tcPr>
          <w:p>
            <w:pPr>
              <w:widowControl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IMPORTANTE. </w:t>
            </w:r>
            <w:r>
              <w:rPr>
                <w:rFonts w:ascii="Arial" w:hAnsi="Arial"/>
                <w:color w:val="FFFFFF"/>
                <w:sz w:val="17"/>
              </w:rPr>
              <w:t>El puntaje 3 es un resultado correcto. El 4 exige evidencia de que la persona supera lo esperado y el 5 debe ser excepcional.</w:t>
            </w:r>
          </w:p>
        </w:tc>
      </w:tr>
    </w:tbl>
    <w:p>
      <w:pPr>
        <w:spacing w:after="0"/>
      </w:pPr>
    </w:p>
    <w:p>
      <w:pPr/>
      <w:r/>
    </w:p>
    <w:p>
      <w:pPr>
        <w:pStyle w:val="ISOHeading1"/>
        <w:keepNext/>
        <w:keepLines/>
      </w:pPr>
      <w:r>
        <w:t>6.3 Criterios de evaluación</w:t>
      </w:r>
    </w:p>
    <w:p>
      <w:pPr>
        <w:pStyle w:val="ISOSubheading"/>
      </w:pPr>
      <w:r>
        <w:t>Cumple actividades</w:t>
      </w:r>
    </w:p>
    <w:p>
      <w:pPr>
        <w:pStyle w:val="BodyISO"/>
        <w:spacing w:after="40"/>
      </w:pPr>
      <w:r>
        <w:t>Evaluar si realiza las tareas correspondientes a su puesto, en tiempo y forma.</w:t>
      </w:r>
    </w:p>
    <w:p>
      <w:pPr>
        <w:pStyle w:val="BulletISO"/>
        <w:ind w:left="312" w:hanging="142"/>
      </w:pPr>
      <w:r>
        <w:t>Cumplimiento de tareas y plazos.</w:t>
      </w:r>
    </w:p>
    <w:p>
      <w:pPr>
        <w:pStyle w:val="BulletISO"/>
        <w:ind w:left="312" w:hanging="142"/>
      </w:pPr>
      <w:r>
        <w:t>Calidad del trabajo y nivel de terminación.</w:t>
      </w:r>
    </w:p>
    <w:p>
      <w:pPr>
        <w:pStyle w:val="BulletISO"/>
        <w:ind w:left="312" w:hanging="142"/>
      </w:pPr>
      <w:r>
        <w:t>Errores, omisiones o necesidad de reproceso.</w:t>
      </w:r>
    </w:p>
    <w:p>
      <w:pPr>
        <w:pStyle w:val="BulletISO"/>
        <w:ind w:left="312" w:hanging="142"/>
      </w:pPr>
      <w:r>
        <w:t>Respeto de procedimientos e instrucciones.</w:t>
      </w:r>
    </w:p>
    <w:p>
      <w:pPr>
        <w:pStyle w:val="BulletISO"/>
        <w:ind w:left="312" w:hanging="142"/>
      </w:pPr>
      <w:r>
        <w:t>Cierre efectivo de las actividades asignadas.</w:t>
      </w:r>
    </w:p>
    <w:p>
      <w:pPr>
        <w:pStyle w:val="ISOSubheading"/>
      </w:pPr>
      <w:r>
        <w:t>Trabajo sin supervisión</w:t>
      </w:r>
    </w:p>
    <w:p>
      <w:pPr>
        <w:pStyle w:val="BodyISO"/>
        <w:spacing w:after="40"/>
      </w:pPr>
      <w:r>
        <w:t>Evaluar el nivel de autonomía para realizar las tareas habituales.</w:t>
      </w:r>
    </w:p>
    <w:p>
      <w:pPr>
        <w:pStyle w:val="BulletISO"/>
        <w:ind w:left="312" w:hanging="142"/>
      </w:pPr>
      <w:r>
        <w:t>Necesidad de recordatorios o seguimiento.</w:t>
      </w:r>
    </w:p>
    <w:p>
      <w:pPr>
        <w:pStyle w:val="BulletISO"/>
        <w:ind w:left="312" w:hanging="142"/>
      </w:pPr>
      <w:r>
        <w:t>Capacidad para organizar el trabajo.</w:t>
      </w:r>
    </w:p>
    <w:p>
      <w:pPr>
        <w:pStyle w:val="BulletISO"/>
        <w:ind w:left="312" w:hanging="142"/>
      </w:pPr>
      <w:r>
        <w:t>Resolución de situaciones habituales.</w:t>
      </w:r>
    </w:p>
    <w:p>
      <w:pPr>
        <w:pStyle w:val="BulletISO"/>
        <w:ind w:left="312" w:hanging="142"/>
      </w:pPr>
      <w:r>
        <w:t>Solicitud oportuna de ayuda cuando corresponde.</w:t>
      </w:r>
    </w:p>
    <w:p>
      <w:pPr>
        <w:pStyle w:val="BulletISO"/>
        <w:ind w:left="312" w:hanging="142"/>
      </w:pPr>
      <w:r>
        <w:t>Ejecución correcta sin supervisión permanente.</w:t>
      </w:r>
    </w:p>
    <w:p>
      <w:pPr>
        <w:pStyle w:val="ISOSubheading"/>
      </w:pPr>
      <w:r>
        <w:t>Comprende prioridades</w:t>
      </w:r>
    </w:p>
    <w:p>
      <w:pPr>
        <w:pStyle w:val="BodyISO"/>
        <w:spacing w:after="40"/>
      </w:pPr>
      <w:r>
        <w:t>Evaluar si identifica qué tareas deben resolverse primero y cómo reorganizarse ante cambios.</w:t>
      </w:r>
    </w:p>
    <w:p>
      <w:pPr>
        <w:pStyle w:val="BulletISO"/>
        <w:ind w:left="312" w:hanging="142"/>
      </w:pPr>
      <w:r>
        <w:t>Organización en momentos de alta demanda.</w:t>
      </w:r>
    </w:p>
    <w:p>
      <w:pPr>
        <w:pStyle w:val="BulletISO"/>
        <w:ind w:left="312" w:hanging="142"/>
      </w:pPr>
      <w:r>
        <w:t>Cumplimiento de horarios de producción o servicio.</w:t>
      </w:r>
    </w:p>
    <w:p>
      <w:pPr>
        <w:pStyle w:val="BulletISO"/>
        <w:ind w:left="312" w:hanging="142"/>
      </w:pPr>
      <w:r>
        <w:t>Priorización de tareas críticas.</w:t>
      </w:r>
    </w:p>
    <w:p>
      <w:pPr>
        <w:pStyle w:val="BulletISO"/>
        <w:ind w:left="312" w:hanging="142"/>
      </w:pPr>
      <w:r>
        <w:t>Capacidad para reorganizarse ante imprevistos.</w:t>
      </w:r>
    </w:p>
    <w:p>
      <w:pPr>
        <w:pStyle w:val="BulletISO"/>
        <w:ind w:left="312" w:hanging="142"/>
      </w:pPr>
      <w:r>
        <w:t>Comunicación de demoras o dificultades.</w:t>
      </w:r>
    </w:p>
    <w:p>
      <w:pPr>
        <w:pStyle w:val="ISOSubheading"/>
      </w:pPr>
      <w:r>
        <w:t>Cooperación</w:t>
      </w:r>
    </w:p>
    <w:p>
      <w:pPr>
        <w:pStyle w:val="BodyISO"/>
        <w:spacing w:after="40"/>
      </w:pPr>
      <w:r>
        <w:t>Evaluar la disposición para colaborar con el equipo y asumir responsabilidades compartidas.</w:t>
      </w:r>
    </w:p>
    <w:p>
      <w:pPr>
        <w:pStyle w:val="BulletISO"/>
        <w:ind w:left="312" w:hanging="142"/>
      </w:pPr>
      <w:r>
        <w:t>Ayuda a compañeros cuando la operación lo requiere.</w:t>
      </w:r>
    </w:p>
    <w:p>
      <w:pPr>
        <w:pStyle w:val="BulletISO"/>
        <w:ind w:left="312" w:hanging="142"/>
      </w:pPr>
      <w:r>
        <w:t>Participa en tareas generales del sector.</w:t>
      </w:r>
    </w:p>
    <w:p>
      <w:pPr>
        <w:pStyle w:val="BulletISO"/>
        <w:ind w:left="312" w:hanging="142"/>
      </w:pPr>
      <w:r>
        <w:t>Mantiene predisposición ante necesidades operativas.</w:t>
      </w:r>
    </w:p>
    <w:p>
      <w:pPr>
        <w:pStyle w:val="BulletISO"/>
        <w:ind w:left="312" w:hanging="142"/>
      </w:pPr>
      <w:r>
        <w:t>Respeta la distribución del trabajo.</w:t>
      </w:r>
    </w:p>
    <w:p>
      <w:pPr>
        <w:pStyle w:val="BulletISO"/>
        <w:ind w:left="312" w:hanging="142"/>
      </w:pPr>
      <w:r>
        <w:t>Cumple los compromisos asumidos con el equipo.</w:t>
      </w:r>
    </w:p>
    <w:p>
      <w:pPr>
        <w:pStyle w:val="NoteISO"/>
      </w:pPr>
      <w:r>
        <w:t>No debe confundirse cooperación con amistad, afinidad o buena relación personal.</w:t>
      </w:r>
    </w:p>
    <w:p>
      <w:pPr>
        <w:pStyle w:val="ISOHeading1"/>
        <w:keepNext/>
        <w:keepLines/>
      </w:pPr>
      <w:r>
        <w:t>6.3 Criterios de evaluación (continuación)</w:t>
      </w:r>
    </w:p>
    <w:p>
      <w:pPr>
        <w:pStyle w:val="ISOSubheading"/>
      </w:pPr>
      <w:r>
        <w:t>Comunicación</w:t>
      </w:r>
    </w:p>
    <w:p>
      <w:pPr>
        <w:pStyle w:val="BodyISO"/>
        <w:spacing w:after="40"/>
      </w:pPr>
      <w:r>
        <w:t>Evaluar si transmite información de manera clara, oportuna y por los canales correspondientes.</w:t>
      </w:r>
    </w:p>
    <w:p>
      <w:pPr>
        <w:pStyle w:val="BulletISO"/>
        <w:ind w:left="312" w:hanging="142"/>
      </w:pPr>
      <w:r>
        <w:t>Informa novedades, errores, faltantes o desvíos.</w:t>
      </w:r>
    </w:p>
    <w:p>
      <w:pPr>
        <w:pStyle w:val="BulletISO"/>
        <w:ind w:left="312" w:hanging="142"/>
      </w:pPr>
      <w:r>
        <w:t>Escucha y comprende las indicaciones.</w:t>
      </w:r>
    </w:p>
    <w:p>
      <w:pPr>
        <w:pStyle w:val="BulletISO"/>
        <w:ind w:left="312" w:hanging="142"/>
      </w:pPr>
      <w:r>
        <w:t>Pregunta cuando una instrucción no está clara.</w:t>
      </w:r>
    </w:p>
    <w:p>
      <w:pPr>
        <w:pStyle w:val="BulletISO"/>
        <w:ind w:left="312" w:hanging="142"/>
      </w:pPr>
      <w:r>
        <w:t>Registra la información que requiere trazabilidad.</w:t>
      </w:r>
    </w:p>
    <w:p>
      <w:pPr>
        <w:pStyle w:val="BulletISO"/>
        <w:ind w:left="312" w:hanging="142"/>
      </w:pPr>
      <w:r>
        <w:t>Comunica a la persona o área responsable.</w:t>
      </w:r>
    </w:p>
    <w:p>
      <w:pPr>
        <w:pStyle w:val="ISOSubheading"/>
      </w:pPr>
      <w:r>
        <w:t>Manejo de desacuerdos</w:t>
      </w:r>
    </w:p>
    <w:p>
      <w:pPr>
        <w:pStyle w:val="BodyISO"/>
        <w:spacing w:after="40"/>
      </w:pPr>
      <w:r>
        <w:t>Evaluar cómo responde ante diferencias, correcciones o indicaciones.</w:t>
      </w:r>
    </w:p>
    <w:p>
      <w:pPr>
        <w:pStyle w:val="BulletISO"/>
        <w:ind w:left="312" w:hanging="142"/>
      </w:pPr>
      <w:r>
        <w:t>Mantiene respeto en el trato.</w:t>
      </w:r>
    </w:p>
    <w:p>
      <w:pPr>
        <w:pStyle w:val="BulletISO"/>
        <w:ind w:left="312" w:hanging="142"/>
      </w:pPr>
      <w:r>
        <w:t>Escucha antes de responder.</w:t>
      </w:r>
    </w:p>
    <w:p>
      <w:pPr>
        <w:pStyle w:val="BulletISO"/>
        <w:ind w:left="312" w:hanging="142"/>
      </w:pPr>
      <w:r>
        <w:t>Plantea diferencias de manera profesional.</w:t>
      </w:r>
    </w:p>
    <w:p>
      <w:pPr>
        <w:pStyle w:val="BulletISO"/>
        <w:ind w:left="312" w:hanging="142"/>
      </w:pPr>
      <w:r>
        <w:t>Cumple las instrucciones mientras se resuelve el desacuerdo.</w:t>
      </w:r>
    </w:p>
    <w:p>
      <w:pPr>
        <w:pStyle w:val="BulletISO"/>
        <w:ind w:left="312" w:hanging="142"/>
      </w:pPr>
      <w:r>
        <w:t>Evita discusiones innecesarias o personales.</w:t>
      </w:r>
    </w:p>
    <w:p>
      <w:pPr>
        <w:pStyle w:val="NoteISO"/>
      </w:pPr>
      <w:r>
        <w:t>No se evalúa si la persona “cae bien”, sino su conducta laboral ante un desacuerdo.</w:t>
      </w:r>
    </w:p>
    <w:p>
      <w:pPr>
        <w:pStyle w:val="ISOSubheading"/>
      </w:pPr>
      <w:r>
        <w:t>Ambiente de confianza</w:t>
      </w:r>
    </w:p>
    <w:p>
      <w:pPr>
        <w:pStyle w:val="BodyISO"/>
        <w:spacing w:after="40"/>
      </w:pPr>
      <w:r>
        <w:t>Evaluar si su conducta contribuye a un entorno de trabajo profesional.</w:t>
      </w:r>
    </w:p>
    <w:p>
      <w:pPr>
        <w:pStyle w:val="BulletISO"/>
        <w:ind w:left="312" w:hanging="142"/>
      </w:pPr>
      <w:r>
        <w:t>Respeto y responsabilidad.</w:t>
      </w:r>
    </w:p>
    <w:p>
      <w:pPr>
        <w:pStyle w:val="BulletISO"/>
        <w:ind w:left="312" w:hanging="142"/>
      </w:pPr>
      <w:r>
        <w:t>Cumplimiento de compromisos.</w:t>
      </w:r>
    </w:p>
    <w:p>
      <w:pPr>
        <w:pStyle w:val="BulletISO"/>
        <w:ind w:left="312" w:hanging="142"/>
      </w:pPr>
      <w:r>
        <w:t>Honestidad y cuidado de la información.</w:t>
      </w:r>
    </w:p>
    <w:p>
      <w:pPr>
        <w:pStyle w:val="BulletISO"/>
        <w:ind w:left="312" w:hanging="142"/>
      </w:pPr>
      <w:r>
        <w:t>Trato adecuado con compañeros, clientes y responsables.</w:t>
      </w:r>
    </w:p>
    <w:p>
      <w:pPr/>
      <w:r/>
    </w:p>
    <w:p>
      <w:pPr>
        <w:pStyle w:val="ISOSubheading"/>
      </w:pPr>
      <w:r>
        <w:t>Evita conflictos</w:t>
      </w:r>
    </w:p>
    <w:p>
      <w:pPr>
        <w:pStyle w:val="BodyISO"/>
        <w:spacing w:after="40"/>
      </w:pPr>
      <w:r>
        <w:t>Evaluar si maneja las situaciones sin generar enfrentamientos innecesarios.</w:t>
      </w:r>
    </w:p>
    <w:p>
      <w:pPr>
        <w:pStyle w:val="BulletISO"/>
        <w:ind w:left="312" w:hanging="142"/>
      </w:pPr>
      <w:r>
        <w:t>Plantea problemas de forma adecuada.</w:t>
      </w:r>
    </w:p>
    <w:p>
      <w:pPr>
        <w:pStyle w:val="BulletISO"/>
        <w:ind w:left="312" w:hanging="142"/>
      </w:pPr>
      <w:r>
        <w:t>Utiliza los canales correspondientes.</w:t>
      </w:r>
    </w:p>
    <w:p>
      <w:pPr>
        <w:pStyle w:val="BulletISO"/>
        <w:ind w:left="312" w:hanging="142"/>
      </w:pPr>
      <w:r>
        <w:t>Evita rumores, provocaciones o discusiones improductivas.</w:t>
      </w:r>
    </w:p>
    <w:p>
      <w:pPr>
        <w:pStyle w:val="BulletISO"/>
        <w:ind w:left="312" w:hanging="142"/>
      </w:pPr>
      <w:r>
        <w:t>Diferencia un desacuerdo operativo de un conflicto personal.</w:t>
      </w:r>
    </w:p>
    <w:p>
      <w:pPr>
        <w:pStyle w:val="ISOSubheading"/>
      </w:pPr>
      <w:r>
        <w:t>Cumple horario</w:t>
      </w:r>
    </w:p>
    <w:p>
      <w:pPr>
        <w:pStyle w:val="BodyISO"/>
        <w:spacing w:after="40"/>
      </w:pPr>
      <w:r>
        <w:t>Evaluar la puntualidad y el cumplimiento efectivo del turno sobre la base de registros reales.</w:t>
      </w:r>
    </w:p>
    <w:p>
      <w:pPr>
        <w:pStyle w:val="BulletISO"/>
        <w:ind w:left="312" w:hanging="142"/>
      </w:pPr>
      <w:r>
        <w:t>Hora de ingreso y egreso.</w:t>
      </w:r>
    </w:p>
    <w:p>
      <w:pPr>
        <w:pStyle w:val="BulletISO"/>
        <w:ind w:left="312" w:hanging="142"/>
      </w:pPr>
      <w:r>
        <w:t>Ausencias y tardanzas.</w:t>
      </w:r>
    </w:p>
    <w:p>
      <w:pPr>
        <w:pStyle w:val="BulletISO"/>
        <w:ind w:left="312" w:hanging="142"/>
      </w:pPr>
      <w:r>
        <w:t>Avisos anticipados y documentación cuando corresponde.</w:t>
      </w:r>
    </w:p>
    <w:p>
      <w:pPr>
        <w:pStyle w:val="BulletISO"/>
        <w:ind w:left="312" w:hanging="142"/>
      </w:pPr>
      <w:r>
        <w:t>Cumplimiento de turnos y coberturas.</w:t>
      </w:r>
    </w:p>
    <w:p>
      <w:pPr>
        <w:pStyle w:val="BulletISO"/>
        <w:ind w:left="312" w:hanging="142"/>
      </w:pPr>
      <w:r>
        <w:t>Permanencia efectiva en el puesto.</w:t>
      </w:r>
    </w:p>
    <w:p>
      <w:pPr>
        <w:pStyle w:val="ISOSubheading"/>
      </w:pPr>
      <w:r>
        <w:t>Aseo personal y uniforme</w:t>
      </w:r>
    </w:p>
    <w:p>
      <w:pPr>
        <w:pStyle w:val="BodyISO"/>
        <w:spacing w:after="40"/>
      </w:pPr>
      <w:r>
        <w:t>Evaluar el cumplimiento de las normas de presentación, higiene y seguridad alimentaria.</w:t>
      </w:r>
    </w:p>
    <w:p>
      <w:pPr>
        <w:pStyle w:val="BulletISO"/>
        <w:ind w:left="312" w:hanging="142"/>
      </w:pPr>
      <w:r>
        <w:t>Higiene personal.</w:t>
      </w:r>
    </w:p>
    <w:p>
      <w:pPr>
        <w:pStyle w:val="BulletISO"/>
        <w:ind w:left="312" w:hanging="142"/>
      </w:pPr>
      <w:r>
        <w:t>Uso completo del uniforme.</w:t>
      </w:r>
    </w:p>
    <w:p>
      <w:pPr>
        <w:pStyle w:val="BulletISO"/>
        <w:ind w:left="312" w:hanging="142"/>
      </w:pPr>
      <w:r>
        <w:t>Estado y limpieza de la ropa de trabajo.</w:t>
      </w:r>
    </w:p>
    <w:p>
      <w:pPr>
        <w:pStyle w:val="BulletISO"/>
        <w:ind w:left="312" w:hanging="142"/>
      </w:pPr>
      <w:r>
        <w:t>Uso de cofia, calzado y elementos requeridos.</w:t>
      </w:r>
    </w:p>
    <w:p>
      <w:pPr>
        <w:pStyle w:val="BulletISO"/>
        <w:ind w:left="312" w:hanging="142"/>
      </w:pPr>
      <w:r>
        <w:t>Cumplimiento de las normas internas aplicables.</w:t>
      </w:r>
    </w:p>
    <w:p>
      <w:pPr>
        <w:pStyle w:val="ISOHeading2"/>
        <w:keepNext/>
        <w:keepLines/>
      </w:pPr>
      <w:r>
        <w:t>6.4 Cómo completar las observaciones</w:t>
      </w:r>
    </w:p>
    <w:p>
      <w:pPr>
        <w:pStyle w:val="BodyISO"/>
      </w:pPr>
      <w:r>
        <w:t>El campo “Observaciones RRHH” debe resumir el desempeño general e incluir una o dos fortalezas, el nivel general observado y una situación relevante cuando corresponda.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F28C00"/>
          <w:left w:val="single" w:sz="8" w:space="0" w:color="F28C00"/>
          <w:bottom w:val="single" w:sz="8" w:space="0" w:color="F28C00"/>
          <w:right w:val="single" w:sz="8" w:space="0" w:color="F28C00"/>
        </w:tblBorders>
      </w:tblPr>
      <w:tblGrid>
        <w:gridCol w:w="9978"/>
      </w:tblGrid>
      <w:tr>
        <w:trPr>
          <w:tblHeader w:val="true"/>
        </w:trPr>
        <w:tc>
          <w:tcPr>
            <w:tcW w:type="dxa" w:w="10092"/>
            <w:tcMar>
              <w:top w:w="100" w:type="dxa"/>
              <w:start w:w="120" w:type="dxa"/>
              <w:bottom w:w="100" w:type="dxa"/>
              <w:end w:w="120" w:type="dxa"/>
            </w:tcMar>
            <w:shd w:fill="EAF4EA"/>
          </w:tcPr>
          <w:p>
            <w:pPr>
              <w:widowControl/>
              <w:spacing w:after="0" w:line="252" w:lineRule="auto"/>
            </w:pPr>
            <w:r>
              <w:rPr>
                <w:rFonts w:ascii="Arial" w:hAnsi="Arial"/>
                <w:b/>
                <w:color w:val="202124"/>
                <w:sz w:val="17"/>
              </w:rPr>
              <w:t xml:space="preserve">EJEMPLO ADECUADO. </w:t>
            </w:r>
            <w:r>
              <w:rPr>
                <w:rFonts w:ascii="Arial" w:hAnsi="Arial"/>
                <w:color w:val="202124"/>
                <w:sz w:val="17"/>
              </w:rPr>
              <w:t>Cumple correctamente con las tareas asignadas y mantiene una buena puntualidad. Presenta un desempeño estable, aunque todavía requiere seguimiento para organizar las prioridades durante los horarios de mayor actividad.</w:t>
            </w:r>
          </w:p>
        </w:tc>
      </w:tr>
    </w:tbl>
    <w:p>
      <w:pPr>
        <w:spacing w:after="0"/>
      </w:pPr>
    </w:p>
    <w:p>
      <w:pPr>
        <w:pStyle w:val="ISOHeading1"/>
        <w:keepNext/>
        <w:keepLines/>
      </w:pPr>
      <w:r>
        <w:t>6.5 Cómo completar las sugerencias</w:t>
      </w:r>
    </w:p>
    <w:p>
      <w:pPr>
        <w:pStyle w:val="BodyISO"/>
      </w:pPr>
      <w:r>
        <w:t>Toda evaluación debe incluir al menos una oportunidad concreta de mejora o desarrollo, incluso cuando el resultado general sea alto. La sugerencia debe ser laboral, específica y posible de verificar en el período siguiente.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F28C00"/>
          <w:left w:val="single" w:sz="8" w:space="0" w:color="F28C00"/>
          <w:bottom w:val="single" w:sz="8" w:space="0" w:color="F28C00"/>
          <w:right w:val="single" w:sz="8" w:space="0" w:color="F28C00"/>
        </w:tblBorders>
      </w:tblPr>
      <w:tblGrid>
        <w:gridCol w:w="9978"/>
      </w:tblGrid>
      <w:tr>
        <w:trPr>
          <w:tblHeader w:val="true"/>
        </w:trPr>
        <w:tc>
          <w:tcPr>
            <w:tcW w:type="dxa" w:w="10092"/>
            <w:tcMar>
              <w:top w:w="100" w:type="dxa"/>
              <w:start w:w="120" w:type="dxa"/>
              <w:bottom w:w="100" w:type="dxa"/>
              <w:end w:w="120" w:type="dxa"/>
            </w:tcMar>
            <w:shd w:fill="EAF4EA"/>
          </w:tcPr>
          <w:p>
            <w:pPr>
              <w:widowControl/>
              <w:spacing w:after="0" w:line="252" w:lineRule="auto"/>
            </w:pPr>
            <w:r>
              <w:rPr>
                <w:rFonts w:ascii="Arial" w:hAnsi="Arial"/>
                <w:b/>
                <w:color w:val="202124"/>
                <w:sz w:val="17"/>
              </w:rPr>
              <w:t xml:space="preserve">EJEMPLO ADECUADO. </w:t>
            </w:r>
            <w:r>
              <w:rPr>
                <w:rFonts w:ascii="Arial" w:hAnsi="Arial"/>
                <w:color w:val="202124"/>
                <w:sz w:val="17"/>
              </w:rPr>
              <w:t>Reforzar el registro diario de temperaturas, asegurando que las planillas se completen en el horario correspondiente y sin campos pendientes.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F28C00"/>
          <w:left w:val="single" w:sz="8" w:space="0" w:color="F28C00"/>
          <w:bottom w:val="single" w:sz="8" w:space="0" w:color="F28C00"/>
          <w:right w:val="single" w:sz="8" w:space="0" w:color="F28C00"/>
        </w:tblBorders>
      </w:tblPr>
      <w:tblGrid>
        <w:gridCol w:w="9978"/>
      </w:tblGrid>
      <w:tr>
        <w:trPr>
          <w:tblHeader w:val="true"/>
        </w:trPr>
        <w:tc>
          <w:tcPr>
            <w:tcW w:type="dxa" w:w="10092"/>
            <w:tcMar>
              <w:top w:w="100" w:type="dxa"/>
              <w:start w:w="120" w:type="dxa"/>
              <w:bottom w:w="100" w:type="dxa"/>
              <w:end w:w="120" w:type="dxa"/>
            </w:tcMar>
            <w:shd w:fill="FBE9E7"/>
          </w:tcPr>
          <w:p>
            <w:pPr>
              <w:widowControl/>
              <w:spacing w:after="0" w:line="252" w:lineRule="auto"/>
            </w:pPr>
            <w:r>
              <w:rPr>
                <w:rFonts w:ascii="Arial" w:hAnsi="Arial"/>
                <w:b/>
                <w:color w:val="202124"/>
                <w:sz w:val="17"/>
              </w:rPr>
              <w:t xml:space="preserve">EJEMPLO INADECUADO. </w:t>
            </w:r>
            <w:r>
              <w:rPr>
                <w:rFonts w:ascii="Arial" w:hAnsi="Arial"/>
                <w:color w:val="202124"/>
                <w:sz w:val="17"/>
              </w:rPr>
              <w:t>Tiene que mejorar un poco.</w:t>
            </w:r>
          </w:p>
        </w:tc>
      </w:tr>
    </w:tbl>
    <w:p>
      <w:pPr>
        <w:spacing w:after="0"/>
      </w:pPr>
    </w:p>
    <w:p>
      <w:pPr>
        <w:pStyle w:val="BodyISO"/>
      </w:pPr>
      <w:r>
        <w:t>Las sugerencias pueden referirse a capacitación, autonomía, comunicación, organización, cumplimiento de procedimientos, trabajo en equipo, presentación personal, registros, manejo de tiempos o calidad de las tareas.</w:t>
      </w:r>
    </w:p>
    <w:p>
      <w:pPr>
        <w:pStyle w:val="ISOHeading1"/>
        <w:keepNext/>
        <w:keepLines/>
      </w:pPr>
      <w:r>
        <w:t>6.6 Coherencia entre calificaciones y comentarios</w:t>
      </w:r>
    </w:p>
    <w:p>
      <w:pPr>
        <w:pStyle w:val="BodyISO"/>
      </w:pPr>
      <w:r>
        <w:t>Las observaciones y sugerencias deben coincidir con los puntajes. Una evaluación pierde valor cuando los comentarios describen problemas que no se reflejan en la escala.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F28C00"/>
          <w:left w:val="single" w:sz="8" w:space="0" w:color="F28C00"/>
          <w:bottom w:val="single" w:sz="8" w:space="0" w:color="F28C00"/>
          <w:right w:val="single" w:sz="8" w:space="0" w:color="F28C00"/>
        </w:tblBorders>
      </w:tblPr>
      <w:tblGrid>
        <w:gridCol w:w="9978"/>
      </w:tblGrid>
      <w:tr>
        <w:trPr>
          <w:tblHeader w:val="true"/>
        </w:trPr>
        <w:tc>
          <w:tcPr>
            <w:tcW w:type="dxa" w:w="10092"/>
            <w:tcMar>
              <w:top w:w="100" w:type="dxa"/>
              <w:start w:w="120" w:type="dxa"/>
              <w:bottom w:w="100" w:type="dxa"/>
              <w:end w:w="120" w:type="dxa"/>
            </w:tcMar>
            <w:shd w:fill="FBE9E7"/>
          </w:tcPr>
          <w:p>
            <w:pPr>
              <w:widowControl/>
              <w:spacing w:after="0" w:line="252" w:lineRule="auto"/>
            </w:pPr>
            <w:r>
              <w:rPr>
                <w:rFonts w:ascii="Arial" w:hAnsi="Arial"/>
                <w:b/>
                <w:color w:val="202124"/>
                <w:sz w:val="17"/>
              </w:rPr>
              <w:t xml:space="preserve">EJEMPLO INCOHERENTE. </w:t>
            </w:r>
            <w:r>
              <w:rPr>
                <w:rFonts w:ascii="Arial" w:hAnsi="Arial"/>
                <w:color w:val="202124"/>
                <w:sz w:val="17"/>
              </w:rPr>
              <w:t>Comunicación: 5 — Excelente. Sugerencia: “Debe mejorar la comunicación porque no informa novedades ni escucha indicaciones”. En ese caso, el puntaje debe revisarse.</w:t>
            </w:r>
          </w:p>
        </w:tc>
      </w:tr>
    </w:tbl>
    <w:p>
      <w:pPr>
        <w:spacing w:after="0"/>
      </w:pPr>
    </w:p>
    <w:p>
      <w:pPr>
        <w:pStyle w:val="ISOHeading1"/>
        <w:keepNext/>
        <w:keepLines/>
      </w:pPr>
      <w:r>
        <w:t>6.7 Errores que deben evitarse</w:t>
      </w:r>
    </w:p>
    <w:p>
      <w:pPr>
        <w:pStyle w:val="BodyISO"/>
        <w:keepLines/>
        <w:ind w:left="312" w:hanging="312"/>
      </w:pPr>
      <w:r>
        <w:rPr>
          <w:b/>
        </w:rPr>
        <w:t>6.7.1. Evaluación por simpatía</w:t>
      </w:r>
      <w:r>
        <w:t xml:space="preserve"> Calificar mejor a una persona porque existe buena relación personal.</w:t>
      </w:r>
    </w:p>
    <w:p>
      <w:pPr>
        <w:pStyle w:val="BodyISO"/>
        <w:keepLines/>
        <w:ind w:left="312" w:hanging="312"/>
      </w:pPr>
      <w:r>
        <w:rPr>
          <w:b/>
        </w:rPr>
        <w:t>6.7.2. Efecto halo</w:t>
      </w:r>
      <w:r>
        <w:t xml:space="preserve"> Asignar puntajes altos en todos los aspectos porque la persona se destaca únicamente en uno.</w:t>
      </w:r>
    </w:p>
    <w:p>
      <w:pPr>
        <w:pStyle w:val="BodyISO"/>
        <w:keepLines/>
        <w:ind w:left="312" w:hanging="312"/>
      </w:pPr>
      <w:r>
        <w:rPr>
          <w:b/>
        </w:rPr>
        <w:t>6.7.3. Evitar conversaciones incómodas</w:t>
      </w:r>
      <w:r>
        <w:t xml:space="preserve"> Subir calificaciones para no explicar una oportunidad de mejora.</w:t>
      </w:r>
    </w:p>
    <w:p>
      <w:pPr>
        <w:pStyle w:val="BodyISO"/>
        <w:keepLines/>
        <w:ind w:left="312" w:hanging="312"/>
      </w:pPr>
      <w:r>
        <w:rPr>
          <w:b/>
        </w:rPr>
        <w:t>6.7.4. Comparación entre empleados</w:t>
      </w:r>
      <w:r>
        <w:t xml:space="preserve"> Evaluar según quién trabaja mejor o peor, en lugar de utilizar las exigencias del puesto.</w:t>
      </w:r>
    </w:p>
    <w:p>
      <w:pPr>
        <w:pStyle w:val="BodyISO"/>
        <w:keepLines/>
        <w:ind w:left="312" w:hanging="312"/>
      </w:pPr>
      <w:r>
        <w:rPr>
          <w:b/>
        </w:rPr>
        <w:t>6.7.5. Evaluación por un único hecho</w:t>
      </w:r>
      <w:r>
        <w:t xml:space="preserve"> Valorar todo el período solamente por el último error o un logro puntual.</w:t>
      </w:r>
    </w:p>
    <w:p>
      <w:pPr>
        <w:pStyle w:val="BodyISO"/>
        <w:keepLines/>
        <w:ind w:left="312" w:hanging="312"/>
      </w:pPr>
      <w:r>
        <w:rPr>
          <w:b/>
        </w:rPr>
        <w:t>6.7.6. Puntaje automático</w:t>
      </w:r>
      <w:r>
        <w:t xml:space="preserve"> Completar todos los campos con el mismo valor sin analizar cada criterio.</w:t>
      </w:r>
    </w:p>
    <w:p>
      <w:pPr>
        <w:pStyle w:val="ISOHeading1"/>
        <w:keepNext/>
        <w:keepLines/>
      </w:pPr>
      <w:r>
        <w:t>6.7 Errores que deben evitarse (continuación)</w:t>
      </w:r>
    </w:p>
    <w:p>
      <w:pPr>
        <w:pStyle w:val="BodyISO"/>
        <w:keepLines/>
        <w:ind w:left="312" w:hanging="312"/>
      </w:pPr>
      <w:r>
        <w:rPr>
          <w:b/>
        </w:rPr>
        <w:t>6.7.7. Inflación de puntajes</w:t>
      </w:r>
      <w:r>
        <w:t xml:space="preserve"> Asignar 4 o 5 porque se considera que 3 es bajo. Cumplir correctamente corresponde a 3; superar el estándar corresponde a 4; el 5 es excepcional.</w:t>
      </w:r>
    </w:p>
    <w:p>
      <w:pPr>
        <w:pStyle w:val="BodyISO"/>
        <w:keepLines/>
        <w:ind w:left="312" w:hanging="312"/>
      </w:pPr>
      <w:r>
        <w:rPr>
          <w:b/>
        </w:rPr>
        <w:t>6.7.8. Compensación artificial</w:t>
      </w:r>
      <w:r>
        <w:t xml:space="preserve"> Subir un ítem para equilibrar otro bajo. Cada criterio debe calificarse de forma independiente.</w:t>
      </w:r>
    </w:p>
    <w:p>
      <w:pPr>
        <w:pStyle w:val="ISOHeading1"/>
        <w:keepNext/>
        <w:keepLines/>
      </w:pPr>
      <w:r>
        <w:t>6.8 Antigüedad con el evaluado</w:t>
      </w:r>
    </w:p>
    <w:p>
      <w:pPr>
        <w:pStyle w:val="BodyISO"/>
      </w:pPr>
      <w:r>
        <w:t>El campo “Antigüedad con evaluado” indica cuánto tiempo lleva el evaluador trabajando o supervisando a la persona evaluada. No representa la antigüedad laboral del empleado. Cuando el período de observación sea limitado, deben calificarse únicamente los aspectos efectivamente observados y utilizar “Sin calificar” en los restantes.</w:t>
      </w:r>
    </w:p>
    <w:p>
      <w:pPr>
        <w:pStyle w:val="ISOHeading1"/>
        <w:keepNext/>
        <w:keepLines/>
      </w:pPr>
      <w:r>
        <w:t>6.9 Período de prueba</w:t>
      </w:r>
    </w:p>
    <w:p>
      <w:pPr>
        <w:pStyle w:val="BodyISO"/>
      </w:pPr>
      <w:r>
        <w:t>La opción “Superó período de prueba” debe marcarse únicamente después de verificar:</w:t>
      </w:r>
    </w:p>
    <w:p>
      <w:pPr>
        <w:pStyle w:val="BulletISO"/>
        <w:ind w:left="312" w:hanging="142"/>
      </w:pPr>
      <w:r>
        <w:t>Fecha real de ingreso del empleado.</w:t>
      </w:r>
    </w:p>
    <w:p>
      <w:pPr>
        <w:pStyle w:val="BulletISO"/>
        <w:ind w:left="312" w:hanging="142"/>
      </w:pPr>
      <w:r>
        <w:t>Cumplimiento del período legal o interno aplicable.</w:t>
      </w:r>
    </w:p>
    <w:p>
      <w:pPr>
        <w:pStyle w:val="BulletISO"/>
        <w:ind w:left="312" w:hanging="142"/>
      </w:pPr>
      <w:r>
        <w:t>Resultado general de desempeño.</w:t>
      </w:r>
    </w:p>
    <w:p>
      <w:pPr>
        <w:pStyle w:val="BulletISO"/>
        <w:ind w:left="312" w:hanging="142"/>
      </w:pPr>
      <w:r>
        <w:t>Ausencia de situaciones pendientes que deban ser analizadas por Gestión de Personas.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F28C00"/>
          <w:left w:val="single" w:sz="8" w:space="0" w:color="F28C00"/>
          <w:bottom w:val="single" w:sz="8" w:space="0" w:color="F28C00"/>
          <w:right w:val="single" w:sz="8" w:space="0" w:color="F28C00"/>
        </w:tblBorders>
      </w:tblPr>
      <w:tblGrid>
        <w:gridCol w:w="9978"/>
      </w:tblGrid>
      <w:tr>
        <w:trPr>
          <w:tblHeader w:val="true"/>
        </w:trPr>
        <w:tc>
          <w:tcPr>
            <w:tcW w:type="dxa" w:w="10092"/>
            <w:tcMar>
              <w:top w:w="100" w:type="dxa"/>
              <w:start w:w="120" w:type="dxa"/>
              <w:bottom w:w="100" w:type="dxa"/>
              <w:end w:w="120" w:type="dxa"/>
            </w:tcMar>
            <w:shd w:fill="FFF3E3"/>
          </w:tcPr>
          <w:p>
            <w:pPr>
              <w:widowControl/>
              <w:spacing w:after="0" w:line="252" w:lineRule="auto"/>
            </w:pPr>
            <w:r>
              <w:rPr>
                <w:rFonts w:ascii="Arial" w:hAnsi="Arial"/>
                <w:b/>
                <w:color w:val="202124"/>
                <w:sz w:val="17"/>
              </w:rPr>
              <w:t xml:space="preserve">ADVERTENCIA. </w:t>
            </w:r>
            <w:r>
              <w:rPr>
                <w:rFonts w:ascii="Arial" w:hAnsi="Arial"/>
                <w:color w:val="202124"/>
                <w:sz w:val="17"/>
              </w:rPr>
              <w:t>No debe marcarse en función del tiempo que el evaluador lleva trabajando con la persona.</w:t>
            </w:r>
          </w:p>
        </w:tc>
      </w:tr>
    </w:tbl>
    <w:p>
      <w:pPr>
        <w:spacing w:after="0"/>
      </w:pPr>
    </w:p>
    <w:p>
      <w:pPr>
        <w:pStyle w:val="ISOHeading1"/>
        <w:keepNext/>
        <w:keepLines/>
      </w:pPr>
      <w:r>
        <w:t>7. Registros generados y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268"/>
        <w:gridCol w:w="2608"/>
        <w:gridCol w:w="2438"/>
        <w:gridCol w:w="2665"/>
      </w:tblGrid>
      <w:tr>
        <w:trPr>
          <w:tblHeader w:val="true"/>
        </w:trPr>
        <w:tc>
          <w:tcPr>
            <w:tcW w:type="dxa" w:w="2523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Registro</w:t>
            </w:r>
          </w:p>
        </w:tc>
        <w:tc>
          <w:tcPr>
            <w:tcW w:type="dxa" w:w="2523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523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Ubicación / soporte</w:t>
            </w:r>
          </w:p>
        </w:tc>
        <w:tc>
          <w:tcPr>
            <w:tcW w:type="dxa" w:w="2523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Conservación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Evaluación de desempeño</w:t>
            </w:r>
          </w:p>
        </w:tc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Evaluador / Responsable de sede</w:t>
            </w:r>
          </w:p>
        </w:tc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Módulo Equipo – Fly Gestión</w:t>
            </w:r>
          </w:p>
        </w:tc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Según política vigente de Gestión de Personas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Observaciones y sugerencias</w:t>
            </w:r>
          </w:p>
        </w:tc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Evaluador</w:t>
            </w:r>
          </w:p>
        </w:tc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Registro asociado a la evaluación</w:t>
            </w:r>
          </w:p>
        </w:tc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Mismo plazo de la evaluación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Plan de seguimiento, si corresponde</w:t>
            </w:r>
          </w:p>
        </w:tc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Responsable de sede / Gestión de Personas</w:t>
            </w:r>
          </w:p>
        </w:tc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Tareas, pendientes o registro definido</w:t>
            </w:r>
          </w:p>
        </w:tc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Hasta el cierre y verificación de la acción</w:t>
            </w:r>
          </w:p>
        </w:tc>
      </w:tr>
    </w:tbl>
    <w:p>
      <w:pPr>
        <w:pStyle w:val="ISOHeading1"/>
        <w:keepNext/>
        <w:keepLines/>
      </w:pPr>
      <w:r>
        <w:t>8. Revisión antes de guardar</w:t>
      </w:r>
    </w:p>
    <w:p>
      <w:pPr>
        <w:pStyle w:val="BulletISO"/>
        <w:ind w:left="312" w:hanging="198"/>
      </w:pPr>
      <w:r>
        <w:rPr>
          <w:rFonts w:ascii="Arial" w:hAnsi="Arial"/>
          <w:color w:val="F28C00"/>
          <w:sz w:val="18"/>
        </w:rPr>
        <w:t xml:space="preserve">☐ </w:t>
      </w:r>
      <w:r>
        <w:t>Los puntajes se basan en hechos observados.</w:t>
      </w:r>
    </w:p>
    <w:p>
      <w:pPr>
        <w:pStyle w:val="BulletISO"/>
        <w:ind w:left="312" w:hanging="198"/>
      </w:pPr>
      <w:r>
        <w:rPr>
          <w:rFonts w:ascii="Arial" w:hAnsi="Arial"/>
          <w:color w:val="F28C00"/>
          <w:sz w:val="18"/>
        </w:rPr>
        <w:t xml:space="preserve">☐ </w:t>
      </w:r>
      <w:r>
        <w:t>Los valores 4 y 5 están justificados con resultados o ejemplos concretos.</w:t>
      </w:r>
    </w:p>
    <w:p>
      <w:pPr>
        <w:pStyle w:val="BulletISO"/>
        <w:ind w:left="312" w:hanging="198"/>
      </w:pPr>
      <w:r>
        <w:rPr>
          <w:rFonts w:ascii="Arial" w:hAnsi="Arial"/>
          <w:color w:val="F28C00"/>
          <w:sz w:val="18"/>
        </w:rPr>
        <w:t xml:space="preserve">☐ </w:t>
      </w:r>
      <w:r>
        <w:t>Los comentarios coinciden con las calificaciones.</w:t>
      </w:r>
    </w:p>
    <w:p>
      <w:pPr>
        <w:pStyle w:val="BulletISO"/>
        <w:ind w:left="312" w:hanging="198"/>
      </w:pPr>
      <w:r>
        <w:rPr>
          <w:rFonts w:ascii="Arial" w:hAnsi="Arial"/>
          <w:color w:val="F28C00"/>
          <w:sz w:val="18"/>
        </w:rPr>
        <w:t xml:space="preserve">☐ </w:t>
      </w:r>
      <w:r>
        <w:t>Existe al menos una oportunidad de mejora o desarrollo verificable.</w:t>
      </w:r>
    </w:p>
    <w:p>
      <w:pPr>
        <w:pStyle w:val="BulletISO"/>
        <w:ind w:left="312" w:hanging="198"/>
      </w:pPr>
      <w:r>
        <w:rPr>
          <w:rFonts w:ascii="Arial" w:hAnsi="Arial"/>
          <w:color w:val="F28C00"/>
          <w:sz w:val="18"/>
        </w:rPr>
        <w:t xml:space="preserve">☐ </w:t>
      </w:r>
      <w:r>
        <w:t>No se evaluaron aspectos personales ajenos al puesto.</w:t>
      </w:r>
    </w:p>
    <w:p>
      <w:pPr>
        <w:pStyle w:val="BulletISO"/>
        <w:ind w:left="312" w:hanging="198"/>
      </w:pPr>
      <w:r>
        <w:rPr>
          <w:rFonts w:ascii="Arial" w:hAnsi="Arial"/>
          <w:color w:val="F28C00"/>
          <w:sz w:val="18"/>
        </w:rPr>
        <w:t xml:space="preserve">☐ </w:t>
      </w:r>
      <w:r>
        <w:t>Se consideró todo el período y no solamente un hecho aislado.</w:t>
      </w:r>
    </w:p>
    <w:p>
      <w:pPr>
        <w:pStyle w:val="BulletISO"/>
        <w:ind w:left="312" w:hanging="198"/>
      </w:pPr>
      <w:r>
        <w:rPr>
          <w:rFonts w:ascii="Arial" w:hAnsi="Arial"/>
          <w:color w:val="F28C00"/>
          <w:sz w:val="18"/>
        </w:rPr>
        <w:t xml:space="preserve">☐ </w:t>
      </w:r>
      <w:r>
        <w:t>Los ítems no observados figuran como “Sin calificar”.</w:t>
      </w:r>
    </w:p>
    <w:p>
      <w:pPr>
        <w:pStyle w:val="BulletISO"/>
        <w:ind w:left="312" w:hanging="198"/>
      </w:pPr>
      <w:r>
        <w:rPr>
          <w:rFonts w:ascii="Arial" w:hAnsi="Arial"/>
          <w:color w:val="F28C00"/>
          <w:sz w:val="18"/>
        </w:rPr>
        <w:t xml:space="preserve">☐ </w:t>
      </w:r>
      <w:r>
        <w:t>La evaluación puede explicarse personalmente al empleado.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02124"/>
          <w:left w:val="single" w:sz="8" w:space="0" w:color="202124"/>
          <w:bottom w:val="single" w:sz="8" w:space="0" w:color="202124"/>
          <w:right w:val="single" w:sz="8" w:space="0" w:color="202124"/>
        </w:tblBorders>
      </w:tblPr>
      <w:tblGrid>
        <w:gridCol w:w="9978"/>
      </w:tblGrid>
      <w:tr>
        <w:trPr>
          <w:tblHeader w:val="true"/>
        </w:trPr>
        <w:tc>
          <w:tcPr>
            <w:tcW w:type="dxa" w:w="10092"/>
            <w:tcMar>
              <w:top w:w="100" w:type="dxa"/>
              <w:start w:w="120" w:type="dxa"/>
              <w:bottom w:w="100" w:type="dxa"/>
              <w:end w:w="120" w:type="dxa"/>
            </w:tcMar>
            <w:shd w:fill="202124"/>
          </w:tcPr>
          <w:p>
            <w:pPr>
              <w:widowControl/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REGLA FINAL. </w:t>
            </w:r>
            <w:r>
              <w:rPr>
                <w:rFonts w:ascii="Arial" w:hAnsi="Arial"/>
                <w:color w:val="FFFFFF"/>
                <w:sz w:val="17"/>
              </w:rPr>
              <w:t>Si el evaluador no puede explicar por qué asignó un puntaje y dar un ejemplo concreto, debe revisarlo.</w:t>
            </w:r>
          </w:p>
        </w:tc>
      </w:tr>
    </w:tbl>
    <w:p>
      <w:pPr>
        <w:spacing w:after="0"/>
      </w:pPr>
    </w:p>
    <w:p>
      <w:pPr>
        <w:pStyle w:val="ISOHeading1"/>
        <w:keepNext/>
        <w:keepLines/>
      </w:pPr>
      <w:r>
        <w:t>9. Recomendación funcional para la plataforma</w:t>
      </w:r>
    </w:p>
    <w:p>
      <w:pPr>
        <w:pStyle w:val="BodyISO"/>
      </w:pPr>
      <w:r>
        <w:t>Cuando una evaluación tenga un promedio superior a 4, Fly Gestión debería exigir una justificación concreta de los resultados sobresalientes. Esta validación reduce la inflación de puntajes y mejora la trazabilidad de las calificaciones excepcionales.</w:t>
      </w:r>
    </w:p>
    <w:p>
      <w:pPr>
        <w:pStyle w:val="ISOHeading1"/>
        <w:keepNext/>
        <w:keepLines/>
      </w:pPr>
      <w:r>
        <w:t>10. Control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134"/>
        <w:gridCol w:w="1644"/>
        <w:gridCol w:w="4592"/>
        <w:gridCol w:w="2608"/>
      </w:tblGrid>
      <w:tr>
        <w:trPr>
          <w:tblHeader w:val="true"/>
        </w:trPr>
        <w:tc>
          <w:tcPr>
            <w:tcW w:type="dxa" w:w="2523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523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523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Descripción del cambio</w:t>
            </w:r>
          </w:p>
        </w:tc>
        <w:tc>
          <w:tcPr>
            <w:tcW w:type="dxa" w:w="2523"/>
            <w:shd w:fill="34363A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1.0</w:t>
            </w:r>
          </w:p>
        </w:tc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20/07/2026</w:t>
            </w:r>
          </w:p>
        </w:tc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Emisión inicial. Se normaliza el criterio de evaluación, la escala, las responsabilidades y el control documental.</w:t>
            </w:r>
          </w:p>
        </w:tc>
        <w:tc>
          <w:tcPr>
            <w:tcW w:type="dxa" w:w="2523"/>
          </w:tcPr>
          <w:p>
            <w:pPr>
              <w:widowControl/>
              <w:spacing w:after="0" w:before="0" w:line="240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5"/>
              </w:rPr>
              <w:t>Gestión de Personas / Operaciones</w:t>
            </w:r>
          </w:p>
        </w:tc>
      </w:tr>
    </w:tbl>
    <w:p>
      <w:pPr>
        <w:pStyle w:val="ISOHeading1"/>
        <w:keepNext/>
        <w:keepLines/>
      </w:pPr>
      <w:r>
        <w:t>11. Elaboración, revisión y aprobación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64"/>
            <w:shd w:fill="F2F2F2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ELABORÓ</w:t>
            </w:r>
          </w:p>
        </w:tc>
        <w:tc>
          <w:tcPr>
            <w:tcW w:type="dxa" w:w="3364"/>
            <w:shd w:fill="F2F2F2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REVISÓ</w:t>
            </w:r>
          </w:p>
        </w:tc>
        <w:tc>
          <w:tcPr>
            <w:tcW w:type="dxa" w:w="3364"/>
            <w:shd w:fill="F2F2F2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APROBÓ</w:t>
            </w:r>
          </w:p>
        </w:tc>
      </w:tr>
      <w:tr>
        <w:trPr/>
        <w:tc>
          <w:tcPr>
            <w:tcW w:type="dxa" w:w="3364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Gestión de Personas / Operaciones</w:t>
              <w:br/>
              <w:t>Nombre – Firma – Fecha</w:t>
            </w:r>
          </w:p>
        </w:tc>
        <w:tc>
          <w:tcPr>
            <w:tcW w:type="dxa" w:w="3364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Responsable de Calidad</w:t>
              <w:br/>
              <w:t>Nombre – Firma – Fecha</w:t>
            </w:r>
          </w:p>
        </w:tc>
        <w:tc>
          <w:tcPr>
            <w:tcW w:type="dxa" w:w="3364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202124"/>
                <w:sz w:val="16"/>
              </w:rPr>
              <w:t>Gerencia General</w:t>
              <w:br/>
              <w:t>Nombre – Firma – Fecha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19" w:right="907" w:bottom="964" w:left="907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6" w:space="0" w:color="A6A6A6"/>
        <w:left w:val="single" w:sz="6" w:space="0" w:color="A6A6A6"/>
        <w:bottom w:val="single" w:sz="6" w:space="0" w:color="A6A6A6"/>
        <w:right w:val="single" w:sz="6" w:space="0" w:color="A6A6A6"/>
      </w:tblBorders>
    </w:tblPr>
    <w:tblGrid>
      <w:gridCol w:w="7200"/>
      <w:gridCol w:w="2891"/>
    </w:tblGrid>
    <w:tr>
      <w:tc>
        <w:tcPr>
          <w:tcW w:type="dxa" w:w="5046"/>
          <w:tcMar>
            <w:top w:w="45" w:type="dxa"/>
            <w:start w:w="50" w:type="dxa"/>
            <w:bottom w:w="35" w:type="dxa"/>
            <w:end w:w="50" w:type="dxa"/>
          </w:tcMar>
        </w:tcPr>
        <w:p>
          <w:pPr>
            <w:spacing w:after="0"/>
          </w:pPr>
          <w:r>
            <w:rPr>
              <w:rFonts w:ascii="Arial" w:hAnsi="Arial"/>
              <w:color w:val="555555"/>
              <w:sz w:val="14"/>
            </w:rPr>
            <w:t>Documento controlado. Si se imprime, se considera copia no controlada.</w:t>
          </w:r>
        </w:p>
      </w:tc>
      <w:tc>
        <w:tcPr>
          <w:tcW w:type="dxa" w:w="5046"/>
          <w:tcMar>
            <w:top w:w="45" w:type="dxa"/>
            <w:start w:w="50" w:type="dxa"/>
            <w:bottom w:w="35" w:type="dxa"/>
            <w:end w:w="50" w:type="dxa"/>
          </w:tcMar>
        </w:tcPr>
        <w:p>
          <w:pPr>
            <w:spacing w:after="0"/>
            <w:jc w:val="right"/>
          </w:pPr>
          <w:r>
            <w:rPr>
              <w:rFonts w:ascii="Arial" w:hAnsi="Arial"/>
              <w:color w:val="555555"/>
              <w:sz w:val="14"/>
            </w:rPr>
            <w:t>INS-RRHH-EVD-001 | V1.0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7" w:space="0" w:color="7F7F7F"/>
        <w:left w:val="single" w:sz="7" w:space="0" w:color="7F7F7F"/>
        <w:bottom w:val="single" w:sz="7" w:space="0" w:color="7F7F7F"/>
        <w:right w:val="single" w:sz="7" w:space="0" w:color="7F7F7F"/>
        <w:insideH w:val="single" w:sz="7" w:space="0" w:color="7F7F7F"/>
        <w:insideV w:val="single" w:sz="7" w:space="0" w:color="7F7F7F"/>
      </w:tblBorders>
    </w:tblPr>
    <w:tblGrid>
      <w:gridCol w:w="2211"/>
      <w:gridCol w:w="4762"/>
      <w:gridCol w:w="3118"/>
    </w:tblGrid>
    <w:tr>
      <w:tc>
        <w:tcPr>
          <w:tcW w:type="dxa" w:w="2211"/>
          <w:tcMar>
            <w:top w:w="80" w:type="dxa"/>
            <w:start w:w="100" w:type="dxa"/>
            <w:bottom w:w="80" w:type="dxa"/>
            <w:end w:w="100" w:type="dxa"/>
          </w:tcMar>
          <w:vAlign w:val="center"/>
        </w:tcPr>
        <w:p>
          <w:pPr>
            <w:spacing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170000" cy="454235"/>
                <wp:docPr id="1" name="Picture 1" title="Fly Kitchen" descr="Logo institucional de Fly Kitchen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340-x-132-01(10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000" cy="4542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62"/>
          <w:tcMar>
            <w:top w:w="80" w:type="dxa"/>
            <w:start w:w="100" w:type="dxa"/>
            <w:bottom w:w="80" w:type="dxa"/>
            <w:end w:w="100" w:type="dxa"/>
          </w:tcMar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" w:hAnsi="Arial"/>
              <w:b/>
              <w:color w:val="202124"/>
              <w:sz w:val="20"/>
            </w:rPr>
            <w:t>INSTRUCTIVO DE EVALUACIÓN DE DESEMPEÑO</w:t>
          </w:r>
          <w:r>
            <w:rPr>
              <w:rFonts w:ascii="Arial" w:hAnsi="Arial"/>
              <w:color w:val="555555"/>
              <w:sz w:val="16"/>
            </w:rPr>
            <w:br/>
            <w:t>Gestión de Personas | Operaciones</w:t>
          </w:r>
        </w:p>
      </w:tc>
      <w:tc>
        <w:tcPr>
          <w:tcW w:type="dxa" w:w="3118"/>
          <w:tcMar>
            <w:top w:w="80" w:type="dxa"/>
            <w:start w:w="100" w:type="dxa"/>
            <w:bottom w:w="80" w:type="dxa"/>
            <w:end w:w="100" w:type="dxa"/>
          </w:tcMar>
          <w:vAlign w:val="center"/>
        </w:tcPr>
        <w:p>
          <w:pPr>
            <w:spacing w:after="0" w:line="228" w:lineRule="auto"/>
            <w:jc w:val="right"/>
          </w:pPr>
          <w:r/>
          <w:r>
            <w:rPr>
              <w:rFonts w:ascii="Arial" w:hAnsi="Arial"/>
              <w:b/>
              <w:sz w:val="15"/>
            </w:rPr>
            <w:t xml:space="preserve">Código: </w:t>
          </w:r>
          <w:r>
            <w:rPr>
              <w:rFonts w:ascii="Arial" w:hAnsi="Arial"/>
              <w:sz w:val="15"/>
            </w:rPr>
            <w:t>INS-RRHH-EVD-001</w:t>
            <w:br/>
          </w:r>
          <w:r>
            <w:rPr>
              <w:rFonts w:ascii="Arial" w:hAnsi="Arial"/>
              <w:b/>
              <w:sz w:val="15"/>
            </w:rPr>
            <w:t xml:space="preserve">Versión: </w:t>
          </w:r>
          <w:r>
            <w:rPr>
              <w:rFonts w:ascii="Arial" w:hAnsi="Arial"/>
              <w:sz w:val="15"/>
            </w:rPr>
            <w:t>1.0</w:t>
            <w:br/>
          </w:r>
          <w:r>
            <w:rPr>
              <w:rFonts w:ascii="Arial" w:hAnsi="Arial"/>
              <w:b/>
              <w:sz w:val="15"/>
            </w:rPr>
            <w:t xml:space="preserve">Emisión: </w:t>
          </w:r>
          <w:r>
            <w:rPr>
              <w:rFonts w:ascii="Arial" w:hAnsi="Arial"/>
              <w:sz w:val="15"/>
            </w:rPr>
            <w:t>20/07/2026</w:t>
            <w:br/>
          </w:r>
          <w:r>
            <w:rPr>
              <w:rFonts w:ascii="Arial" w:hAnsi="Arial"/>
              <w:b/>
              <w:sz w:val="15"/>
            </w:rPr>
            <w:t xml:space="preserve">Página: </w:t>
          </w:r>
          <w:r>
            <w:rPr>
              <w:rFonts w:ascii="Arial" w:hAnsi="Arial"/>
              <w:sz w:val="15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sz w:val="15"/>
            </w:rPr>
            <w:t xml:space="preserve"> de </w:t>
          </w:r>
          <w:r>
            <w:rPr>
              <w:rFonts w:ascii="Arial" w:hAnsi="Arial"/>
              <w:sz w:val="15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4" w:lineRule="auto"/>
    </w:pPr>
    <w:rPr>
      <w:rFonts w:ascii="Arial" w:hAnsi="Arial"/>
      <w:color w:val="202124"/>
      <w:sz w:val="18"/>
      <w:lang w:val="es-A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AR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es-AR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AR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A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s-A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A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A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A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A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A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AR"/>
    </w:rPr>
  </w:style>
  <w:style w:type="character" w:default="1" w:styleId="DefaultParagraphFont">
    <w:name w:val="Default Paragraph Font"/>
    <w:uiPriority w:val="1"/>
    <w:semiHidden/>
    <w:unhideWhenUsed/>
    <w:rPr>
      <w:lang w:val="es-AR"/>
    </w:rPr>
  </w:style>
  <w:style w:type="table" w:default="1" w:styleId="TableNormal">
    <w:name w:val="Normal Table"/>
    <w:uiPriority w:val="99"/>
    <w:semiHidden/>
    <w:unhideWhenUsed/>
    <w:rPr>
      <w:lang w:val="es-AR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es-AR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A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A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AR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A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A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es-AR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A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es-AR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AR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es-AR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A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A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A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A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A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A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A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A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A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A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A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A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A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AR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AR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AR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es-AR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es-A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A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es-AR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es-AR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es-AR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es-AR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es-AR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es-AR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A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es-AR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es-AR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es-AR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es-AR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es-AR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es-AR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es-AR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es-A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es-A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ISO">
    <w:name w:val="Body ISO"/>
    <w:basedOn w:val="Normal"/>
    <w:pPr>
      <w:widowControl/>
      <w:spacing w:after="80" w:line="254" w:lineRule="auto"/>
    </w:pPr>
    <w:rPr>
      <w:rFonts w:ascii="Arial" w:hAnsi="Arial"/>
      <w:color w:val="202124"/>
      <w:sz w:val="18"/>
      <w:lang w:val="es-AR"/>
    </w:rPr>
  </w:style>
  <w:style w:type="paragraph" w:customStyle="1" w:styleId="BulletISO">
    <w:name w:val="Bullet ISO"/>
    <w:basedOn w:val="Normal"/>
    <w:pPr>
      <w:widowControl/>
      <w:spacing w:after="30" w:line="245" w:lineRule="auto"/>
    </w:pPr>
    <w:rPr>
      <w:rFonts w:ascii="Arial" w:hAnsi="Arial"/>
      <w:sz w:val="17"/>
      <w:lang w:val="es-AR"/>
    </w:rPr>
  </w:style>
  <w:style w:type="paragraph" w:customStyle="1" w:styleId="NoteISO">
    <w:name w:val="Note ISO"/>
    <w:basedOn w:val="Normal"/>
    <w:pPr>
      <w:spacing w:before="20" w:after="80"/>
      <w:ind w:left="198"/>
    </w:pPr>
    <w:rPr>
      <w:rFonts w:ascii="Arial" w:hAnsi="Arial"/>
      <w:i/>
      <w:color w:val="555555"/>
      <w:sz w:val="16"/>
      <w:lang w:val="es-AR"/>
    </w:rPr>
  </w:style>
  <w:style w:type="paragraph" w:customStyle="1" w:styleId="ISOSubheading">
    <w:name w:val="ISO Subheading"/>
    <w:basedOn w:val="Normal"/>
    <w:pPr>
      <w:keepNext/>
      <w:keepLines/>
      <w:spacing w:before="100" w:after="40"/>
    </w:pPr>
    <w:rPr>
      <w:rFonts w:ascii="Arial" w:hAnsi="Arial"/>
      <w:b/>
      <w:color w:val="202124"/>
      <w:sz w:val="18"/>
      <w:lang w:val="es-AR"/>
    </w:rPr>
  </w:style>
  <w:style w:type="paragraph" w:customStyle="1" w:styleId="ISOHeading1">
    <w:name w:val="ISO Heading 1"/>
    <w:basedOn w:val="Normal"/>
    <w:pPr>
      <w:keepNext/>
      <w:keepLines/>
      <w:spacing w:before="160" w:after="80"/>
    </w:pPr>
    <w:rPr>
      <w:rFonts w:ascii="Arial" w:hAnsi="Arial"/>
      <w:b/>
      <w:color w:val="F28C00"/>
      <w:sz w:val="26"/>
      <w:lang w:val="es-AR"/>
    </w:rPr>
  </w:style>
  <w:style w:type="paragraph" w:customStyle="1" w:styleId="ISOHeading2">
    <w:name w:val="ISO Heading 2"/>
    <w:basedOn w:val="Normal"/>
    <w:pPr>
      <w:keepNext/>
      <w:keepLines/>
      <w:spacing w:before="120" w:after="80"/>
    </w:pPr>
    <w:rPr>
      <w:rFonts w:ascii="Arial" w:hAnsi="Arial"/>
      <w:b/>
      <w:color w:val="202124"/>
      <w:sz w:val="22"/>
      <w:lang w:val="es-AR"/>
    </w:rPr>
  </w:style>
  <w:style w:type="paragraph" w:customStyle="1" w:styleId="ISOHeading3">
    <w:name w:val="ISO Heading 3"/>
    <w:basedOn w:val="Normal"/>
    <w:pPr>
      <w:keepNext/>
      <w:keepLines/>
      <w:spacing w:before="120" w:after="80"/>
    </w:pPr>
    <w:rPr>
      <w:rFonts w:ascii="Arial" w:hAnsi="Arial"/>
      <w:b/>
      <w:color w:val="202124"/>
      <w:sz w:val="19"/>
      <w:lang w:val="es-A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de Evaluación de Desempeño</dc:title>
  <dc:subject>Criterios objetivos para la evaluación de desempeño</dc:subject>
  <dc:creator>Fly Kitchen</dc:creator>
  <cp:keywords>evaluación de desempeño, ISO 9001, gestión de personas, operaciones</cp:keywords>
  <dc:description>Versión corregida: se eliminaron saltos que podían generar páginas en blanco.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