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20" w:after="120"/>
        <w:jc w:val="center"/>
        <w:rPr/>
      </w:pPr>
      <w:r>
        <w:rPr>
          <w:b/>
          <w:bCs/>
        </w:rPr>
        <w:t>Bibliography and Algorithm Descriptions</w:t>
      </w:r>
    </w:p>
    <w:p>
      <w:pPr>
        <w:pStyle w:val="Normal"/>
        <w:spacing w:before="0" w:after="60"/>
        <w:jc w:val="center"/>
        <w:rPr/>
      </w:pPr>
      <w:r>
        <w:rPr>
          <w:rFonts w:eastAsia="Times New Roman" w:cs="Times New Roman"/>
          <w:sz w:val="26"/>
          <w:szCs w:val="26"/>
        </w:rPr>
        <w:t>GPU-Accelerated Near-Miss Detection from E-Scooter Video</w:t>
      </w:r>
    </w:p>
    <w:p>
      <w:pPr>
        <w:pStyle w:val="Normal"/>
        <w:spacing w:before="0" w:after="60"/>
        <w:jc w:val="center"/>
        <w:rPr/>
      </w:pPr>
      <w:r>
        <w:rPr/>
        <w:t xml:space="preserve">Naveen </w:t>
      </w:r>
      <w:r>
        <w:rPr/>
        <w:t>John (wit065)</w:t>
      </w:r>
    </w:p>
    <w:p>
      <w:pPr>
        <w:pStyle w:val="Normal"/>
        <w:spacing w:before="240" w:after="120"/>
        <w:rPr/>
      </w:pPr>
      <w:r>
        <w:rPr>
          <w:rFonts w:eastAsia="Times New Roman" w:cs="Times New Roman"/>
          <w:b/>
          <w:bCs/>
          <w:sz w:val="26"/>
          <w:szCs w:val="26"/>
        </w:rPr>
        <w:t>1. Description of Chosen Algorithms/Techniques</w:t>
      </w:r>
    </w:p>
    <w:p>
      <w:pPr>
        <w:pStyle w:val="Normal"/>
        <w:spacing w:lineRule="exact" w:line="360" w:before="0" w:after="160"/>
        <w:rPr/>
      </w:pPr>
      <w:r>
        <w:rPr/>
        <w:t>Our project accelerates the offline post-processing pipeline for near-miss detection from e-scooter ride videos collected at UTSA’s ScooterLab. The pipeline applies YOLOv12 for object detection and Apple’s Depth Pro for monocular metric depth estimation on recorded footage to identify and measure close encounters between scooter riders and surrounding road users. We investigate three progressively optimized parallel approaches on NVIDIA GPUs.</w:t>
      </w:r>
    </w:p>
    <w:p>
      <w:pPr>
        <w:pStyle w:val="Normal"/>
        <w:spacing w:before="160" w:after="100"/>
        <w:rPr/>
      </w:pPr>
      <w:r>
        <w:rPr>
          <w:b/>
          <w:bCs/>
          <w:i/>
          <w:iCs/>
        </w:rPr>
        <w:t>Method 1: Baseline GPU Inference (PyTorch)</w:t>
      </w:r>
    </w:p>
    <w:p>
      <w:pPr>
        <w:pStyle w:val="Normal"/>
        <w:spacing w:lineRule="exact" w:line="360" w:before="0" w:after="160"/>
        <w:rPr/>
      </w:pPr>
      <w:r>
        <w:rPr/>
        <w:t>The baseline method profiles our existing pipeline in its native PyTorch execution mode. YOLOv12 performs object detection on each video frame, followed by Depth Pro which generates a dense metric depth map for distance estimation of detected objects. Both models run sequentially on a single GPU using default PyTorch inference. We instrument the pipeline with CUDA events to measure per-frame latency, GPU utilization (via nvidia-smi and torch.cuda profiling), memory consumption, and end-to-end throughput (frames per second). This establishes the performance floor against which all optimizations are compared.</w:t>
      </w:r>
    </w:p>
    <w:p>
      <w:pPr>
        <w:pStyle w:val="Normal"/>
        <w:spacing w:before="160" w:after="100"/>
        <w:rPr/>
      </w:pPr>
      <w:r>
        <w:rPr>
          <w:b/>
          <w:bCs/>
          <w:i/>
          <w:iCs/>
        </w:rPr>
        <w:t>Method 2: TensorRT Optimization with FP16/INT8 Quantization</w:t>
      </w:r>
    </w:p>
    <w:p>
      <w:pPr>
        <w:pStyle w:val="Normal"/>
        <w:spacing w:lineRule="exact" w:line="360" w:before="0" w:after="160"/>
        <w:rPr/>
      </w:pPr>
      <w:r>
        <w:rPr/>
        <w:t>The second method converts the YOLOv12 model to NVIDIA TensorRT format via ONNX export, applying graph-level optimizations including layer fusion, kernel auto-tuning, and reduced-precision arithmetic. We benchmark both FP16 (half-precision) and INT8 (8-bit integer) quantization modes, measuring the tradeoff between inference speedup and detection accuracy (mAP). TensorRT optimizes the computation graph for the target GPU architecture, fusing compatible layers to reduce memory transfers and kernel launch overhead. INT8 calibration uses a representative subset of our ride video dataset. This method targets the object detection bottleneck while keeping Depth Pro in its original precision.</w:t>
      </w:r>
    </w:p>
    <w:p>
      <w:pPr>
        <w:pStyle w:val="Normal"/>
        <w:spacing w:before="160" w:after="100"/>
        <w:rPr/>
      </w:pPr>
      <w:r>
        <w:rPr>
          <w:b/>
          <w:bCs/>
          <w:i/>
          <w:iCs/>
        </w:rPr>
        <w:t>Method 3: Multi-Stream Pipeline Parallelism with Batched Inference</w:t>
      </w:r>
    </w:p>
    <w:p>
      <w:pPr>
        <w:pStyle w:val="Normal"/>
        <w:spacing w:lineRule="exact" w:line="360" w:before="0" w:after="160"/>
        <w:rPr/>
      </w:pPr>
      <w:r>
        <w:rPr/>
        <w:t>The third method exploits CUDA streams to overlap the execution of object detection and depth estimation across different frames. In the baseline, detection and depth run sequentially on each frame. With pipeline parallelism, while Depth Pro processes frame N, YOLOv12 (TensorRT-optimized) can simultaneously process frame N+1 on a separate CUDA stream, hiding latency through concurrent execution. Additionally, we implement batched frame decoding and preprocessing to amortize per-frame overhead. This combines the TensorRT speedups from Method 2 with pipeline-level parallelism to maximize GPU throughput for batch video processing.</w:t>
      </w:r>
    </w:p>
    <w:p>
      <w:pPr>
        <w:pStyle w:val="Normal"/>
        <w:spacing w:before="240" w:after="120"/>
        <w:rPr/>
      </w:pPr>
      <w:r>
        <w:rPr>
          <w:rFonts w:eastAsia="Times New Roman" w:cs="Times New Roman"/>
          <w:b/>
          <w:bCs/>
          <w:sz w:val="26"/>
          <w:szCs w:val="26"/>
        </w:rPr>
        <w:t>2. Bibliography</w:t>
      </w:r>
    </w:p>
    <w:p>
      <w:pPr>
        <w:pStyle w:val="Normal"/>
        <w:spacing w:before="120" w:after="80"/>
        <w:rPr/>
      </w:pPr>
      <w:r>
        <w:rPr>
          <w:b/>
          <w:bCs/>
          <w:i/>
          <w:iCs/>
        </w:rPr>
        <w:t>Object Detection (YOLO Family)</w:t>
      </w:r>
    </w:p>
    <w:p>
      <w:pPr>
        <w:pStyle w:val="Normal"/>
        <w:spacing w:lineRule="exact" w:line="276" w:before="0" w:after="140"/>
        <w:ind w:hanging="360" w:left="360"/>
        <w:rPr/>
      </w:pPr>
      <w:r>
        <w:rPr>
          <w:b/>
          <w:bCs/>
        </w:rPr>
        <w:t xml:space="preserve">[1] </w:t>
      </w:r>
      <w:r>
        <w:rPr/>
        <w:t xml:space="preserve">Y. Tian, Q. Ye, and D. Doermann, “YOLOv12: Attention-Centric Real-Time Object Detectors,” </w:t>
      </w:r>
      <w:r>
        <w:rPr>
          <w:i/>
          <w:iCs/>
        </w:rPr>
        <w:t>NeurIPS 2025</w:t>
      </w:r>
      <w:r>
        <w:rPr/>
        <w:t xml:space="preserve">, arXiv:2502.12524, 2025. </w:t>
      </w:r>
      <w:hyperlink r:id="rId2">
        <w:r>
          <w:rPr>
            <w:rStyle w:val="Hyperlink"/>
          </w:rPr>
          <w:t>[Paper]</w:t>
        </w:r>
      </w:hyperlink>
      <w:r>
        <w:rPr/>
        <w:t xml:space="preserve"> </w:t>
      </w:r>
      <w:hyperlink r:id="rId3">
        <w:r>
          <w:rPr>
            <w:rStyle w:val="Hyperlink"/>
          </w:rPr>
          <w:t>[Code]</w:t>
        </w:r>
      </w:hyperlink>
    </w:p>
    <w:p>
      <w:pPr>
        <w:pStyle w:val="Normal"/>
        <w:spacing w:lineRule="exact" w:line="276" w:before="0" w:after="140"/>
        <w:ind w:hanging="360" w:left="360"/>
        <w:rPr/>
      </w:pPr>
      <w:r>
        <w:rPr>
          <w:b/>
          <w:bCs/>
        </w:rPr>
        <w:t xml:space="preserve">[2] </w:t>
      </w:r>
      <w:r>
        <w:rPr/>
        <w:t xml:space="preserve">J. Redmon, S. Divvala, R. Girshick, and A. Farhadi, “You Only Look Once: Unified, Real-Time Object Detection,” </w:t>
      </w:r>
      <w:r>
        <w:rPr>
          <w:i/>
          <w:iCs/>
        </w:rPr>
        <w:t>CVPR</w:t>
      </w:r>
      <w:r>
        <w:rPr/>
        <w:t xml:space="preserve">, 2016. </w:t>
      </w:r>
      <w:hyperlink r:id="rId4">
        <w:r>
          <w:rPr>
            <w:rStyle w:val="Hyperlink"/>
          </w:rPr>
          <w:t>[Paper]</w:t>
        </w:r>
      </w:hyperlink>
    </w:p>
    <w:p>
      <w:pPr>
        <w:pStyle w:val="Normal"/>
        <w:spacing w:lineRule="exact" w:line="276" w:before="0" w:after="140"/>
        <w:ind w:hanging="360" w:left="360"/>
        <w:rPr/>
      </w:pPr>
      <w:r>
        <w:rPr>
          <w:b/>
          <w:bCs/>
        </w:rPr>
        <w:t xml:space="preserve">[3] </w:t>
      </w:r>
      <w:r>
        <w:rPr/>
        <w:t xml:space="preserve">A. Wang, H. Chen, L. Liu, K. Chen, Z. Lin, J. Han, and G. Ding, “YOLOv10: Real-Time End-to-End Object Detection,” arXiv:2405.14458, 2024. </w:t>
      </w:r>
      <w:hyperlink r:id="rId5">
        <w:r>
          <w:rPr>
            <w:rStyle w:val="Hyperlink"/>
          </w:rPr>
          <w:t>[Paper]</w:t>
        </w:r>
      </w:hyperlink>
    </w:p>
    <w:p>
      <w:pPr>
        <w:pStyle w:val="Normal"/>
        <w:spacing w:lineRule="exact" w:line="276" w:before="0" w:after="140"/>
        <w:ind w:hanging="360" w:left="360"/>
        <w:rPr/>
      </w:pPr>
      <w:r>
        <w:rPr>
          <w:b/>
          <w:bCs/>
        </w:rPr>
        <w:t xml:space="preserve">[4] </w:t>
      </w:r>
      <w:r>
        <w:rPr/>
        <w:t xml:space="preserve">R. Khanam and M. Hussain, “YOLOv11: An Overview of the Key Architectural Enhancements,” arXiv:2410.17725, 2024. </w:t>
      </w:r>
      <w:hyperlink r:id="rId6">
        <w:r>
          <w:rPr>
            <w:rStyle w:val="Hyperlink"/>
          </w:rPr>
          <w:t>[Paper]</w:t>
        </w:r>
      </w:hyperlink>
    </w:p>
    <w:p>
      <w:pPr>
        <w:pStyle w:val="Normal"/>
        <w:spacing w:before="160" w:after="80"/>
        <w:rPr/>
      </w:pPr>
      <w:r>
        <w:rPr>
          <w:b/>
          <w:bCs/>
          <w:i/>
          <w:iCs/>
        </w:rPr>
        <w:t>Monocular Depth Estimation</w:t>
      </w:r>
    </w:p>
    <w:p>
      <w:pPr>
        <w:pStyle w:val="Normal"/>
        <w:spacing w:lineRule="exact" w:line="276" w:before="0" w:after="140"/>
        <w:ind w:hanging="360" w:left="360"/>
        <w:rPr/>
      </w:pPr>
      <w:r>
        <w:rPr>
          <w:b/>
          <w:bCs/>
        </w:rPr>
        <w:t xml:space="preserve">[5] </w:t>
      </w:r>
      <w:r>
        <w:rPr/>
        <w:t xml:space="preserve">A. Bochkovskii, A. Delaunoy, H. Germain, M. Santos, Y. Zhou, S. R. Richter, and V. Koltun, “Depth Pro: Sharp Monocular Metric Depth in Less Than a Second,” </w:t>
      </w:r>
      <w:r>
        <w:rPr>
          <w:i/>
          <w:iCs/>
        </w:rPr>
        <w:t>ICLR 2025</w:t>
      </w:r>
      <w:r>
        <w:rPr/>
        <w:t xml:space="preserve">, arXiv:2410.02073, 2024. </w:t>
      </w:r>
      <w:hyperlink r:id="rId7">
        <w:r>
          <w:rPr>
            <w:rStyle w:val="Hyperlink"/>
          </w:rPr>
          <w:t>[Paper]</w:t>
        </w:r>
      </w:hyperlink>
      <w:r>
        <w:rPr/>
        <w:t xml:space="preserve"> </w:t>
      </w:r>
      <w:hyperlink r:id="rId8">
        <w:r>
          <w:rPr>
            <w:rStyle w:val="Hyperlink"/>
          </w:rPr>
          <w:t>[Code]</w:t>
        </w:r>
      </w:hyperlink>
    </w:p>
    <w:p>
      <w:pPr>
        <w:pStyle w:val="Normal"/>
        <w:spacing w:lineRule="exact" w:line="276" w:before="0" w:after="140"/>
        <w:ind w:hanging="360" w:left="360"/>
        <w:rPr/>
      </w:pPr>
      <w:r>
        <w:rPr>
          <w:b/>
          <w:bCs/>
        </w:rPr>
        <w:t xml:space="preserve">[6] </w:t>
      </w:r>
      <w:r>
        <w:rPr/>
        <w:t xml:space="preserve">L. Yang, B. Kang, Z. Huang, X. Xu, J. Feng, and H. Zhao, “Depth Anything V2,” </w:t>
      </w:r>
      <w:r>
        <w:rPr>
          <w:i/>
          <w:iCs/>
        </w:rPr>
        <w:t>NeurIPS 2024</w:t>
      </w:r>
      <w:r>
        <w:rPr/>
        <w:t xml:space="preserve">, arXiv:2406.09414, 2024. </w:t>
      </w:r>
      <w:hyperlink r:id="rId9">
        <w:r>
          <w:rPr>
            <w:rStyle w:val="Hyperlink"/>
          </w:rPr>
          <w:t>[Paper]</w:t>
        </w:r>
      </w:hyperlink>
    </w:p>
    <w:p>
      <w:pPr>
        <w:pStyle w:val="Normal"/>
        <w:spacing w:lineRule="exact" w:line="276" w:before="0" w:after="140"/>
        <w:ind w:hanging="360" w:left="360"/>
        <w:rPr/>
      </w:pPr>
      <w:r>
        <w:rPr>
          <w:b/>
          <w:bCs/>
        </w:rPr>
        <w:t xml:space="preserve">[7] </w:t>
      </w:r>
      <w:r>
        <w:rPr/>
        <w:t xml:space="preserve">R. Ranftl, A. Bochkovskiy, and V. Koltun, “Vision Transformers for Dense Prediction,” </w:t>
      </w:r>
      <w:r>
        <w:rPr>
          <w:i/>
          <w:iCs/>
        </w:rPr>
        <w:t>ICCV</w:t>
      </w:r>
      <w:r>
        <w:rPr/>
        <w:t xml:space="preserve">, 2021. </w:t>
      </w:r>
      <w:hyperlink r:id="rId10">
        <w:r>
          <w:rPr>
            <w:rStyle w:val="Hyperlink"/>
          </w:rPr>
          <w:t>[Paper]</w:t>
        </w:r>
      </w:hyperlink>
    </w:p>
    <w:p>
      <w:pPr>
        <w:pStyle w:val="Normal"/>
        <w:spacing w:before="160" w:after="80"/>
        <w:rPr/>
      </w:pPr>
      <w:r>
        <w:rPr>
          <w:b/>
          <w:bCs/>
          <w:i/>
          <w:iCs/>
        </w:rPr>
        <w:t>TensorRT and GPU Inference Optimization</w:t>
      </w:r>
    </w:p>
    <w:p>
      <w:pPr>
        <w:pStyle w:val="Normal"/>
        <w:spacing w:lineRule="exact" w:line="276" w:before="0" w:after="140"/>
        <w:ind w:hanging="360" w:left="360"/>
        <w:rPr/>
      </w:pPr>
      <w:r>
        <w:rPr>
          <w:b/>
          <w:bCs/>
        </w:rPr>
        <w:t xml:space="preserve">[8] </w:t>
      </w:r>
      <w:r>
        <w:rPr/>
        <w:t xml:space="preserve">NVIDIA Corporation, “TensorRT: Programmable Inference Accelerator,” NVIDIA Developer Documentation, 2024. </w:t>
      </w:r>
      <w:hyperlink r:id="rId11">
        <w:r>
          <w:rPr>
            <w:rStyle w:val="Hyperlink"/>
          </w:rPr>
          <w:t>[Docs]</w:t>
        </w:r>
      </w:hyperlink>
    </w:p>
    <w:p>
      <w:pPr>
        <w:pStyle w:val="Normal"/>
        <w:spacing w:lineRule="exact" w:line="276" w:before="0" w:after="140"/>
        <w:ind w:hanging="360" w:left="360"/>
        <w:rPr/>
      </w:pPr>
      <w:r>
        <w:rPr>
          <w:b/>
          <w:bCs/>
        </w:rPr>
        <w:t xml:space="preserve">[9] </w:t>
      </w:r>
      <w:r>
        <w:rPr/>
        <w:t xml:space="preserve">S. Shin and Y. Kim, “TensorRT-Based Framework and Optimization Methodology for Deep Learning Inference on Jetson Boards,” </w:t>
      </w:r>
      <w:r>
        <w:rPr>
          <w:i/>
          <w:iCs/>
        </w:rPr>
        <w:t>ACM Trans. Embedded Computing Systems</w:t>
      </w:r>
      <w:r>
        <w:rPr/>
        <w:t xml:space="preserve">, vol. 21, no. 3, 2022. </w:t>
      </w:r>
      <w:hyperlink r:id="rId12">
        <w:r>
          <w:rPr>
            <w:rStyle w:val="Hyperlink"/>
          </w:rPr>
          <w:t>[Paper]</w:t>
        </w:r>
      </w:hyperlink>
    </w:p>
    <w:p>
      <w:pPr>
        <w:pStyle w:val="Normal"/>
        <w:spacing w:lineRule="exact" w:line="276" w:before="0" w:after="140"/>
        <w:ind w:hanging="360" w:left="360"/>
        <w:rPr/>
      </w:pPr>
      <w:r>
        <w:rPr>
          <w:b/>
          <w:bCs/>
        </w:rPr>
        <w:t xml:space="preserve">[10] </w:t>
      </w:r>
      <w:r>
        <w:rPr/>
        <w:t xml:space="preserve">M. Alqahtani et al., “Accelerating Deep Learning Inference: A Comparative Analysis of Modern Acceleration Frameworks,” </w:t>
      </w:r>
      <w:r>
        <w:rPr>
          <w:i/>
          <w:iCs/>
        </w:rPr>
        <w:t>Electronics</w:t>
      </w:r>
      <w:r>
        <w:rPr/>
        <w:t xml:space="preserve">, vol. 14, no. 15, 2977, 2025. </w:t>
      </w:r>
      <w:hyperlink r:id="rId13">
        <w:r>
          <w:rPr>
            <w:rStyle w:val="Hyperlink"/>
          </w:rPr>
          <w:t>[Paper]</w:t>
        </w:r>
      </w:hyperlink>
    </w:p>
    <w:p>
      <w:pPr>
        <w:pStyle w:val="Normal"/>
        <w:spacing w:lineRule="exact" w:line="276" w:before="0" w:after="140"/>
        <w:ind w:hanging="360" w:left="360"/>
        <w:rPr/>
      </w:pPr>
      <w:r>
        <w:rPr>
          <w:b/>
          <w:bCs/>
        </w:rPr>
        <w:t xml:space="preserve">[11] </w:t>
      </w:r>
      <w:r>
        <w:rPr/>
        <w:t xml:space="preserve">M. Al-Qizwini, I. Barjasteh, H. Al-Qassab, and H. Radha, “Deep Learning Based YOLO Inference on Embedded GPU with TensorRT,” </w:t>
      </w:r>
      <w:r>
        <w:rPr>
          <w:i/>
          <w:iCs/>
        </w:rPr>
        <w:t>PMC / Sensors</w:t>
      </w:r>
      <w:r>
        <w:rPr/>
        <w:t xml:space="preserve">, 2020. </w:t>
      </w:r>
      <w:hyperlink r:id="rId14">
        <w:r>
          <w:rPr>
            <w:rStyle w:val="Hyperlink"/>
          </w:rPr>
          <w:t>[Paper]</w:t>
        </w:r>
      </w:hyperlink>
    </w:p>
    <w:p>
      <w:pPr>
        <w:pStyle w:val="Normal"/>
        <w:spacing w:lineRule="exact" w:line="276" w:before="0" w:after="140"/>
        <w:ind w:hanging="360" w:left="360"/>
        <w:rPr/>
      </w:pPr>
      <w:r>
        <w:rPr>
          <w:b/>
          <w:bCs/>
        </w:rPr>
        <w:t xml:space="preserve">[12] </w:t>
      </w:r>
      <w:r>
        <w:rPr/>
        <w:t xml:space="preserve">X. Zhang and B. Li, “Tennis Ball Detection Based on YOLOv5 with TensorRT,” </w:t>
      </w:r>
      <w:r>
        <w:rPr>
          <w:i/>
          <w:iCs/>
        </w:rPr>
        <w:t>Scientific Reports</w:t>
      </w:r>
      <w:r>
        <w:rPr/>
        <w:t xml:space="preserve">, vol. 15, 21011, 2025. </w:t>
      </w:r>
      <w:hyperlink r:id="rId15">
        <w:r>
          <w:rPr>
            <w:rStyle w:val="Hyperlink"/>
          </w:rPr>
          <w:t>[Paper]</w:t>
        </w:r>
      </w:hyperlink>
    </w:p>
    <w:p>
      <w:pPr>
        <w:pStyle w:val="Normal"/>
        <w:spacing w:before="160" w:after="80"/>
        <w:rPr/>
      </w:pPr>
      <w:r>
        <w:rPr>
          <w:b/>
          <w:bCs/>
          <w:i/>
          <w:iCs/>
        </w:rPr>
        <w:t>CUDA Streams and Pipeline Parallelism</w:t>
      </w:r>
    </w:p>
    <w:p>
      <w:pPr>
        <w:pStyle w:val="Normal"/>
        <w:spacing w:lineRule="exact" w:line="276" w:before="0" w:after="140"/>
        <w:ind w:hanging="360" w:left="360"/>
        <w:rPr/>
      </w:pPr>
      <w:r>
        <w:rPr>
          <w:b/>
          <w:bCs/>
        </w:rPr>
        <w:t xml:space="preserve">[13] </w:t>
      </w:r>
      <w:r>
        <w:rPr/>
        <w:t xml:space="preserve">M. Li et al., “Deep Learning and Machine Learning with GPGPU and CUDA: Unlocking the Power of Parallel Computing,” arXiv:2410.05686, 2024. </w:t>
      </w:r>
      <w:hyperlink r:id="rId16">
        <w:r>
          <w:rPr>
            <w:rStyle w:val="Hyperlink"/>
          </w:rPr>
          <w:t>[Paper]</w:t>
        </w:r>
      </w:hyperlink>
    </w:p>
    <w:p>
      <w:pPr>
        <w:pStyle w:val="Normal"/>
        <w:spacing w:lineRule="exact" w:line="276" w:before="0" w:after="140"/>
        <w:ind w:hanging="360" w:left="360"/>
        <w:rPr/>
      </w:pPr>
      <w:r>
        <w:rPr>
          <w:b/>
          <w:bCs/>
        </w:rPr>
        <w:t xml:space="preserve">[14] </w:t>
      </w:r>
      <w:r>
        <w:rPr/>
        <w:t xml:space="preserve">H. Zhou, S. Bateni, and C. Liu, “S3DNN: Supervised Streaming and Scheduling for GPU-Accelerated Real-Time DNN Workloads,” </w:t>
      </w:r>
      <w:r>
        <w:rPr>
          <w:i/>
          <w:iCs/>
        </w:rPr>
        <w:t>IEEE RTAS</w:t>
      </w:r>
      <w:r>
        <w:rPr/>
        <w:t xml:space="preserve">, 2018. </w:t>
      </w:r>
      <w:hyperlink r:id="rId17">
        <w:r>
          <w:rPr>
            <w:rStyle w:val="Hyperlink"/>
          </w:rPr>
          <w:t>[Paper]</w:t>
        </w:r>
      </w:hyperlink>
    </w:p>
    <w:p>
      <w:pPr>
        <w:pStyle w:val="Normal"/>
        <w:spacing w:lineRule="exact" w:line="276" w:before="0" w:after="140"/>
        <w:ind w:hanging="360" w:left="360"/>
        <w:rPr/>
      </w:pPr>
      <w:r>
        <w:rPr>
          <w:b/>
          <w:bCs/>
        </w:rPr>
        <w:t xml:space="preserve">[15] </w:t>
      </w:r>
      <w:r>
        <w:rPr/>
        <w:t xml:space="preserve">S. Bateni, Z. Mao, A. Li, and C. Liu, “Efficient CUDA Stream Management for Multi-DNN Real-Time Inference on Embedded GPUs,” </w:t>
      </w:r>
      <w:r>
        <w:rPr>
          <w:i/>
          <w:iCs/>
        </w:rPr>
        <w:t>Journal of Systems Architecture</w:t>
      </w:r>
      <w:r>
        <w:rPr/>
        <w:t xml:space="preserve">, vol. 139, 2023. </w:t>
      </w:r>
      <w:hyperlink r:id="rId18">
        <w:r>
          <w:rPr>
            <w:rStyle w:val="Hyperlink"/>
          </w:rPr>
          <w:t>[Paper]</w:t>
        </w:r>
      </w:hyperlink>
    </w:p>
    <w:p>
      <w:pPr>
        <w:pStyle w:val="Normal"/>
        <w:spacing w:lineRule="exact" w:line="276" w:before="0" w:after="140"/>
        <w:ind w:hanging="360" w:left="360"/>
        <w:rPr/>
      </w:pPr>
      <w:r>
        <w:rPr>
          <w:b/>
          <w:bCs/>
        </w:rPr>
        <w:t xml:space="preserve">[16] </w:t>
      </w:r>
      <w:r>
        <w:rPr/>
        <w:t xml:space="preserve">A. Patel, S. Rao, and V. Nagarajan, “Multi-Stream Scheduling of Inference Pipelines on Edge Devices – a DRL Approach,” </w:t>
      </w:r>
      <w:r>
        <w:rPr>
          <w:i/>
          <w:iCs/>
        </w:rPr>
        <w:t>ACM Trans. Design Automation of Electronic Systems</w:t>
      </w:r>
      <w:r>
        <w:rPr/>
        <w:t xml:space="preserve">, 2024. </w:t>
      </w:r>
      <w:hyperlink r:id="rId19">
        <w:r>
          <w:rPr>
            <w:rStyle w:val="Hyperlink"/>
          </w:rPr>
          <w:t>[Paper]</w:t>
        </w:r>
      </w:hyperlink>
    </w:p>
    <w:p>
      <w:pPr>
        <w:pStyle w:val="Normal"/>
        <w:spacing w:lineRule="exact" w:line="276" w:before="0" w:after="140"/>
        <w:ind w:hanging="360" w:left="360"/>
        <w:rPr/>
      </w:pPr>
      <w:r>
        <w:rPr>
          <w:b/>
          <w:bCs/>
        </w:rPr>
        <w:t xml:space="preserve">[17] </w:t>
      </w:r>
      <w:r>
        <w:rPr/>
        <w:t xml:space="preserve">PPipe: Efficient Video Analytics Serving on Heterogeneous GPU Clusters via Pool-Based Pipeline Parallelism, arXiv:2507.18748, 2025. </w:t>
      </w:r>
      <w:hyperlink r:id="rId20">
        <w:r>
          <w:rPr>
            <w:rStyle w:val="Hyperlink"/>
          </w:rPr>
          <w:t>[Paper]</w:t>
        </w:r>
      </w:hyperlink>
    </w:p>
    <w:p>
      <w:pPr>
        <w:pStyle w:val="Normal"/>
        <w:spacing w:before="160" w:after="80"/>
        <w:rPr/>
      </w:pPr>
      <w:r>
        <w:rPr>
          <w:b/>
          <w:bCs/>
          <w:i/>
          <w:iCs/>
        </w:rPr>
        <w:t>E-Scooter Safety and Near-Miss Detection</w:t>
      </w:r>
    </w:p>
    <w:p>
      <w:pPr>
        <w:pStyle w:val="Normal"/>
        <w:spacing w:lineRule="exact" w:line="276" w:before="0" w:after="140"/>
        <w:ind w:hanging="360" w:left="360"/>
        <w:rPr/>
      </w:pPr>
      <w:r>
        <w:rPr>
          <w:b/>
          <w:bCs/>
        </w:rPr>
        <w:t xml:space="preserve">[18] </w:t>
      </w:r>
      <w:r>
        <w:rPr/>
        <w:t xml:space="preserve">H. N. Kegalle, D. Hettiachchi, J. Chan, M. Sanderson, and F. D. Salim, “Watch Out! E-scooter Coming Through!: Multimodal Sensing of Mixed Traffic Use and Conflicts Through Riders’ Ego-centric Views,” </w:t>
      </w:r>
      <w:r>
        <w:rPr>
          <w:i/>
          <w:iCs/>
        </w:rPr>
        <w:t>Proc. ACM IMWUT</w:t>
      </w:r>
      <w:r>
        <w:rPr/>
        <w:t xml:space="preserve">, vol. 9, no. 1, 2025. </w:t>
      </w:r>
      <w:hyperlink r:id="rId21">
        <w:r>
          <w:rPr>
            <w:rStyle w:val="Hyperlink"/>
          </w:rPr>
          <w:t>[Paper]</w:t>
        </w:r>
      </w:hyperlink>
    </w:p>
    <w:p>
      <w:pPr>
        <w:pStyle w:val="Normal"/>
        <w:spacing w:lineRule="exact" w:line="276" w:before="0" w:after="140"/>
        <w:ind w:hanging="360" w:left="360"/>
        <w:rPr/>
      </w:pPr>
      <w:r>
        <w:rPr>
          <w:b/>
          <w:bCs/>
        </w:rPr>
        <w:t xml:space="preserve">[19] </w:t>
      </w:r>
      <w:r>
        <w:rPr/>
        <w:t xml:space="preserve">M. Tabatabaie, S. He, and X. Yang, “Naturalistic E-Scooter Maneuver Recognition with Federated Contrastive Rider Interaction Learning,” </w:t>
      </w:r>
      <w:r>
        <w:rPr>
          <w:i/>
          <w:iCs/>
        </w:rPr>
        <w:t>Proc. ACM IMWUT</w:t>
      </w:r>
      <w:r>
        <w:rPr/>
        <w:t xml:space="preserve">, vol. 6, no. 4, 2022. </w:t>
      </w:r>
      <w:hyperlink r:id="rId22">
        <w:r>
          <w:rPr>
            <w:rStyle w:val="Hyperlink"/>
          </w:rPr>
          <w:t>[Paper]</w:t>
        </w:r>
      </w:hyperlink>
    </w:p>
    <w:p>
      <w:pPr>
        <w:pStyle w:val="Normal"/>
        <w:spacing w:lineRule="exact" w:line="276" w:before="0" w:after="140"/>
        <w:ind w:hanging="360" w:left="360"/>
        <w:rPr/>
      </w:pPr>
      <w:r>
        <w:rPr>
          <w:b/>
          <w:bCs/>
        </w:rPr>
        <w:t xml:space="preserve">[20] </w:t>
      </w:r>
      <w:r>
        <w:rPr/>
        <w:t xml:space="preserve">S. He et al., “Beyond ‘Taming Electric Scooters’: Disentangling Understandings of Micromobility Naturalistic Riding,” </w:t>
      </w:r>
      <w:r>
        <w:rPr>
          <w:i/>
          <w:iCs/>
        </w:rPr>
        <w:t>Proc. ACM IMWUT</w:t>
      </w:r>
      <w:r>
        <w:rPr/>
        <w:t xml:space="preserve">, vol. 8, no. 3, 2024. </w:t>
      </w:r>
      <w:hyperlink r:id="rId23">
        <w:r>
          <w:rPr>
            <w:rStyle w:val="Hyperlink"/>
          </w:rPr>
          <w:t>[Paper]</w:t>
        </w:r>
      </w:hyperlink>
    </w:p>
    <w:p>
      <w:pPr>
        <w:pStyle w:val="Normal"/>
        <w:spacing w:lineRule="exact" w:line="276" w:before="0" w:after="140"/>
        <w:ind w:hanging="360" w:left="360"/>
        <w:rPr/>
      </w:pPr>
      <w:r>
        <w:rPr>
          <w:b/>
          <w:bCs/>
        </w:rPr>
        <w:t xml:space="preserve">[21] </w:t>
      </w:r>
      <w:r>
        <w:rPr/>
        <w:t xml:space="preserve">J. Kim, G. Kim, J. Lee, T. Voigt, and H. Cha, “SecureRide: Detecting Safety-Threatening Behavior of E-Scooters Using Battery Information,” </w:t>
      </w:r>
      <w:r>
        <w:rPr>
          <w:i/>
          <w:iCs/>
        </w:rPr>
        <w:t>ACM Trans. Embedded Computing Systems</w:t>
      </w:r>
      <w:r>
        <w:rPr/>
        <w:t xml:space="preserve">, vol. 24, no. 5s, 2025. </w:t>
      </w:r>
      <w:hyperlink r:id="rId24">
        <w:r>
          <w:rPr>
            <w:rStyle w:val="Hyperlink"/>
          </w:rPr>
          <w:t>[Paper]</w:t>
        </w:r>
      </w:hyperlink>
    </w:p>
    <w:p>
      <w:pPr>
        <w:pStyle w:val="Normal"/>
        <w:spacing w:lineRule="exact" w:line="276" w:before="0" w:after="140"/>
        <w:ind w:hanging="360" w:left="360"/>
        <w:rPr/>
      </w:pPr>
      <w:r>
        <w:rPr>
          <w:b/>
          <w:bCs/>
        </w:rPr>
        <w:t xml:space="preserve">[22] </w:t>
      </w:r>
      <w:r>
        <w:rPr/>
        <w:t xml:space="preserve">H. Yang, Q. Ma, Z. Wang, Q. Cai, K. Xie, and D. Yang, “Safety of Micro-mobility: Analysis of E-Scooter Crashes by Mining News Reports,” </w:t>
      </w:r>
      <w:r>
        <w:rPr>
          <w:i/>
          <w:iCs/>
        </w:rPr>
        <w:t>Accident Analysis &amp; Prevention</w:t>
      </w:r>
      <w:r>
        <w:rPr/>
        <w:t xml:space="preserve">, vol. 143, 105608, 2020. </w:t>
      </w:r>
      <w:hyperlink r:id="rId25">
        <w:r>
          <w:rPr>
            <w:rStyle w:val="Hyperlink"/>
          </w:rPr>
          <w:t>[Paper]</w:t>
        </w:r>
      </w:hyperlink>
    </w:p>
    <w:p>
      <w:pPr>
        <w:pStyle w:val="Normal"/>
        <w:spacing w:before="160" w:after="80"/>
        <w:rPr/>
      </w:pPr>
      <w:r>
        <w:rPr>
          <w:b/>
          <w:bCs/>
          <w:i/>
          <w:iCs/>
        </w:rPr>
        <w:t>Quantization and Model Compression</w:t>
      </w:r>
    </w:p>
    <w:p>
      <w:pPr>
        <w:pStyle w:val="Normal"/>
        <w:spacing w:lineRule="exact" w:line="276" w:before="0" w:after="140"/>
        <w:ind w:hanging="360" w:left="360"/>
        <w:rPr/>
      </w:pPr>
      <w:r>
        <w:rPr>
          <w:b/>
          <w:bCs/>
        </w:rPr>
        <w:t xml:space="preserve">[23] </w:t>
      </w:r>
      <w:r>
        <w:rPr/>
        <w:t xml:space="preserve">B. Jacob, S. Kligys, B. Chen, M. Zhu, M. Tang, A. Howard, H. Adam, and D. Kalenichenko, “Quantization and Training of Neural Networks for Efficient Integer-Arithmetic-Only Inference,” </w:t>
      </w:r>
      <w:r>
        <w:rPr>
          <w:i/>
          <w:iCs/>
        </w:rPr>
        <w:t>CVPR</w:t>
      </w:r>
      <w:r>
        <w:rPr/>
        <w:t xml:space="preserve">, 2018. </w:t>
      </w:r>
      <w:hyperlink r:id="rId26">
        <w:r>
          <w:rPr>
            <w:rStyle w:val="Hyperlink"/>
          </w:rPr>
          <w:t>[Paper]</w:t>
        </w:r>
      </w:hyperlink>
    </w:p>
    <w:p>
      <w:pPr>
        <w:pStyle w:val="Normal"/>
        <w:spacing w:lineRule="exact" w:line="276" w:before="0" w:after="140"/>
        <w:ind w:hanging="360" w:left="360"/>
        <w:rPr/>
      </w:pPr>
      <w:r>
        <w:rPr>
          <w:b/>
          <w:bCs/>
        </w:rPr>
        <w:t xml:space="preserve">[24] </w:t>
      </w:r>
      <w:r>
        <w:rPr/>
        <w:t xml:space="preserve">P. Micikevicius et al., “Mixed Precision Training,” </w:t>
      </w:r>
      <w:r>
        <w:rPr>
          <w:i/>
          <w:iCs/>
        </w:rPr>
        <w:t>ICLR</w:t>
      </w:r>
      <w:r>
        <w:rPr/>
        <w:t xml:space="preserve">, 2018. </w:t>
      </w:r>
      <w:hyperlink r:id="rId27">
        <w:r>
          <w:rPr>
            <w:rStyle w:val="Hyperlink"/>
          </w:rPr>
          <w:t>[Paper]</w:t>
        </w:r>
      </w:hyperlink>
    </w:p>
    <w:p>
      <w:pPr>
        <w:pStyle w:val="Normal"/>
        <w:spacing w:before="160" w:after="80"/>
        <w:rPr/>
      </w:pPr>
      <w:r>
        <w:rPr>
          <w:b/>
          <w:bCs/>
          <w:i/>
          <w:iCs/>
        </w:rPr>
        <w:t>GPU Profiling and Benchmarking</w:t>
      </w:r>
    </w:p>
    <w:p>
      <w:pPr>
        <w:pStyle w:val="Normal"/>
        <w:spacing w:lineRule="exact" w:line="276" w:before="0" w:after="140"/>
        <w:ind w:hanging="360" w:left="360"/>
        <w:rPr/>
      </w:pPr>
      <w:r>
        <w:rPr>
          <w:b/>
          <w:bCs/>
        </w:rPr>
        <w:t xml:space="preserve">[25] </w:t>
      </w:r>
      <w:r>
        <w:rPr/>
        <w:t xml:space="preserve">NVIDIA Corporation, “CUDA C++ Programming Guide,” NVIDIA Developer Documentation, 2024. </w:t>
      </w:r>
      <w:hyperlink r:id="rId28">
        <w:r>
          <w:rPr>
            <w:rStyle w:val="Hyperlink"/>
          </w:rPr>
          <w:t>[Docs]</w:t>
        </w:r>
      </w:hyperlink>
    </w:p>
    <w:p>
      <w:pPr>
        <w:pStyle w:val="Normal"/>
        <w:spacing w:lineRule="exact" w:line="276" w:before="0" w:after="140"/>
        <w:ind w:hanging="360" w:left="360"/>
        <w:rPr/>
      </w:pPr>
      <w:r>
        <w:rPr>
          <w:b/>
          <w:bCs/>
        </w:rPr>
        <w:t xml:space="preserve">[26] </w:t>
      </w:r>
      <w:r>
        <w:rPr/>
        <w:t xml:space="preserve">NVIDIA Corporation, “Nsight Systems User Guide,” NVIDIA Developer Documentation, 2024. </w:t>
      </w:r>
      <w:hyperlink r:id="rId29">
        <w:r>
          <w:rPr>
            <w:rStyle w:val="Hyperlink"/>
          </w:rPr>
          <w:t>[Docs]</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120" w:after="120"/>
      <w:jc w:val="center"/>
      <w:outlineLvl w:val="0"/>
    </w:pPr>
    <w:rPr>
      <w:rFonts w:ascii="Times New Roman" w:hAnsi="Times New Roman" w:eastAsia="Times New Roman" w:cs="Times New Roman"/>
      <w:b/>
      <w:bCs/>
      <w:sz w:val="28"/>
      <w:szCs w:val="28"/>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2502.12524" TargetMode="External"/><Relationship Id="rId3" Type="http://schemas.openxmlformats.org/officeDocument/2006/relationships/hyperlink" Target="https://github.com/sunsmarterjie/yolov12" TargetMode="External"/><Relationship Id="rId4" Type="http://schemas.openxmlformats.org/officeDocument/2006/relationships/hyperlink" Target="https://arxiv.org/abs/1506.02640" TargetMode="External"/><Relationship Id="rId5" Type="http://schemas.openxmlformats.org/officeDocument/2006/relationships/hyperlink" Target="https://arxiv.org/abs/2405.14458" TargetMode="External"/><Relationship Id="rId6" Type="http://schemas.openxmlformats.org/officeDocument/2006/relationships/hyperlink" Target="https://arxiv.org/abs/2410.17725" TargetMode="External"/><Relationship Id="rId7" Type="http://schemas.openxmlformats.org/officeDocument/2006/relationships/hyperlink" Target="https://arxiv.org/abs/2410.02073" TargetMode="External"/><Relationship Id="rId8" Type="http://schemas.openxmlformats.org/officeDocument/2006/relationships/hyperlink" Target="https://github.com/apple/ml-depth-pro" TargetMode="External"/><Relationship Id="rId9" Type="http://schemas.openxmlformats.org/officeDocument/2006/relationships/hyperlink" Target="https://arxiv.org/abs/2406.09414" TargetMode="External"/><Relationship Id="rId10" Type="http://schemas.openxmlformats.org/officeDocument/2006/relationships/hyperlink" Target="https://arxiv.org/abs/2103.13413" TargetMode="External"/><Relationship Id="rId11" Type="http://schemas.openxmlformats.org/officeDocument/2006/relationships/hyperlink" Target="https://developer.nvidia.com/tensorrt" TargetMode="External"/><Relationship Id="rId12" Type="http://schemas.openxmlformats.org/officeDocument/2006/relationships/hyperlink" Target="https://dl.acm.org/doi/10.1145/3508391" TargetMode="External"/><Relationship Id="rId13" Type="http://schemas.openxmlformats.org/officeDocument/2006/relationships/hyperlink" Target="https://www.mdpi.com/2079-9292/14/15/2977" TargetMode="External"/><Relationship Id="rId14" Type="http://schemas.openxmlformats.org/officeDocument/2006/relationships/hyperlink" Target="https://pmc.ncbi.nlm.nih.gov/articles/PMC7256376/" TargetMode="External"/><Relationship Id="rId15" Type="http://schemas.openxmlformats.org/officeDocument/2006/relationships/hyperlink" Target="https://www.nature.com/articles/s41598-025-06365-3" TargetMode="External"/><Relationship Id="rId16" Type="http://schemas.openxmlformats.org/officeDocument/2006/relationships/hyperlink" Target="https://arxiv.org/abs/2410.05686" TargetMode="External"/><Relationship Id="rId17" Type="http://schemas.openxmlformats.org/officeDocument/2006/relationships/hyperlink" Target="https://ieeexplore.ieee.org/document/8394742" TargetMode="External"/><Relationship Id="rId18" Type="http://schemas.openxmlformats.org/officeDocument/2006/relationships/hyperlink" Target="https://www.sciencedirect.com/science/article/abs/pii/S138376212300067X" TargetMode="External"/><Relationship Id="rId19" Type="http://schemas.openxmlformats.org/officeDocument/2006/relationships/hyperlink" Target="https://dl.acm.org/doi/10.1145/3677378" TargetMode="External"/><Relationship Id="rId20" Type="http://schemas.openxmlformats.org/officeDocument/2006/relationships/hyperlink" Target="https://arxiv.org/abs/2507.18748" TargetMode="External"/><Relationship Id="rId21" Type="http://schemas.openxmlformats.org/officeDocument/2006/relationships/hyperlink" Target="https://arxiv.org/abs/2502.16755" TargetMode="External"/><Relationship Id="rId22" Type="http://schemas.openxmlformats.org/officeDocument/2006/relationships/hyperlink" Target="https://dl.acm.org/doi/10.1145/3570345" TargetMode="External"/><Relationship Id="rId23" Type="http://schemas.openxmlformats.org/officeDocument/2006/relationships/hyperlink" Target="https://dl.acm.org/doi/abs/10.1145/3678513" TargetMode="External"/><Relationship Id="rId24" Type="http://schemas.openxmlformats.org/officeDocument/2006/relationships/hyperlink" Target="https://dl.acm.org/doi/10.1145/3758095" TargetMode="External"/><Relationship Id="rId25" Type="http://schemas.openxmlformats.org/officeDocument/2006/relationships/hyperlink" Target="https://www.sciencedirect.com/science/article/abs/pii/S0001457520317747" TargetMode="External"/><Relationship Id="rId26" Type="http://schemas.openxmlformats.org/officeDocument/2006/relationships/hyperlink" Target="https://arxiv.org/abs/1712.05877" TargetMode="External"/><Relationship Id="rId27" Type="http://schemas.openxmlformats.org/officeDocument/2006/relationships/hyperlink" Target="https://arxiv.org/abs/1710.03740" TargetMode="External"/><Relationship Id="rId28" Type="http://schemas.openxmlformats.org/officeDocument/2006/relationships/hyperlink" Target="https://docs.nvidia.com/cuda/cuda-c-programming-guide/" TargetMode="External"/><Relationship Id="rId29" Type="http://schemas.openxmlformats.org/officeDocument/2006/relationships/hyperlink" Target="https://docs.nvidia.com/nsight-systems/" TargetMode="Externa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Pages>
  <Words>1004</Words>
  <Characters>6098</Characters>
  <CharactersWithSpaces>7058</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2026-03-06T18:28:52Z</dcterms:created>
  <dc:creator>Un-named</dc:creator>
  <dc:description/>
  <dc:language>en-US</dc:language>
  <cp:lastModifiedBy/>
  <dcterms:modified xsi:type="dcterms:W3CDTF">2026-03-06T12:34:46Z</dcterms:modified>
  <cp:revision>2</cp:revision>
  <dc:subject/>
  <dc:title/>
</cp:coreProperties>
</file>