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FEMBA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Saturdays 2:00 – 8:00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2268220"/>
            <wp:effectExtent l="0" t="0" r="76200" b="76200"/>
            <wp:docPr id="1001" name="Card 1001"/>
            <a:graphic>
              <a:graphicData uri="http://schemas.microsoft.com/office/word/2010/wordprocessingShape">
                <wps:wsp>
                  <wps:cNvSpPr/>
                  <wps:spPr bwMode="auto">
                    <a:xfrm>
                      <a:off x="0" y="0"/>
                      <a:ext cx="6309360" cy="2268220"/>
                    </a:xfrm>
                    <a:prstGeom prst="roundRect">
                      <a:avLst>
                        <a:gd name="adj" fmla="val 4837"/>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nvoigtla.github.io/MGMT-405-FEMBA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spacing w:after="240"/>
                          <w:jc w:val="center"/>
                        </w:pPr>
                        <w:r>
                          <w:rPr>
                            <w:rFonts w:ascii="Calibri" w:hAnsi="Calibri"/>
                            <w:b w:val="0"/>
                            <w:i/>
                            <w:color w:val="555B66"/>
                            <w:sz w:val="21"/>
                            <w:u w:val="none"/>
                          </w:rPr>
                          <w:t xml:space="preserve">Prefer a PDF with links to videos, slides, etc.? Download the </w:t>
                        </w:r>
                        <w:hyperlink r:id="rId11">
                          <w:r>
                            <w:rPr>
                              <w:rFonts w:ascii="Calibri" w:hAnsi="Calibri"/>
                              <w:i/>
                              <w:u w:val="single"/>
                              <w:color w:val="365F91"/>
                              <w:sz w:val="21"/>
                            </w:rPr>
                            <w:t xml:space="preserve">course calendar</w:t>
                          </w:r>
                        </w:hyperlink>
                        <w:r>
                          <w:rPr>
                            <w:rFonts w:ascii="Calibri" w:hAnsi="Calibri"/>
                            <w:b w:val="0"/>
                            <w:i/>
                            <w:color w:val="555B66"/>
                            <w:sz w:val="21"/>
                            <w:u w:val="none"/>
                          </w:rPr>
                          <w:t xml:space="preserve"> from the class website.</w:t>
                        </w:r>
                      </w:p>
                      <w:p>
                        <w:pPr>
                          <w:spacing w:after="20"/>
                          <w:jc w:val="center"/>
                        </w:pPr>
                        <w:r>
                          <w:rPr>
                            <w:rFonts w:ascii="Calibri" w:hAnsi="Calibri"/>
                            <w:b/>
                            <w:i w:val="0"/>
                            <w:color w:val="0B2B4E"/>
                            <w:sz w:val="25"/>
                            <w:u w:val="none"/>
                          </w:rPr>
                          <w:t>BruinLearn Course Site</w:t>
                        </w:r>
                      </w:p>
                      <w:p>
                        <w:pPr>
                          <w:spacing w:after="40"/>
                          <w:jc w:val="center"/>
                        </w:pPr>
                        <w:hyperlink r:id="rId12">
                          <w:r>
                            <w:rPr>
                              <w:rFonts w:ascii="Calibri" w:hAnsi="Calibri"/>
                              <w:b/>
                              <w:u w:val="single"/>
                              <w:color w:val="365F91"/>
                              <w:sz w:val="26"/>
                            </w:rPr>
                            <w:t xml:space="preserve">bruinlearn.ucla.edu/courses/237860</w:t>
                          </w:r>
                        </w:hyperlink>
                      </w:p>
                      <w:p>
                        <w:pPr>
                          <w:jc w:val="center"/>
                        </w:pPr>
                        <w:r>
                          <w:rPr>
                            <w:rFonts w:ascii="Calibri" w:hAnsi="Calibri"/>
                            <w:b w:val="0"/>
                            <w:i w:val="0"/>
                            <w:color w:val="0B2B4E"/>
                            <w:sz w:val="23"/>
                            <w:u w:val="none"/>
                          </w:rPr>
                          <w:t>On the BruinLearn site, you can download and submit the problem sets and find the recordings of the on-campus classes.</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3">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Saturday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sessions:</w:t>
      </w:r>
      <w:r>
        <w:rPr>
          <w:rFonts w:ascii="Calibri" w:hAnsi="Calibri"/>
          <w:b w:val="0"/>
          <w:i w:val="0"/>
          <w:color w:val="1A1A1A"/>
          <w:sz w:val="22"/>
          <w:u w:val="none"/>
        </w:rPr>
        <w:t xml:space="preserve"> Saturdays 2:00 – 8:00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4">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5">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4">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6">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7">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3 hours to solve the exam and upload your solutions. The midterm exam covers the material through Module 3. To provide flexibility, you will have the option to take the midterm any time within a given time window, as indicated on the course calendar; the exact window will be announced in class. The final exam covers all the class content, Modules 1 – 8, and has about 20 multiple choice questions and 3 – 4 problem-solving questions. It takes place on Saturday, December 12, 2:00 PM – 5:00 PM.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the course website and on BruinLearn,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8">
        <w:r>
          <w:rPr>
            <w:rFonts w:ascii="Calibri" w:hAnsi="Calibri"/>
            <w:b/>
            <w:color w:val="365F91"/>
            <w:sz w:val="22"/>
          </w:rPr>
          <w:t xml:space="preserve">BruinLearn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20" w:after="40"/>
        <w:jc w:val="center"/>
      </w:pPr>
      <w:r>
        <w:drawing xmlns:a="http://schemas.openxmlformats.org/drawingml/2006/main">
          <wp:inline distT="0" distB="0" distL="0" distR="0">
            <wp:extent cx="6309360" cy="1470024"/>
            <wp:effectExtent l="0" t="0" r="76200" b="76200"/>
            <wp:docPr id="1002" name="Card 1002"/>
            <a:graphic>
              <a:graphicData uri="http://schemas.microsoft.com/office/word/2010/wordprocessingShape">
                <wps:wsp>
                  <wps:cNvSpPr/>
                  <wps:spPr bwMode="auto">
                    <a:xfrm>
                      <a:off x="0" y="0"/>
                      <a:ext cx="6309360" cy="1470024"/>
                    </a:xfrm>
                    <a:prstGeom prst="roundRect">
                      <a:avLst>
                        <a:gd name="adj" fmla="val 7464"/>
                      </a:avLst>
                    </a:prstGeom>
                    <a:solidFill>
                      <a:srgbClr val="FBEDED"/>
                    </a:solidFill>
                    <a:ln w="15875">
                      <a:solidFill>
                        <a:srgbClr val="C00000"/>
                      </a:solidFill>
                    </a:ln>
                    <a:effectLst>
                      <a:outerShdw blurRad="63500" dist="27940" dir="5400000" rotWithShape="0">
                        <a:srgbClr val="000000">
                          <a:alpha val="30000"/>
                        </a:srgbClr>
                      </a:outerShdw>
                    </a:effectLst>
                  </wps:spPr>
                  <wps:txbx>
                    <w:txbxContent>
                      <w:p>
                        <w:pPr>
                          <w:spacing w:before="0" w:after="80"/>
                        </w:pPr>
                        <w:r>
                          <w:rPr>
                            <w:rFonts w:ascii="Calibri" w:hAnsi="Calibri"/>
                            <w:b/>
                            <w:i w:val="0"/>
                            <w:color w:val="0B2B4E"/>
                            <w:sz w:val="23"/>
                            <w:u w:val="none"/>
                          </w:rPr>
                          <w:t>If you have to miss an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Go over the readings assigned for the material covered in the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Listen to the podcasts, especially the “Wrap-Up” for the Modules that were covered in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A class recording will be made available on </w:t>
                        </w:r>
                        <w:hyperlink r:id="rId19">
                          <w:r>
                            <w:rPr>
                              <w:rFonts w:ascii="Calibri" w:hAnsi="Calibri"/>
                              <w:b/>
                              <w:color w:val="365F91"/>
                              <w:sz w:val="22"/>
                            </w:rPr>
                            <w:t xml:space="preserve">BruinLearn</w:t>
                          </w:r>
                        </w:hyperlink>
                        <w:r>
                          <w:rPr>
                            <w:rFonts w:ascii="Calibri" w:hAnsi="Calibri"/>
                            <w:b w:val="0"/>
                            <w:i w:val="0"/>
                            <w:color w:val="1A1A1A"/>
                            <w:sz w:val="22"/>
                            <w:u w:val="none"/>
                          </w:rPr>
                          <w:t xml:space="preserve"> after the class. Watch this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20">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nvoigtla.github.io/MGMT-405-FEMBA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Electronic copies of all our slides are on the </w:t>
      </w:r>
      <w:hyperlink r:id="rId10">
        <w:r>
          <w:rPr>
            <w:rFonts w:ascii="Calibri" w:hAnsi="Calibri"/>
            <w:b/>
            <w:color w:val="365F91"/>
            <w:sz w:val="22"/>
          </w:rPr>
          <w:t xml:space="preserve">class website</w:t>
        </w:r>
      </w:hyperlink>
      <w:r>
        <w:rPr>
          <w:rFonts w:ascii="Calibri" w:hAnsi="Calibri"/>
          <w:b w:val="0"/>
          <w:i w:val="0"/>
          <w:color w:val="1A1A1A"/>
          <w:sz w:val="22"/>
          <w:u w:val="none"/>
        </w:rPr>
        <w:t xml:space="preserve">. You find the Problem Sets and Problem Set Solutions on </w:t>
      </w:r>
      <w:hyperlink r:id="rId18">
        <w:r>
          <w:rPr>
            <w:rFonts w:ascii="Calibri" w:hAnsi="Calibri"/>
            <w:b/>
            <w:color w:val="365F91"/>
            <w:sz w:val="22"/>
          </w:rPr>
          <w:t xml:space="preserve">BruinLearn under “Assignments.”</w:t>
        </w:r>
      </w:hyperlink>
      <w:r>
        <w:rPr>
          <w:rFonts w:ascii="Calibri" w:hAnsi="Calibri"/>
          <w:b w:val="0"/>
          <w:i w:val="0"/>
          <w:color w:val="1A1A1A"/>
          <w:sz w:val="22"/>
          <w:u w:val="none"/>
        </w:rPr>
        <w:t xml:space="preserve">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21">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FEMBA/" TargetMode="External"/><Relationship Id="rId11" Type="http://schemas.openxmlformats.org/officeDocument/2006/relationships/hyperlink" Target="https://nvoigtla.github.io/MGMT-405-FEMBA/MGMT-405-Calendar-Fall-2026.pdf" TargetMode="External"/><Relationship Id="rId12" Type="http://schemas.openxmlformats.org/officeDocument/2006/relationships/hyperlink" Target="https://bruinlearn.ucla.edu/courses/237860" TargetMode="External"/><Relationship Id="rId13" Type="http://schemas.openxmlformats.org/officeDocument/2006/relationships/hyperlink" Target="https://ucla-anderson.hosted.panopto.com" TargetMode="External"/><Relationship Id="rId14" Type="http://schemas.openxmlformats.org/officeDocument/2006/relationships/hyperlink" Target="https://rafaelrubiao.github.io/mgmt405-practice/index.html" TargetMode="External"/><Relationship Id="rId15" Type="http://schemas.openxmlformats.org/officeDocument/2006/relationships/hyperlink" Target="http://www.wsj.com/studentoffer" TargetMode="External"/><Relationship Id="rId16" Type="http://schemas.openxmlformats.org/officeDocument/2006/relationships/hyperlink" Target="https://bruinlearn.ucla.edu/courses/195707?invitation=0GYbOXWd6mBK4bwem1dgAP7Jq2ad1PZo5Wp4kTYQ" TargetMode="External"/><Relationship Id="rId17" Type="http://schemas.openxmlformats.org/officeDocument/2006/relationships/hyperlink" Target="https://bruinlearn.ucla.edu/courses/195707/pages/econ-math-review-videos" TargetMode="External"/><Relationship Id="rId18" Type="http://schemas.openxmlformats.org/officeDocument/2006/relationships/hyperlink" Target="https://bruinlearn.ucla.edu/courses/237860/assignments" TargetMode="External"/><Relationship Id="rId19" Type="http://schemas.openxmlformats.org/officeDocument/2006/relationships/hyperlink" Target="https://bruinlearn.ucla.edu/courses/237860/external_tools/10995" TargetMode="External"/><Relationship Id="rId20" Type="http://schemas.openxmlformats.org/officeDocument/2006/relationships/hyperlink" Target="https://www.deanofstudents.ucla.edu/Academic-Integrity" TargetMode="External"/><Relationship Id="rId21"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