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B2B4E"/>
          <w:sz w:val="40"/>
          <w:u w:val="none"/>
        </w:rPr>
        <w:t>MGMT 405 – Managerial Economics</w:t>
      </w:r>
    </w:p>
    <w:p>
      <w:pPr>
        <w:spacing w:after="20"/>
      </w:pPr>
      <w:r>
        <w:rPr>
          <w:rFonts w:ascii="Calibri" w:hAnsi="Calibri"/>
          <w:b/>
          <w:i w:val="0"/>
          <w:color w:val="0B2B4E"/>
          <w:sz w:val="26"/>
          <w:u w:val="none"/>
        </w:rPr>
        <w:t>Course Syllabus – Fall 2026 – EMBA Section 2 (Hybrid)</w:t>
      </w:r>
    </w:p>
    <w:p>
      <w:pPr>
        <w:spacing w:before="0" w:after="100"/>
        <w:pBdr>
          <w:bottom w:val="single" w:sz="20" w:space="1" w:color="E09F3E"/>
        </w:pBdr>
      </w:pPr>
    </w:p>
    <w:p>
      <w:pPr>
        <w:spacing w:after="20"/>
      </w:pPr>
      <w:r>
        <w:rPr>
          <w:rFonts w:ascii="Calibri" w:hAnsi="Calibri"/>
          <w:b/>
          <w:i w:val="0"/>
          <w:color w:val="0B2B4E"/>
          <w:sz w:val="24"/>
          <w:u w:val="none"/>
        </w:rPr>
        <w:t xml:space="preserve">Instructor:  </w:t>
      </w:r>
      <w:r>
        <w:rPr>
          <w:rFonts w:ascii="Calibri" w:hAnsi="Calibri"/>
          <w:b w:val="0"/>
          <w:i w:val="0"/>
          <w:color w:val="1A1A1A"/>
          <w:sz w:val="24"/>
          <w:u w:val="none"/>
        </w:rPr>
        <w:t>Prof. Nico Voigtländer  ·  Anderson C-511, Entrepreneur’s Hall</w:t>
      </w:r>
    </w:p>
    <w:p>
      <w:pPr>
        <w:spacing w:after="20"/>
      </w:pPr>
      <w:r>
        <w:rPr>
          <w:rFonts w:ascii="Calibri" w:hAnsi="Calibri"/>
          <w:b/>
          <w:i w:val="0"/>
          <w:color w:val="0B2B4E"/>
          <w:sz w:val="24"/>
          <w:u w:val="none"/>
        </w:rPr>
        <w:t xml:space="preserve">TA:  </w:t>
      </w:r>
      <w:r>
        <w:rPr>
          <w:rFonts w:ascii="Calibri" w:hAnsi="Calibri"/>
          <w:b w:val="0"/>
          <w:i w:val="0"/>
          <w:color w:val="1A1A1A"/>
          <w:sz w:val="24"/>
          <w:u w:val="none"/>
        </w:rPr>
        <w:t>Rafael Rubiao</w:t>
      </w:r>
    </w:p>
    <w:p>
      <w:pPr>
        <w:spacing w:after="20"/>
      </w:pPr>
      <w:r>
        <w:rPr>
          <w:rFonts w:ascii="Calibri" w:hAnsi="Calibri"/>
          <w:b/>
          <w:i w:val="0"/>
          <w:color w:val="0B2B4E"/>
          <w:sz w:val="24"/>
          <w:u w:val="none"/>
        </w:rPr>
        <w:t xml:space="preserve">Classroom:  </w:t>
      </w:r>
      <w:r>
        <w:rPr>
          <w:rFonts w:ascii="Calibri" w:hAnsi="Calibri"/>
          <w:b w:val="0"/>
          <w:i w:val="0"/>
          <w:color w:val="1A1A1A"/>
          <w:sz w:val="24"/>
          <w:u w:val="none"/>
        </w:rPr>
        <w:t>A301</w:t>
      </w:r>
    </w:p>
    <w:p>
      <w:pPr>
        <w:spacing w:after="20"/>
      </w:pPr>
      <w:r>
        <w:rPr>
          <w:rFonts w:ascii="Calibri" w:hAnsi="Calibri"/>
          <w:b/>
          <w:i w:val="0"/>
          <w:color w:val="0B2B4E"/>
          <w:sz w:val="24"/>
          <w:u w:val="none"/>
        </w:rPr>
        <w:t xml:space="preserve">Class times:  </w:t>
      </w:r>
      <w:r>
        <w:rPr>
          <w:rFonts w:ascii="Calibri" w:hAnsi="Calibri"/>
          <w:b w:val="0"/>
          <w:i w:val="0"/>
          <w:color w:val="1A1A1A"/>
          <w:sz w:val="24"/>
          <w:u w:val="none"/>
        </w:rPr>
        <w:t>Fridays 4:00 – 5:30 pm  ·  Saturdays 9:00 am – 12:30 pm</w:t>
      </w:r>
    </w:p>
    <w:p>
      <w:pPr>
        <w:spacing w:before="0" w:after="100"/>
      </w:pPr>
      <w:r>
        <w:rPr>
          <w:rFonts w:ascii="Calibri" w:hAnsi="Calibri"/>
          <w:b w:val="0"/>
          <w:i w:val="0"/>
          <w:color w:val="1A1A1A"/>
          <w:sz w:val="4"/>
          <w:u w:val="none"/>
        </w:rPr>
      </w:r>
    </w:p>
    <w:p>
      <w:pPr>
        <w:spacing w:before="20" w:after="40"/>
        <w:jc w:val="center"/>
      </w:pPr>
      <w:r>
        <w:drawing xmlns:a="http://schemas.openxmlformats.org/drawingml/2006/main">
          <wp:inline distT="0" distB="0" distL="0" distR="0">
            <wp:extent cx="6309360" cy="2268220"/>
            <wp:effectExtent l="0" t="0" r="76200" b="76200"/>
            <wp:docPr id="1001" name="Card 1001"/>
            <a:graphic>
              <a:graphicData uri="http://schemas.microsoft.com/office/word/2010/wordprocessingShape">
                <wps:wsp>
                  <wps:cNvSpPr/>
                  <wps:spPr bwMode="auto">
                    <a:xfrm>
                      <a:off x="0" y="0"/>
                      <a:ext cx="6309360" cy="2268220"/>
                    </a:xfrm>
                    <a:prstGeom prst="roundRect">
                      <a:avLst>
                        <a:gd name="adj" fmla="val 4837"/>
                      </a:avLst>
                    </a:prstGeom>
                    <a:solidFill>
                      <a:srgbClr val="FDF6E6"/>
                    </a:solidFill>
                    <a:ln w="25400">
                      <a:solidFill>
                        <a:srgbClr val="E09F3E"/>
                      </a:solidFill>
                    </a:ln>
                    <a:effectLst>
                      <a:outerShdw blurRad="63500" dist="27940" dir="5400000" rotWithShape="0">
                        <a:srgbClr val="000000">
                          <a:alpha val="30000"/>
                        </a:srgbClr>
                      </a:outerShdw>
                    </a:effectLst>
                  </wps:spPr>
                  <wps:txbx>
                    <w:txbxContent>
                      <w:p>
                        <w:pPr>
                          <w:spacing w:before="0" w:after="40"/>
                          <w:jc w:val="center"/>
                        </w:pPr>
                        <w:r>
                          <w:rPr>
                            <w:rFonts w:ascii="Calibri" w:hAnsi="Calibri"/>
                            <w:b/>
                            <w:i w:val="0"/>
                            <w:color w:val="0B2B4E"/>
                            <w:sz w:val="30"/>
                            <w:u w:val="none"/>
                          </w:rPr>
                          <w:t>Course Website</w:t>
                        </w:r>
                      </w:p>
                      <w:p>
                        <w:pPr>
                          <w:spacing w:after="60"/>
                          <w:jc w:val="center"/>
                        </w:pPr>
                        <w:hyperlink r:id="rId10">
                          <w:r>
                            <w:rPr>
                              <w:rFonts w:ascii="Calibri" w:hAnsi="Calibri"/>
                              <w:b/>
                              <w:u w:val="single"/>
                              <w:color w:val="365F91"/>
                              <w:sz w:val="34"/>
                            </w:rPr>
                            <w:t xml:space="preserve">nvoigtla.github.io/MGMT-405-EMBA</w:t>
                          </w:r>
                        </w:hyperlink>
                      </w:p>
                      <w:p>
                        <w:pPr>
                          <w:spacing w:after="40"/>
                          <w:jc w:val="center"/>
                        </w:pPr>
                        <w:r>
                          <w:rPr>
                            <w:rFonts w:ascii="Calibri" w:hAnsi="Calibri"/>
                            <w:b w:val="0"/>
                            <w:i w:val="0"/>
                            <w:color w:val="0B2B4E"/>
                            <w:sz w:val="23"/>
                            <w:u w:val="none"/>
                          </w:rPr>
                          <w:t>Everything for this class in one place: the schedule week by week, all videos and podcasts, the readings, the practice exercises and every deadline.</w:t>
                        </w:r>
                      </w:p>
                      <w:p>
                        <w:pPr>
                          <w:spacing w:after="240"/>
                          <w:jc w:val="center"/>
                        </w:pPr>
                        <w:r>
                          <w:rPr>
                            <w:rFonts w:ascii="Calibri" w:hAnsi="Calibri"/>
                            <w:b w:val="0"/>
                            <w:i/>
                            <w:color w:val="555B66"/>
                            <w:sz w:val="21"/>
                            <w:u w:val="none"/>
                          </w:rPr>
                          <w:t xml:space="preserve">Prefer a PDF with links to videos, slides, etc.? Download the </w:t>
                        </w:r>
                        <w:hyperlink r:id="rId11">
                          <w:r>
                            <w:rPr>
                              <w:rFonts w:ascii="Calibri" w:hAnsi="Calibri"/>
                              <w:i/>
                              <w:u w:val="single"/>
                              <w:color w:val="365F91"/>
                              <w:sz w:val="21"/>
                            </w:rPr>
                            <w:t xml:space="preserve">course calendar</w:t>
                          </w:r>
                        </w:hyperlink>
                        <w:r>
                          <w:rPr>
                            <w:rFonts w:ascii="Calibri" w:hAnsi="Calibri"/>
                            <w:b w:val="0"/>
                            <w:i/>
                            <w:color w:val="555B66"/>
                            <w:sz w:val="21"/>
                            <w:u w:val="none"/>
                          </w:rPr>
                          <w:t xml:space="preserve"> from the class website.</w:t>
                        </w:r>
                      </w:p>
                      <w:p>
                        <w:pPr>
                          <w:spacing w:after="20"/>
                          <w:jc w:val="center"/>
                        </w:pPr>
                        <w:r>
                          <w:rPr>
                            <w:rFonts w:ascii="Calibri" w:hAnsi="Calibri"/>
                            <w:b/>
                            <w:i w:val="0"/>
                            <w:color w:val="0B2B4E"/>
                            <w:sz w:val="25"/>
                            <w:u w:val="none"/>
                          </w:rPr>
                          <w:t>BruinLearn Course Site</w:t>
                        </w:r>
                      </w:p>
                      <w:p>
                        <w:pPr>
                          <w:spacing w:after="40"/>
                          <w:jc w:val="center"/>
                        </w:pPr>
                        <w:hyperlink r:id="rId12">
                          <w:r>
                            <w:rPr>
                              <w:rFonts w:ascii="Calibri" w:hAnsi="Calibri"/>
                              <w:b/>
                              <w:u w:val="single"/>
                              <w:color w:val="365F91"/>
                              <w:sz w:val="26"/>
                            </w:rPr>
                            <w:t xml:space="preserve">bruinlearn.ucla.edu/courses/237825</w:t>
                          </w:r>
                        </w:hyperlink>
                      </w:p>
                      <w:p>
                        <w:pPr>
                          <w:jc w:val="center"/>
                        </w:pPr>
                        <w:r>
                          <w:rPr>
                            <w:rFonts w:ascii="Calibri" w:hAnsi="Calibri"/>
                            <w:b w:val="0"/>
                            <w:i w:val="0"/>
                            <w:color w:val="0B2B4E"/>
                            <w:sz w:val="23"/>
                            <w:u w:val="none"/>
                          </w:rPr>
                          <w:t>On the BruinLearn site, you can download and submit the problem sets and find the recordings of the on-campus classes.</w:t>
                        </w:r>
                      </w:p>
                    </w:txbxContent>
                  </wps:txbx>
                  <wps:bodyPr rot="0" vert="horz" wrap="square" lIns="109728" tIns="54864" rIns="109728" bIns="54864" anchor="t" anchorCtr="0">
                    <a:noAutofit/>
                  </wps:bodyPr>
                </wps:wsp>
              </a:graphicData>
            </a:graphic>
          </wp:inline>
        </w:drawing>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Course Purpose</w:t>
      </w:r>
    </w:p>
    <w:p>
      <w:pPr>
        <w:spacing w:before="0" w:after="80"/>
        <w:pBdr>
          <w:bottom w:val="single" w:sz="8" w:space="1" w:color="E09F3E"/>
        </w:pBdr>
      </w:pPr>
    </w:p>
    <w:p>
      <w:pPr>
        <w:spacing w:before="0" w:after="100"/>
        <w:jc w:val="both"/>
      </w:pPr>
      <w:r>
        <w:rPr>
          <w:rFonts w:ascii="Calibri" w:hAnsi="Calibri"/>
          <w:b w:val="0"/>
          <w:i w:val="0"/>
          <w:color w:val="1A1A1A"/>
          <w:sz w:val="22"/>
          <w:u w:val="none"/>
        </w:rPr>
        <w:t>Managerial Economics is concerned with the application of economic principles to key management decisions. It provides guidance to increase value creation, and allows a better understanding of the external business environment in which organizations operate. A primary purpose of the course is to develop tools useful in other Anderson courses: economics is a key foundation for much of what is taught in finance, marketing, business strategy and virtually every other course in the MBA program. Managerial Economics is a unique way of thinking about problems and decisions that managers face in each of the functional areas of their organization. Economics stresses the importance of incentives as determinants of human behavior and performance, and emphasizes the consideration of costs and benefits as an efficient method for reaching economic decisions.</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How This Hybrid Course Runs</w:t>
      </w:r>
    </w:p>
    <w:p>
      <w:pPr>
        <w:spacing w:before="0" w:after="80"/>
        <w:pBdr>
          <w:bottom w:val="single" w:sz="8" w:space="1" w:color="E09F3E"/>
        </w:pBdr>
      </w:pPr>
    </w:p>
    <w:p>
      <w:pPr>
        <w:spacing w:before="0" w:after="100"/>
        <w:jc w:val="both"/>
      </w:pPr>
      <w:r>
        <w:rPr>
          <w:rFonts w:ascii="Calibri" w:hAnsi="Calibri"/>
          <w:b w:val="0"/>
          <w:i w:val="0"/>
          <w:color w:val="1A1A1A"/>
          <w:sz w:val="22"/>
          <w:u w:val="none"/>
        </w:rPr>
        <w:t>The course covers eight modules over twelve weeks. Most of the material is taught in short videos that you watch before the weekend; three on-campus weekends then apply it to cases, examples and exercises. Modules 5 and 8 are taught in class rather than on video.</w:t>
      </w:r>
    </w:p>
    <w:p>
      <w:pPr>
        <w:spacing w:before="0" w:after="60"/>
        <w:ind w:left="432" w:hanging="230"/>
      </w:pPr>
      <w:r>
        <w:rPr>
          <w:rFonts w:ascii="Calibri" w:hAnsi="Calibri"/>
          <w:b w:val="0"/>
          <w:i w:val="0"/>
          <w:color w:val="0B2B4E"/>
          <w:sz w:val="22"/>
          <w:u w:val="none"/>
        </w:rPr>
        <w:t xml:space="preserve">•  </w:t>
      </w:r>
      <w:r>
        <w:rPr>
          <w:rFonts w:ascii="Calibri" w:hAnsi="Calibri"/>
          <w:b/>
          <w:i w:val="0"/>
          <w:color w:val="0B2B4E"/>
          <w:sz w:val="22"/>
          <w:u w:val="none"/>
        </w:rPr>
        <w:t>Videos:</w:t>
      </w:r>
      <w:r>
        <w:rPr>
          <w:rFonts w:ascii="Calibri" w:hAnsi="Calibri"/>
          <w:b w:val="0"/>
          <w:i w:val="0"/>
          <w:color w:val="1A1A1A"/>
          <w:sz w:val="22"/>
          <w:u w:val="none"/>
        </w:rPr>
        <w:t xml:space="preserve"> posted on Panopto and linked from the course website. Sign in with the option </w:t>
      </w:r>
      <w:hyperlink r:id="rId13">
        <w:r>
          <w:rPr>
            <w:rFonts w:ascii="Calibri" w:hAnsi="Calibri"/>
            <w:b/>
            <w:color w:val="365F91"/>
            <w:sz w:val="22"/>
          </w:rPr>
          <w:t xml:space="preserve">“ASM Panopto”</w:t>
        </w:r>
      </w:hyperlink>
      <w:r>
        <w:rPr>
          <w:rFonts w:ascii="Calibri" w:hAnsi="Calibri"/>
          <w:b w:val="0"/>
          <w:i w:val="0"/>
          <w:color w:val="1A1A1A"/>
          <w:sz w:val="22"/>
          <w:u w:val="none"/>
        </w:rPr>
        <w:t>. Each module’s videos have a suggested deadline – the Sunday of the week, or the Friday class on an on-campus weekend.</w:t>
      </w:r>
    </w:p>
    <w:p>
      <w:pPr>
        <w:spacing w:before="0" w:after="60"/>
        <w:ind w:left="432" w:hanging="230"/>
      </w:pPr>
      <w:r>
        <w:rPr>
          <w:rFonts w:ascii="Calibri" w:hAnsi="Calibri"/>
          <w:b w:val="0"/>
          <w:i w:val="0"/>
          <w:color w:val="0B2B4E"/>
          <w:sz w:val="22"/>
          <w:u w:val="none"/>
        </w:rPr>
        <w:t xml:space="preserve">•  </w:t>
      </w:r>
      <w:r>
        <w:rPr>
          <w:rFonts w:ascii="Calibri" w:hAnsi="Calibri"/>
          <w:b/>
          <w:i w:val="0"/>
          <w:color w:val="0B2B4E"/>
          <w:sz w:val="22"/>
          <w:u w:val="none"/>
        </w:rPr>
        <w:t>On-campus weekends:</w:t>
      </w:r>
      <w:r>
        <w:rPr>
          <w:rFonts w:ascii="Calibri" w:hAnsi="Calibri"/>
          <w:b w:val="0"/>
          <w:i w:val="0"/>
          <w:color w:val="1A1A1A"/>
          <w:sz w:val="22"/>
          <w:u w:val="none"/>
        </w:rPr>
        <w:t xml:space="preserve"> Fridays 4:00 – 5:30 pm and Saturdays 9:00 am – 12:30 pm, in room A301. They fall in weeks 1, 5 and 9 – see the course calendar for the dates.</w:t>
      </w:r>
    </w:p>
    <w:p>
      <w:pPr>
        <w:spacing w:before="0" w:after="60"/>
        <w:ind w:left="432" w:hanging="230"/>
      </w:pPr>
      <w:r>
        <w:rPr>
          <w:rFonts w:ascii="Calibri" w:hAnsi="Calibri"/>
          <w:b w:val="0"/>
          <w:i w:val="0"/>
          <w:color w:val="0B2B4E"/>
          <w:sz w:val="22"/>
          <w:u w:val="none"/>
        </w:rPr>
        <w:t xml:space="preserve">•  </w:t>
      </w:r>
      <w:r>
        <w:rPr>
          <w:rFonts w:ascii="Calibri" w:hAnsi="Calibri"/>
          <w:b/>
          <w:i w:val="0"/>
          <w:color w:val="0B2B4E"/>
          <w:sz w:val="22"/>
          <w:u w:val="none"/>
        </w:rPr>
        <w:t>Podcasts:</w:t>
      </w:r>
      <w:r>
        <w:rPr>
          <w:rFonts w:ascii="Calibri" w:hAnsi="Calibri"/>
          <w:b w:val="0"/>
          <w:i w:val="0"/>
          <w:color w:val="1A1A1A"/>
          <w:sz w:val="22"/>
          <w:u w:val="none"/>
        </w:rPr>
        <w:t xml:space="preserve"> each module has two short audio episodes – an intro to listen to before the module, and a wrap-up to listen to after it.</w:t>
      </w:r>
    </w:p>
    <w:p>
      <w:pPr>
        <w:spacing w:before="0" w:after="60"/>
        <w:ind w:left="432" w:hanging="230"/>
      </w:pPr>
      <w:r>
        <w:rPr>
          <w:rFonts w:ascii="Calibri" w:hAnsi="Calibri"/>
          <w:b w:val="0"/>
          <w:i w:val="0"/>
          <w:color w:val="0B2B4E"/>
          <w:sz w:val="22"/>
          <w:u w:val="none"/>
        </w:rPr>
        <w:t xml:space="preserve">•  </w:t>
      </w:r>
      <w:r>
        <w:rPr>
          <w:rFonts w:ascii="Calibri" w:hAnsi="Calibri"/>
          <w:b/>
          <w:i w:val="0"/>
          <w:color w:val="0B2B4E"/>
          <w:sz w:val="22"/>
          <w:u w:val="none"/>
        </w:rPr>
        <w:t>Practice:</w:t>
      </w:r>
      <w:r>
        <w:rPr>
          <w:rFonts w:ascii="Calibri" w:hAnsi="Calibri"/>
          <w:b w:val="0"/>
          <w:i w:val="0"/>
          <w:color w:val="1A1A1A"/>
          <w:sz w:val="22"/>
          <w:u w:val="none"/>
        </w:rPr>
        <w:t xml:space="preserve"> optional online exercises for every module, with hints and step-by-step solutions, on the </w:t>
      </w:r>
      <w:hyperlink r:id="rId14">
        <w:r>
          <w:rPr>
            <w:rFonts w:ascii="Calibri" w:hAnsi="Calibri"/>
            <w:b/>
            <w:color w:val="365F91"/>
            <w:sz w:val="22"/>
          </w:rPr>
          <w:t xml:space="preserve">practice-exercise site</w:t>
        </w:r>
      </w:hyperlink>
      <w:r>
        <w:rPr>
          <w:rFonts w:ascii="Calibri" w:hAnsi="Calibri"/>
          <w:b w:val="0"/>
          <w:i w:val="0"/>
          <w:color w:val="1A1A1A"/>
          <w:sz w:val="22"/>
          <w:u w:val="none"/>
        </w:rPr>
        <w:t>.</w:t>
      </w:r>
    </w:p>
    <w:p>
      <w:pPr>
        <w:spacing w:before="0" w:after="60"/>
        <w:ind w:left="432" w:hanging="230"/>
      </w:pPr>
      <w:r>
        <w:rPr>
          <w:rFonts w:ascii="Calibri" w:hAnsi="Calibri"/>
          <w:b w:val="0"/>
          <w:i w:val="0"/>
          <w:color w:val="0B2B4E"/>
          <w:sz w:val="22"/>
          <w:u w:val="none"/>
        </w:rPr>
        <w:t xml:space="preserve">•  </w:t>
      </w:r>
      <w:r>
        <w:rPr>
          <w:rFonts w:ascii="Calibri" w:hAnsi="Calibri"/>
          <w:b/>
          <w:i w:val="0"/>
          <w:color w:val="0B2B4E"/>
          <w:sz w:val="22"/>
          <w:u w:val="none"/>
        </w:rPr>
        <w:t>Assessment:</w:t>
      </w:r>
      <w:r>
        <w:rPr>
          <w:rFonts w:ascii="Calibri" w:hAnsi="Calibri"/>
          <w:b w:val="0"/>
          <w:i w:val="0"/>
          <w:color w:val="1A1A1A"/>
          <w:sz w:val="22"/>
          <w:u w:val="none"/>
        </w:rPr>
        <w:t xml:space="preserve"> five group problem sets, a midterm covering the material through Module 3, and a final exam covering all eight modules.</w:t>
      </w:r>
    </w:p>
    <w:p>
      <w:pPr>
        <w:spacing w:before="0" w:after="100"/>
        <w:jc w:val="both"/>
      </w:pPr>
      <w:r>
        <w:rPr>
          <w:rFonts w:ascii="Calibri" w:hAnsi="Calibri"/>
          <w:b w:val="0"/>
          <w:i w:val="0"/>
          <w:color w:val="1A1A1A"/>
          <w:sz w:val="22"/>
          <w:u w:val="none"/>
        </w:rPr>
        <w:t>The course website carries the whole schedule week by week, and the course calendar prints the same information for those who prefer it on paper.</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Textbook</w:t>
      </w:r>
    </w:p>
    <w:p>
      <w:pPr>
        <w:spacing w:before="0" w:after="80"/>
        <w:pBdr>
          <w:bottom w:val="single" w:sz="8" w:space="1" w:color="E09F3E"/>
        </w:pBdr>
      </w:pPr>
    </w:p>
    <w:p>
      <w:pPr>
        <w:spacing w:before="0" w:after="100"/>
        <w:jc w:val="both"/>
      </w:pPr>
      <w:r>
        <w:rPr>
          <w:rFonts w:ascii="Calibri" w:hAnsi="Calibri"/>
          <w:b w:val="0"/>
          <w:i w:val="0"/>
          <w:color w:val="1A1A1A"/>
          <w:sz w:val="22"/>
          <w:u w:val="none"/>
        </w:rPr>
        <w:t>The required textbook for the course is Microeconomics, by Goolsbee, Levitt and Syverson, 4th edition.</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The “Figure it out” boxes in each chapter should be considered as advanced (voluntary) readings.</w:t>
      </w:r>
    </w:p>
    <w:p>
      <w:pPr>
        <w:spacing w:before="120" w:after="20"/>
      </w:pPr>
      <w:r>
        <w:rPr>
          <w:rFonts w:ascii="Calibri" w:hAnsi="Calibri"/>
          <w:b/>
          <w:i w:val="0"/>
          <w:color w:val="0B2B4E"/>
          <w:sz w:val="23"/>
          <w:u w:val="none"/>
        </w:rPr>
        <w:t>Optional additional reading</w:t>
      </w:r>
    </w:p>
    <w:p>
      <w:pPr>
        <w:spacing w:before="0" w:after="100"/>
        <w:jc w:val="both"/>
      </w:pPr>
      <w:r>
        <w:rPr>
          <w:rFonts w:ascii="Calibri" w:hAnsi="Calibri"/>
          <w:b w:val="0"/>
          <w:i w:val="0"/>
          <w:color w:val="1A1A1A"/>
          <w:sz w:val="22"/>
          <w:u w:val="none"/>
        </w:rPr>
        <w:t>For those of you that would like a suggestion of a more basic text to serve as a foundation, I suggest:</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The Economic Way of Thinking by Paul Heyne, Peter J. Boettke and David L. Prychitko, Prentice Hall, 2005.</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Microeconomics: A Very Short Introduction, by Avinash Dixit, Oxford University Press, 2014.</w:t>
      </w:r>
    </w:p>
    <w:p>
      <w:pPr>
        <w:spacing w:before="120" w:after="20"/>
      </w:pPr>
      <w:r>
        <w:rPr>
          <w:rFonts w:ascii="Calibri" w:hAnsi="Calibri"/>
          <w:b/>
          <w:i w:val="0"/>
          <w:color w:val="0B2B4E"/>
          <w:sz w:val="23"/>
          <w:u w:val="none"/>
        </w:rPr>
        <w:t>Newspaper articles</w:t>
      </w:r>
    </w:p>
    <w:p>
      <w:pPr>
        <w:spacing w:before="0" w:after="100"/>
        <w:jc w:val="both"/>
      </w:pPr>
      <w:r>
        <w:rPr>
          <w:rFonts w:ascii="Calibri" w:hAnsi="Calibri"/>
          <w:b w:val="0"/>
          <w:i w:val="0"/>
          <w:color w:val="1A1A1A"/>
          <w:sz w:val="22"/>
          <w:u w:val="none"/>
        </w:rPr>
        <w:t>Articles from the Wall Street Journal or other news sources will be assigned. These selected articles will be posted on BruinLearn a couple of days in advance. These readings will be discussed in class and everyone will be expected to have read these assigned articles.</w:t>
      </w:r>
    </w:p>
    <w:p>
      <w:pPr>
        <w:spacing w:before="0" w:after="100"/>
        <w:jc w:val="both"/>
      </w:pPr>
      <w:r>
        <w:rPr>
          <w:rFonts w:ascii="Calibri" w:hAnsi="Calibri"/>
          <w:b w:val="0"/>
          <w:i w:val="0"/>
          <w:color w:val="1A1A1A"/>
          <w:sz w:val="22"/>
          <w:u w:val="none"/>
        </w:rPr>
        <w:t xml:space="preserve">You can subscribe to the WSJ at a reduced educational rate (optional – not required for the class): </w:t>
      </w:r>
      <w:hyperlink r:id="rId15">
        <w:r>
          <w:rPr>
            <w:rFonts w:ascii="Calibri" w:hAnsi="Calibri"/>
            <w:b/>
            <w:color w:val="365F91"/>
            <w:sz w:val="22"/>
          </w:rPr>
          <w:t xml:space="preserve">wsj.com/studentoffer</w:t>
        </w:r>
      </w:hyperlink>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Online Practice Exercises</w:t>
      </w:r>
    </w:p>
    <w:p>
      <w:pPr>
        <w:spacing w:before="0" w:after="80"/>
        <w:pBdr>
          <w:bottom w:val="single" w:sz="8" w:space="1" w:color="E09F3E"/>
        </w:pBdr>
      </w:pPr>
    </w:p>
    <w:p>
      <w:pPr>
        <w:spacing w:before="0" w:after="100"/>
        <w:jc w:val="both"/>
      </w:pPr>
      <w:r>
        <w:rPr>
          <w:rFonts w:ascii="Calibri" w:hAnsi="Calibri"/>
          <w:b w:val="0"/>
          <w:i w:val="0"/>
          <w:color w:val="1A1A1A"/>
          <w:sz w:val="22"/>
          <w:u w:val="none"/>
        </w:rPr>
        <w:t xml:space="preserve">Interactive practice exercises for each module, with hints and step-by-step solutions, are available on the course’s practice site: </w:t>
      </w:r>
      <w:hyperlink r:id="rId14">
        <w:r>
          <w:rPr>
            <w:rFonts w:ascii="Calibri" w:hAnsi="Calibri"/>
            <w:b/>
            <w:color w:val="365F91"/>
            <w:sz w:val="22"/>
          </w:rPr>
          <w:t xml:space="preserve">rafaelrubiao.github.io/mgmt405-practice</w:t>
        </w:r>
      </w:hyperlink>
      <w:r>
        <w:rPr>
          <w:rFonts w:ascii="Calibri" w:hAnsi="Calibri"/>
          <w:b w:val="0"/>
          <w:i w:val="0"/>
          <w:color w:val="1A1A1A"/>
          <w:sz w:val="22"/>
          <w:u w:val="none"/>
        </w:rPr>
        <w:t>. They are also linked from every module page of the course website.</w:t>
      </w:r>
    </w:p>
    <w:p>
      <w:pPr>
        <w:spacing w:before="0" w:after="100"/>
        <w:jc w:val="both"/>
      </w:pPr>
      <w:r>
        <w:rPr>
          <w:rFonts w:ascii="Calibri" w:hAnsi="Calibri"/>
          <w:b w:val="0"/>
          <w:i w:val="0"/>
          <w:color w:val="1A1A1A"/>
          <w:sz w:val="22"/>
          <w:u w:val="none"/>
        </w:rPr>
        <w:t>These exercises are not mandatory. They are for your own practice only and do not affect your grade.</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Optional Pre-Class Training: Math Refresher</w:t>
      </w:r>
    </w:p>
    <w:p>
      <w:pPr>
        <w:spacing w:before="0" w:after="80"/>
        <w:pBdr>
          <w:bottom w:val="single" w:sz="8" w:space="1" w:color="E09F3E"/>
        </w:pBdr>
      </w:pPr>
    </w:p>
    <w:p>
      <w:pPr>
        <w:spacing w:before="0" w:after="100"/>
        <w:jc w:val="both"/>
      </w:pPr>
      <w:r>
        <w:rPr>
          <w:rFonts w:ascii="Calibri" w:hAnsi="Calibri"/>
          <w:b w:val="0"/>
          <w:i w:val="0"/>
          <w:color w:val="1A1A1A"/>
          <w:sz w:val="22"/>
          <w:u w:val="none"/>
        </w:rPr>
        <w:t>For those of you who feel they would need a math refresher before the class, I suggest the following. We have designed a math quiz that helps you to assess whether you are already comfortable with key math concepts needed in Managerial Economics, or whether you would benefit from further math preparation. The quiz consists of 10 questions and should not take more than 10 – 15 minutes.</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 xml:space="preserve">Take the </w:t>
      </w:r>
      <w:hyperlink r:id="rId16">
        <w:r>
          <w:rPr>
            <w:rFonts w:ascii="Calibri" w:hAnsi="Calibri"/>
            <w:b/>
            <w:color w:val="365F91"/>
            <w:sz w:val="22"/>
          </w:rPr>
          <w:t xml:space="preserve">Math Quiz</w:t>
        </w:r>
      </w:hyperlink>
      <w:r>
        <w:rPr>
          <w:rFonts w:ascii="Calibri" w:hAnsi="Calibri"/>
          <w:b w:val="0"/>
          <w:i w:val="0"/>
          <w:color w:val="1A1A1A"/>
          <w:sz w:val="22"/>
          <w:u w:val="none"/>
        </w:rPr>
        <w:t xml:space="preserve"> (10 – 15 min)</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 xml:space="preserve">If you do not score high on the quiz, watch the </w:t>
      </w:r>
      <w:hyperlink r:id="rId17">
        <w:r>
          <w:rPr>
            <w:rFonts w:ascii="Calibri" w:hAnsi="Calibri"/>
            <w:b/>
            <w:color w:val="365F91"/>
            <w:sz w:val="22"/>
          </w:rPr>
          <w:t xml:space="preserve">Math Review Videos</w:t>
        </w:r>
      </w:hyperlink>
      <w:r>
        <w:rPr>
          <w:rFonts w:ascii="Calibri" w:hAnsi="Calibri"/>
          <w:b w:val="0"/>
          <w:i w:val="0"/>
          <w:color w:val="1A1A1A"/>
          <w:sz w:val="22"/>
          <w:u w:val="none"/>
        </w:rPr>
        <w:t>, which go over the most important math concepts for our class</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Contact Information and Office Hours</w:t>
      </w:r>
    </w:p>
    <w:p>
      <w:pPr>
        <w:spacing w:before="0" w:after="80"/>
        <w:pBdr>
          <w:bottom w:val="single" w:sz="8" w:space="1" w:color="E09F3E"/>
        </w:pBdr>
      </w:pPr>
    </w:p>
    <w:p>
      <w:pPr>
        <w:spacing w:before="0" w:after="100"/>
        <w:jc w:val="both"/>
      </w:pPr>
      <w:r>
        <w:rPr>
          <w:rFonts w:ascii="Calibri" w:hAnsi="Calibri"/>
          <w:b w:val="0"/>
          <w:i w:val="0"/>
          <w:color w:val="1A1A1A"/>
          <w:sz w:val="22"/>
          <w:u w:val="none"/>
        </w:rPr>
        <w:t>My office is located in Anderson C-511, Entrepreneur’s Hall.</w:t>
      </w:r>
    </w:p>
    <w:p>
      <w:pPr>
        <w:spacing w:before="0" w:after="100"/>
        <w:jc w:val="both"/>
      </w:pPr>
      <w:r>
        <w:rPr>
          <w:rFonts w:ascii="Calibri" w:hAnsi="Calibri"/>
          <w:b w:val="0"/>
          <w:i w:val="0"/>
          <w:color w:val="1A1A1A"/>
          <w:sz w:val="22"/>
          <w:u w:val="none"/>
        </w:rPr>
        <w:t>The e-mail addresses are on the course website, in the “Class and Contact” box, and on BruinLearn.</w:t>
      </w:r>
    </w:p>
    <w:p>
      <w:pPr>
        <w:spacing w:before="0" w:after="100"/>
        <w:jc w:val="both"/>
      </w:pPr>
      <w:r>
        <w:rPr>
          <w:rFonts w:ascii="Calibri" w:hAnsi="Calibri"/>
          <w:b w:val="0"/>
          <w:i w:val="0"/>
          <w:color w:val="1A1A1A"/>
          <w:sz w:val="22"/>
          <w:u w:val="none"/>
        </w:rPr>
        <w:t>Important – how to schedule a meeting: my office hours are by appointment and the time is flexible. To schedule a (Zoom) meeting, send me an e-mail with your question and we then schedule a time.</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Please address all questions about problem sets, practice exams and practice problems to the TA.</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Address questions about concepts covered in class to me.</w:t>
      </w:r>
    </w:p>
    <w:p>
      <w:pPr>
        <w:spacing w:before="0" w:after="100"/>
        <w:jc w:val="both"/>
      </w:pPr>
      <w:r>
        <w:rPr>
          <w:rFonts w:ascii="Calibri" w:hAnsi="Calibri"/>
          <w:b w:val="0"/>
          <w:i w:val="0"/>
          <w:color w:val="1A1A1A"/>
          <w:sz w:val="22"/>
          <w:u w:val="none"/>
        </w:rPr>
        <w:t>I will hold regular “Coffee &amp; Econ Sessions” via Zoom. Times will be announced in class.</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Teaching Assistant</w:t>
      </w:r>
    </w:p>
    <w:p>
      <w:pPr>
        <w:spacing w:before="0" w:after="80"/>
        <w:pBdr>
          <w:bottom w:val="single" w:sz="8" w:space="1" w:color="E09F3E"/>
        </w:pBdr>
      </w:pPr>
    </w:p>
    <w:p>
      <w:pPr>
        <w:spacing w:before="0" w:after="100"/>
        <w:jc w:val="both"/>
      </w:pPr>
      <w:r>
        <w:rPr>
          <w:rFonts w:ascii="Calibri" w:hAnsi="Calibri"/>
          <w:b w:val="0"/>
          <w:i w:val="0"/>
          <w:color w:val="1A1A1A"/>
          <w:sz w:val="22"/>
          <w:u w:val="none"/>
        </w:rPr>
        <w:t>The teaching assistant for this section is Rafael Rubiao. There is a section-specific TA e-mail address for Section 2; it is on the course website and on BruinLearn.</w:t>
      </w:r>
    </w:p>
    <w:p>
      <w:pPr>
        <w:spacing w:before="0" w:after="100"/>
        <w:jc w:val="both"/>
      </w:pPr>
      <w:r>
        <w:rPr>
          <w:rFonts w:ascii="Calibri" w:hAnsi="Calibri"/>
          <w:b w:val="0"/>
          <w:i w:val="0"/>
          <w:color w:val="1A1A1A"/>
          <w:sz w:val="22"/>
          <w:u w:val="none"/>
        </w:rPr>
        <w:t>The TA will hold a weekly office hour and review session via Zoom, at a time to be announced. During each session, the TA will provide supplemental instruction on more technical content, solve additional exercises, and answer any questions related to course content or the problem sets. In addition to the weekly sessions, the TA will conduct review sessions prior to the final exam.</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Grades</w:t>
      </w:r>
    </w:p>
    <w:p>
      <w:pPr>
        <w:spacing w:before="0" w:after="80"/>
        <w:pBdr>
          <w:bottom w:val="single" w:sz="8" w:space="1" w:color="E09F3E"/>
        </w:pBdr>
      </w:pPr>
    </w:p>
    <w:p>
      <w:pPr>
        <w:spacing w:before="0" w:after="100"/>
        <w:jc w:val="both"/>
      </w:pPr>
      <w:r>
        <w:rPr>
          <w:rFonts w:ascii="Calibri" w:hAnsi="Calibri"/>
          <w:b w:val="0"/>
          <w:i w:val="0"/>
          <w:color w:val="1A1A1A"/>
          <w:sz w:val="22"/>
          <w:u w:val="none"/>
        </w:rPr>
        <w:t>Final grades are determined on the following basis:</w:t>
      </w:r>
    </w:p>
    <w:tbl>
      <w:tblPr>
        <w:tblW w:type="auto" w:w="0"/>
        <w:tblLayout w:type="fixed"/>
        <w:tblLook w:firstColumn="1" w:firstRow="1" w:lastColumn="0" w:lastRow="0" w:noHBand="0" w:noVBand="1" w:val="04A0"/>
        <w:tblLayout w:type="fixed"/>
        <w:tblCellMar>
          <w:top w:w="50" w:type="dxa"/>
          <w:bottom w:w="50" w:type="dxa"/>
          <w:left w:w="110" w:type="dxa"/>
          <w:right w:w="110" w:type="dxa"/>
        </w:tblCellMar>
      </w:tblPr>
      <w:tblGrid>
        <w:gridCol w:w="3744"/>
        <w:gridCol w:w="1584"/>
      </w:tblGrid>
      <w:tr>
        <w:tc>
          <w:tcPr>
            <w:tcW w:type="dxa" w:w="3744"/>
            <w:shd w:val="clear" w:fill="0B2B4E"/>
            <w:vAlign w:val="center"/>
          </w:tcPr>
          <w:p>
            <w:pPr>
              <w:spacing w:before="0" w:after="0"/>
            </w:pPr>
            <w:r>
              <w:rPr>
                <w:rFonts w:ascii="Calibri" w:hAnsi="Calibri"/>
                <w:b/>
                <w:i w:val="0"/>
                <w:color w:val="FFFFFF"/>
                <w:sz w:val="22"/>
                <w:u w:val="none"/>
              </w:rPr>
              <w:t>Component</w:t>
            </w:r>
          </w:p>
        </w:tc>
        <w:tc>
          <w:tcPr>
            <w:tcW w:type="dxa" w:w="1584"/>
            <w:shd w:val="clear" w:fill="0B2B4E"/>
            <w:vAlign w:val="center"/>
          </w:tcPr>
          <w:p>
            <w:pPr>
              <w:spacing w:before="0" w:after="0"/>
              <w:jc w:val="center"/>
            </w:pPr>
            <w:r>
              <w:rPr>
                <w:rFonts w:ascii="Calibri" w:hAnsi="Calibri"/>
                <w:b/>
                <w:i w:val="0"/>
                <w:color w:val="FFFFFF"/>
                <w:sz w:val="22"/>
                <w:u w:val="none"/>
              </w:rPr>
              <w:t>Weight</w:t>
            </w:r>
          </w:p>
        </w:tc>
      </w:tr>
      <w:tr>
        <w:tc>
          <w:tcPr>
            <w:tcW w:type="dxa" w:w="3744"/>
            <w:shd w:val="clear" w:fill="FFFFFF"/>
            <w:tcBorders>
              <w:top w:val="single" w:sz="4" w:color="C8CDD3"/>
              <w:bottom w:val="single" w:sz="4" w:color="C8CDD3"/>
              <w:left w:val="single" w:sz="4" w:color="C8CDD3"/>
              <w:right w:val="single" w:sz="4" w:color="C8CDD3"/>
            </w:tcBorders>
            <w:vAlign w:val="center"/>
          </w:tcPr>
          <w:p>
            <w:pPr>
              <w:spacing w:before="0" w:after="0"/>
            </w:pPr>
            <w:r>
              <w:rPr>
                <w:rFonts w:ascii="Calibri" w:hAnsi="Calibri"/>
                <w:b w:val="0"/>
                <w:i w:val="0"/>
                <w:color w:val="0B2B4E"/>
                <w:sz w:val="22"/>
                <w:u w:val="none"/>
              </w:rPr>
              <w:t>Midterm Exam</w:t>
            </w:r>
          </w:p>
        </w:tc>
        <w:tc>
          <w:tcPr>
            <w:tcW w:type="dxa" w:w="1584"/>
            <w:shd w:val="clear" w:fill="FFFFFF"/>
            <w:tcBorders>
              <w:top w:val="single" w:sz="4" w:color="C8CDD3"/>
              <w:bottom w:val="single" w:sz="4" w:color="C8CDD3"/>
              <w:left w:val="single" w:sz="4" w:color="C8CDD3"/>
              <w:right w:val="single" w:sz="4" w:color="C8CDD3"/>
            </w:tcBorders>
            <w:vAlign w:val="center"/>
          </w:tcPr>
          <w:p>
            <w:pPr>
              <w:spacing w:before="0" w:after="0"/>
              <w:jc w:val="center"/>
            </w:pPr>
            <w:r>
              <w:rPr>
                <w:rFonts w:ascii="Calibri" w:hAnsi="Calibri"/>
                <w:b/>
                <w:i w:val="0"/>
                <w:color w:val="0B2B4E"/>
                <w:sz w:val="22"/>
                <w:u w:val="none"/>
              </w:rPr>
              <w:t>35%</w:t>
            </w:r>
          </w:p>
        </w:tc>
      </w:tr>
      <w:tr>
        <w:tc>
          <w:tcPr>
            <w:tcW w:type="dxa" w:w="3744"/>
            <w:shd w:val="clear" w:fill="FDF6E6"/>
            <w:tcBorders>
              <w:top w:val="single" w:sz="4" w:color="C8CDD3"/>
              <w:bottom w:val="single" w:sz="4" w:color="C8CDD3"/>
              <w:left w:val="single" w:sz="4" w:color="C8CDD3"/>
              <w:right w:val="single" w:sz="4" w:color="C8CDD3"/>
            </w:tcBorders>
            <w:vAlign w:val="center"/>
          </w:tcPr>
          <w:p>
            <w:pPr>
              <w:spacing w:before="0" w:after="0"/>
            </w:pPr>
            <w:r>
              <w:rPr>
                <w:rFonts w:ascii="Calibri" w:hAnsi="Calibri"/>
                <w:b w:val="0"/>
                <w:i w:val="0"/>
                <w:color w:val="0B2B4E"/>
                <w:sz w:val="22"/>
                <w:u w:val="none"/>
              </w:rPr>
              <w:t>Final Exam</w:t>
            </w:r>
          </w:p>
        </w:tc>
        <w:tc>
          <w:tcPr>
            <w:tcW w:type="dxa" w:w="1584"/>
            <w:shd w:val="clear" w:fill="FDF6E6"/>
            <w:tcBorders>
              <w:top w:val="single" w:sz="4" w:color="C8CDD3"/>
              <w:bottom w:val="single" w:sz="4" w:color="C8CDD3"/>
              <w:left w:val="single" w:sz="4" w:color="C8CDD3"/>
              <w:right w:val="single" w:sz="4" w:color="C8CDD3"/>
            </w:tcBorders>
            <w:vAlign w:val="center"/>
          </w:tcPr>
          <w:p>
            <w:pPr>
              <w:spacing w:before="0" w:after="0"/>
              <w:jc w:val="center"/>
            </w:pPr>
            <w:r>
              <w:rPr>
                <w:rFonts w:ascii="Calibri" w:hAnsi="Calibri"/>
                <w:b/>
                <w:i w:val="0"/>
                <w:color w:val="0B2B4E"/>
                <w:sz w:val="22"/>
                <w:u w:val="none"/>
              </w:rPr>
              <w:t>40%</w:t>
            </w:r>
          </w:p>
        </w:tc>
      </w:tr>
      <w:tr>
        <w:tc>
          <w:tcPr>
            <w:tcW w:type="dxa" w:w="3744"/>
            <w:shd w:val="clear" w:fill="FFFFFF"/>
            <w:tcBorders>
              <w:top w:val="single" w:sz="4" w:color="C8CDD3"/>
              <w:bottom w:val="single" w:sz="4" w:color="C8CDD3"/>
              <w:left w:val="single" w:sz="4" w:color="C8CDD3"/>
              <w:right w:val="single" w:sz="4" w:color="C8CDD3"/>
            </w:tcBorders>
            <w:vAlign w:val="center"/>
          </w:tcPr>
          <w:p>
            <w:pPr>
              <w:spacing w:before="0" w:after="0"/>
            </w:pPr>
            <w:r>
              <w:rPr>
                <w:rFonts w:ascii="Calibri" w:hAnsi="Calibri"/>
                <w:b w:val="0"/>
                <w:i w:val="0"/>
                <w:color w:val="0B2B4E"/>
                <w:sz w:val="22"/>
                <w:u w:val="none"/>
              </w:rPr>
              <w:t>Problem Sets</w:t>
            </w:r>
          </w:p>
        </w:tc>
        <w:tc>
          <w:tcPr>
            <w:tcW w:type="dxa" w:w="1584"/>
            <w:shd w:val="clear" w:fill="FFFFFF"/>
            <w:tcBorders>
              <w:top w:val="single" w:sz="4" w:color="C8CDD3"/>
              <w:bottom w:val="single" w:sz="4" w:color="C8CDD3"/>
              <w:left w:val="single" w:sz="4" w:color="C8CDD3"/>
              <w:right w:val="single" w:sz="4" w:color="C8CDD3"/>
            </w:tcBorders>
            <w:vAlign w:val="center"/>
          </w:tcPr>
          <w:p>
            <w:pPr>
              <w:spacing w:before="0" w:after="0"/>
              <w:jc w:val="center"/>
            </w:pPr>
            <w:r>
              <w:rPr>
                <w:rFonts w:ascii="Calibri" w:hAnsi="Calibri"/>
                <w:b/>
                <w:i w:val="0"/>
                <w:color w:val="0B2B4E"/>
                <w:sz w:val="22"/>
                <w:u w:val="none"/>
              </w:rPr>
              <w:t>25%</w:t>
            </w:r>
          </w:p>
        </w:tc>
      </w:tr>
    </w:tbl>
    <w:p>
      <w:pPr>
        <w:spacing w:before="0" w:after="120"/>
      </w:pPr>
      <w:r>
        <w:rPr>
          <w:rFonts w:ascii="Calibri" w:hAnsi="Calibri"/>
          <w:b w:val="0"/>
          <w:i w:val="0"/>
          <w:color w:val="1A1A1A"/>
          <w:sz w:val="4"/>
          <w:u w:val="none"/>
        </w:rPr>
      </w:r>
    </w:p>
    <w:p>
      <w:pPr>
        <w:spacing w:before="0" w:after="100"/>
        <w:jc w:val="both"/>
      </w:pPr>
      <w:r>
        <w:rPr>
          <w:rFonts w:ascii="Calibri" w:hAnsi="Calibri"/>
          <w:b w:val="0"/>
          <w:i w:val="0"/>
          <w:color w:val="1A1A1A"/>
          <w:sz w:val="22"/>
          <w:u w:val="none"/>
        </w:rPr>
        <w:t>It is imperative that you come to class prepared – having read the assignments beforehand.</w:t>
      </w:r>
    </w:p>
    <w:p>
      <w:pPr>
        <w:spacing w:before="0" w:after="100"/>
        <w:jc w:val="both"/>
      </w:pPr>
      <w:r>
        <w:rPr>
          <w:rFonts w:ascii="Calibri" w:hAnsi="Calibri"/>
          <w:b w:val="0"/>
          <w:i w:val="0"/>
          <w:color w:val="1A1A1A"/>
          <w:sz w:val="22"/>
          <w:u w:val="none"/>
        </w:rPr>
        <w:t>The grade distributions will correspond to the School’s guidelines for core courses: no more than 20% A+’s and A’s, and no more than 45% A’s of all types. Under no circumstances will special assignments substitute for inadequate performance, nor will extra-credit projects be assigned.</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Midterm and Final Exams</w:t>
      </w:r>
    </w:p>
    <w:p>
      <w:pPr>
        <w:spacing w:before="0" w:after="80"/>
        <w:pBdr>
          <w:bottom w:val="single" w:sz="8" w:space="1" w:color="E09F3E"/>
        </w:pBdr>
      </w:pPr>
    </w:p>
    <w:p>
      <w:pPr>
        <w:spacing w:before="0" w:after="100"/>
        <w:jc w:val="both"/>
      </w:pPr>
      <w:r>
        <w:rPr>
          <w:rFonts w:ascii="Calibri" w:hAnsi="Calibri"/>
          <w:b w:val="0"/>
          <w:i w:val="0"/>
          <w:color w:val="1A1A1A"/>
          <w:sz w:val="22"/>
          <w:u w:val="none"/>
        </w:rPr>
        <w:t>Both exams take place online, and you will have 3 hours to solve the exam and upload your solutions. The midterm exam covers the material through Module 3. To provide flexibility, you will have the option to take the midterm any time within a given time window, as indicated on the course calendar; the exact window will be announced in class. The final exam covers all the class content, Modules 1 – 8, and has about 20 multiple choice questions and 3 – 4 problem-solving questions. It takes place on Saturday, December 12, 9:00 AM – 12:00 PM. No makeup exams will be scheduled.</w:t>
      </w:r>
    </w:p>
    <w:p>
      <w:pPr>
        <w:spacing w:before="0" w:after="100"/>
        <w:jc w:val="both"/>
      </w:pPr>
      <w:r>
        <w:rPr>
          <w:rFonts w:ascii="Calibri" w:hAnsi="Calibri"/>
          <w:b w:val="0"/>
          <w:i w:val="0"/>
          <w:color w:val="1A1A1A"/>
          <w:sz w:val="22"/>
          <w:u w:val="none"/>
        </w:rPr>
        <w:t>The exams are open-book. You may use the course textbook, class slides, class notes and problem sets. You may use a calculator or Excel. You may access the course materials on the course website and on BruinLearn, and the online version of the textbook. Usage of the internet for any other purpose is prohibited. In particular, the use of AI tools (e.g., ChatGPT) is not allowed during the exams, and both exams are proctored by an online proctoring company. Communicating with anyone regarding the exam is prohibited.</w:t>
      </w:r>
    </w:p>
    <w:p>
      <w:pPr>
        <w:spacing w:before="0" w:after="100"/>
        <w:jc w:val="both"/>
      </w:pPr>
      <w:r>
        <w:rPr>
          <w:rFonts w:ascii="Calibri" w:hAnsi="Calibri"/>
          <w:b w:val="0"/>
          <w:i w:val="0"/>
          <w:color w:val="1A1A1A"/>
          <w:sz w:val="22"/>
          <w:u w:val="none"/>
        </w:rPr>
        <w:t>A practice final exam is scheduled in the exam-preparation week, and a sample final exam with solutions is available on BruinLearn as an example of the type of exam given in the past.</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Group Problem Sets</w:t>
      </w:r>
    </w:p>
    <w:p>
      <w:pPr>
        <w:spacing w:before="0" w:after="80"/>
        <w:pBdr>
          <w:bottom w:val="single" w:sz="8" w:space="1" w:color="E09F3E"/>
        </w:pBdr>
      </w:pPr>
    </w:p>
    <w:p>
      <w:pPr>
        <w:spacing w:before="0" w:after="100"/>
        <w:jc w:val="both"/>
      </w:pPr>
      <w:r>
        <w:rPr>
          <w:rFonts w:ascii="Calibri" w:hAnsi="Calibri"/>
          <w:b w:val="0"/>
          <w:i w:val="0"/>
          <w:color w:val="1A1A1A"/>
          <w:sz w:val="22"/>
          <w:u w:val="none"/>
        </w:rPr>
        <w:t>There will be 5 problem sets. These problems are designed to check your progress and to extend and reinforce concepts covered in class. One or two questions similar to the ones on the problem sets will appear on the exams. Since the exams test individual performance, it is critical that you acquire skills at solving the problems independently. Therefore, while these assignments are to be turned in by groups, you should independently attempt beforehand to answer each question. Group assignments will be graded on a continuous 0 – 100 scale. Solutions will be distributed for each assignment. These step-by-step solutions are a good substitute for seeing me solve problems in person in class: there is usually not enough class time to do this.</w:t>
      </w:r>
    </w:p>
    <w:p>
      <w:pPr>
        <w:spacing w:before="0" w:after="100"/>
        <w:jc w:val="both"/>
      </w:pPr>
      <w:r>
        <w:rPr>
          <w:rFonts w:ascii="Calibri" w:hAnsi="Calibri"/>
          <w:b w:val="0"/>
          <w:i w:val="0"/>
          <w:color w:val="1A1A1A"/>
          <w:sz w:val="22"/>
          <w:u w:val="none"/>
        </w:rPr>
        <w:t xml:space="preserve">Each study group submits one set of answers. The problem sets are due according to the schedule in the course calendar. Upload one solution per group on </w:t>
      </w:r>
      <w:hyperlink r:id="rId18">
        <w:r>
          <w:rPr>
            <w:rFonts w:ascii="Calibri" w:hAnsi="Calibri"/>
            <w:b/>
            <w:color w:val="365F91"/>
            <w:sz w:val="22"/>
          </w:rPr>
          <w:t xml:space="preserve">BruinLearn</w:t>
        </w:r>
      </w:hyperlink>
      <w:r>
        <w:rPr>
          <w:rFonts w:ascii="Calibri" w:hAnsi="Calibri"/>
          <w:b w:val="0"/>
          <w:i w:val="0"/>
          <w:color w:val="1A1A1A"/>
          <w:sz w:val="22"/>
          <w:u w:val="none"/>
        </w:rPr>
        <w:t>. No late assignments can be accepted.</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Attendance Policy</w:t>
      </w:r>
    </w:p>
    <w:p>
      <w:pPr>
        <w:spacing w:before="0" w:after="80"/>
        <w:pBdr>
          <w:bottom w:val="single" w:sz="8" w:space="1" w:color="E09F3E"/>
        </w:pBdr>
      </w:pPr>
    </w:p>
    <w:p>
      <w:pPr>
        <w:spacing w:before="0" w:after="100"/>
        <w:jc w:val="both"/>
      </w:pPr>
      <w:r>
        <w:rPr>
          <w:rFonts w:ascii="Calibri" w:hAnsi="Calibri"/>
          <w:b w:val="0"/>
          <w:i w:val="0"/>
          <w:color w:val="1A1A1A"/>
          <w:sz w:val="22"/>
          <w:u w:val="none"/>
        </w:rPr>
        <w:t>Whether to attend class is your personal decision. There is no penalty in terms of participation. However, I highly recommend that you attend each class.</w:t>
      </w:r>
    </w:p>
    <w:p>
      <w:pPr>
        <w:spacing w:before="20" w:after="40"/>
        <w:jc w:val="center"/>
      </w:pPr>
      <w:r>
        <w:drawing xmlns:a="http://schemas.openxmlformats.org/drawingml/2006/main">
          <wp:inline distT="0" distB="0" distL="0" distR="0">
            <wp:extent cx="6309360" cy="1470024"/>
            <wp:effectExtent l="0" t="0" r="76200" b="76200"/>
            <wp:docPr id="1002" name="Card 1002"/>
            <a:graphic>
              <a:graphicData uri="http://schemas.microsoft.com/office/word/2010/wordprocessingShape">
                <wps:wsp>
                  <wps:cNvSpPr/>
                  <wps:spPr bwMode="auto">
                    <a:xfrm>
                      <a:off x="0" y="0"/>
                      <a:ext cx="6309360" cy="1470024"/>
                    </a:xfrm>
                    <a:prstGeom prst="roundRect">
                      <a:avLst>
                        <a:gd name="adj" fmla="val 7464"/>
                      </a:avLst>
                    </a:prstGeom>
                    <a:solidFill>
                      <a:srgbClr val="FBEDED"/>
                    </a:solidFill>
                    <a:ln w="15875">
                      <a:solidFill>
                        <a:srgbClr val="C00000"/>
                      </a:solidFill>
                    </a:ln>
                    <a:effectLst>
                      <a:outerShdw blurRad="63500" dist="27940" dir="5400000" rotWithShape="0">
                        <a:srgbClr val="000000">
                          <a:alpha val="30000"/>
                        </a:srgbClr>
                      </a:outerShdw>
                    </a:effectLst>
                  </wps:spPr>
                  <wps:txbx>
                    <w:txbxContent>
                      <w:p>
                        <w:pPr>
                          <w:spacing w:before="0" w:after="80"/>
                        </w:pPr>
                        <w:r>
                          <w:rPr>
                            <w:rFonts w:ascii="Calibri" w:hAnsi="Calibri"/>
                            <w:b/>
                            <w:i w:val="0"/>
                            <w:color w:val="0B2B4E"/>
                            <w:sz w:val="23"/>
                            <w:u w:val="none"/>
                          </w:rPr>
                          <w:t>If you have to miss an on-campus class:</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You do not need to contact the instructor or the TA</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Go over the readings assigned for the material covered in the on-campus class</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Listen to the podcasts, especially the “Wrap-Up” for the Modules that were covered in class</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 xml:space="preserve">A class recording will be made available on </w:t>
                        </w:r>
                        <w:hyperlink r:id="rId19">
                          <w:r>
                            <w:rPr>
                              <w:rFonts w:ascii="Calibri" w:hAnsi="Calibri"/>
                              <w:b/>
                              <w:color w:val="365F91"/>
                              <w:sz w:val="22"/>
                            </w:rPr>
                            <w:t xml:space="preserve">BruinLearn</w:t>
                          </w:r>
                        </w:hyperlink>
                        <w:r>
                          <w:rPr>
                            <w:rFonts w:ascii="Calibri" w:hAnsi="Calibri"/>
                            <w:b w:val="0"/>
                            <w:i w:val="0"/>
                            <w:color w:val="1A1A1A"/>
                            <w:sz w:val="22"/>
                            <w:u w:val="none"/>
                          </w:rPr>
                          <w:t xml:space="preserve"> after the class. Watch this recording</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Make sure you coordinate work on the Problem Set with your study group</w:t>
                        </w:r>
                      </w:p>
                    </w:txbxContent>
                  </wps:txbx>
                  <wps:bodyPr rot="0" vert="horz" wrap="square" lIns="109728" tIns="54864" rIns="109728" bIns="54864" anchor="t" anchorCtr="0">
                    <a:noAutofit/>
                  </wps:bodyPr>
                </wps:wsp>
              </a:graphicData>
            </a:graphic>
          </wp:inline>
        </w:drawing>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Use of Unauthorized Materials</w:t>
      </w:r>
    </w:p>
    <w:p>
      <w:pPr>
        <w:spacing w:before="0" w:after="80"/>
        <w:pBdr>
          <w:bottom w:val="single" w:sz="8" w:space="1" w:color="E09F3E"/>
        </w:pBdr>
      </w:pPr>
    </w:p>
    <w:p>
      <w:pPr>
        <w:spacing w:before="0" w:after="100"/>
        <w:jc w:val="both"/>
      </w:pPr>
      <w:r>
        <w:rPr>
          <w:rFonts w:ascii="Calibri" w:hAnsi="Calibri"/>
          <w:b w:val="0"/>
          <w:i w:val="0"/>
          <w:color w:val="1A1A1A"/>
          <w:sz w:val="22"/>
          <w:u w:val="none"/>
        </w:rPr>
        <w:t>Do not use any old answer keys to exams and homework sets distributed in prior courses, unless I have distributed them myself. Any published work that is used in your written solutions must contain the appropriate citation. Violations of academic integrity standards are taken very seriously at UCLA.</w:t>
      </w:r>
    </w:p>
    <w:p>
      <w:pPr>
        <w:spacing w:before="0" w:after="100"/>
        <w:jc w:val="both"/>
      </w:pPr>
      <w:r>
        <w:rPr>
          <w:rFonts w:ascii="Calibri" w:hAnsi="Calibri"/>
          <w:b w:val="0"/>
          <w:i w:val="0"/>
          <w:color w:val="1A1A1A"/>
          <w:sz w:val="22"/>
          <w:u w:val="none"/>
        </w:rPr>
        <w:t xml:space="preserve">UCLA’s Academic Integrity Policy is found here: </w:t>
      </w:r>
      <w:hyperlink r:id="rId20">
        <w:r>
          <w:rPr>
            <w:rFonts w:ascii="Calibri" w:hAnsi="Calibri"/>
            <w:b/>
            <w:color w:val="365F91"/>
            <w:sz w:val="22"/>
          </w:rPr>
          <w:t xml:space="preserve">deanofstudents.ucla.edu/Academic-Integrity</w:t>
        </w:r>
      </w:hyperlink>
    </w:p>
    <w:p>
      <w:pPr>
        <w:spacing w:before="120" w:after="20"/>
      </w:pPr>
      <w:r>
        <w:rPr>
          <w:rFonts w:ascii="Calibri" w:hAnsi="Calibri"/>
          <w:b/>
          <w:i w:val="0"/>
          <w:color w:val="0B2B4E"/>
          <w:sz w:val="23"/>
          <w:u w:val="none"/>
        </w:rPr>
        <w:t>Artificial Intelligence (AI) tools</w:t>
      </w:r>
    </w:p>
    <w:p>
      <w:pPr>
        <w:spacing w:before="0" w:after="100"/>
        <w:jc w:val="both"/>
      </w:pPr>
      <w:r>
        <w:rPr>
          <w:rFonts w:ascii="Calibri" w:hAnsi="Calibri"/>
          <w:b w:val="0"/>
          <w:i w:val="0"/>
          <w:color w:val="1A1A1A"/>
          <w:sz w:val="22"/>
          <w:u w:val="none"/>
        </w:rPr>
        <w:t>The use of AI tools (e.g. ChatGPT) is prohibited during the midterm and the final exam. For problem sets, you may use AI tools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While AI tools can provide helpful insights, we want you to think critically about the information you receive. We encourage you to ask specific questions, provide context, and evaluate the quality of the answers provided by AI tools. Remember, the answers are not always correct.</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Regrade Policy</w:t>
      </w:r>
    </w:p>
    <w:p>
      <w:pPr>
        <w:spacing w:before="0" w:after="80"/>
        <w:pBdr>
          <w:bottom w:val="single" w:sz="8" w:space="1" w:color="E09F3E"/>
        </w:pBdr>
      </w:pPr>
    </w:p>
    <w:p>
      <w:pPr>
        <w:spacing w:before="0" w:after="100"/>
        <w:jc w:val="both"/>
      </w:pPr>
      <w:r>
        <w:rPr>
          <w:rFonts w:ascii="Calibri" w:hAnsi="Calibri"/>
          <w:b w:val="0"/>
          <w:i w:val="0"/>
          <w:color w:val="1A1A1A"/>
          <w:sz w:val="22"/>
          <w:u w:val="none"/>
        </w:rPr>
        <w:t>For regrade requests, submit the original copy of the graded exam or assignment and a separate page with a written explanation of the request to the TA. If you cannot come to an agreement with the TA, I will step in as a mediator. Note that I reserve the right to regrade the entire exam or assignment. This means that a regrade request could result in a higher or lower final score.</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For On-Campus Classes: Use of Computers and Tablets</w:t>
      </w:r>
    </w:p>
    <w:p>
      <w:pPr>
        <w:spacing w:before="0" w:after="80"/>
        <w:pBdr>
          <w:bottom w:val="single" w:sz="8" w:space="1" w:color="E09F3E"/>
        </w:pBdr>
      </w:pPr>
    </w:p>
    <w:p>
      <w:pPr>
        <w:spacing w:before="0" w:after="100"/>
        <w:jc w:val="both"/>
      </w:pPr>
      <w:r>
        <w:rPr>
          <w:rFonts w:ascii="Calibri" w:hAnsi="Calibri"/>
          <w:b w:val="0"/>
          <w:i w:val="0"/>
          <w:color w:val="1A1A1A"/>
          <w:sz w:val="22"/>
          <w:u w:val="none"/>
        </w:rPr>
        <w:t>No use of laptops. Surfing the internet and catching up on your e-mail is distracting, both for yourself and for those around you. Exception: if you prefer to take notes on your tablet, you may do so – but use the tablet for note-taking only.</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Course Materials: Website and BruinLearn</w:t>
      </w:r>
    </w:p>
    <w:p>
      <w:pPr>
        <w:spacing w:before="0" w:after="80"/>
        <w:pBdr>
          <w:bottom w:val="single" w:sz="8" w:space="1" w:color="E09F3E"/>
        </w:pBdr>
      </w:pPr>
    </w:p>
    <w:p>
      <w:pPr>
        <w:spacing w:before="0" w:after="100"/>
        <w:jc w:val="both"/>
      </w:pPr>
      <w:r>
        <w:rPr>
          <w:rFonts w:ascii="Calibri" w:hAnsi="Calibri"/>
          <w:b w:val="0"/>
          <w:i w:val="0"/>
          <w:color w:val="1A1A1A"/>
          <w:sz w:val="22"/>
          <w:u w:val="none"/>
        </w:rPr>
        <w:t xml:space="preserve">The course website, </w:t>
      </w:r>
      <w:hyperlink r:id="rId10">
        <w:r>
          <w:rPr>
            <w:rFonts w:ascii="Calibri" w:hAnsi="Calibri"/>
            <w:b/>
            <w:color w:val="365F91"/>
            <w:sz w:val="22"/>
          </w:rPr>
          <w:t xml:space="preserve">nvoigtla.github.io/MGMT-405-EMBA</w:t>
        </w:r>
      </w:hyperlink>
      <w:r>
        <w:rPr>
          <w:rFonts w:ascii="Calibri" w:hAnsi="Calibri"/>
          <w:b w:val="0"/>
          <w:i w:val="0"/>
          <w:color w:val="1A1A1A"/>
          <w:sz w:val="22"/>
          <w:u w:val="none"/>
        </w:rPr>
        <w:t>, is the fastest way to find what a given week asks of you: the videos, the podcasts, the readings, the practice exercises and every deadline, week by week and module by module. The class syllabus and the course calendar can be downloaded there as PDFs.</w:t>
      </w:r>
    </w:p>
    <w:p>
      <w:pPr>
        <w:spacing w:before="0" w:after="100"/>
        <w:jc w:val="both"/>
      </w:pPr>
      <w:r>
        <w:rPr>
          <w:rFonts w:ascii="Calibri" w:hAnsi="Calibri"/>
          <w:b w:val="0"/>
          <w:i w:val="0"/>
          <w:color w:val="1A1A1A"/>
          <w:sz w:val="22"/>
          <w:u w:val="none"/>
        </w:rPr>
        <w:t xml:space="preserve">Electronic copies of all our slides are on the </w:t>
      </w:r>
      <w:hyperlink r:id="rId10">
        <w:r>
          <w:rPr>
            <w:rFonts w:ascii="Calibri" w:hAnsi="Calibri"/>
            <w:b/>
            <w:color w:val="365F91"/>
            <w:sz w:val="22"/>
          </w:rPr>
          <w:t xml:space="preserve">class website</w:t>
        </w:r>
      </w:hyperlink>
      <w:r>
        <w:rPr>
          <w:rFonts w:ascii="Calibri" w:hAnsi="Calibri"/>
          <w:b w:val="0"/>
          <w:i w:val="0"/>
          <w:color w:val="1A1A1A"/>
          <w:sz w:val="22"/>
          <w:u w:val="none"/>
        </w:rPr>
        <w:t xml:space="preserve">. You find the Problem Sets and Problem Set Solutions on </w:t>
      </w:r>
      <w:hyperlink r:id="rId18">
        <w:r>
          <w:rPr>
            <w:rFonts w:ascii="Calibri" w:hAnsi="Calibri"/>
            <w:b/>
            <w:color w:val="365F91"/>
            <w:sz w:val="22"/>
          </w:rPr>
          <w:t xml:space="preserve">BruinLearn under “Assignments.”</w:t>
        </w:r>
      </w:hyperlink>
      <w:r>
        <w:rPr>
          <w:rFonts w:ascii="Calibri" w:hAnsi="Calibri"/>
          <w:b w:val="0"/>
          <w:i w:val="0"/>
          <w:color w:val="1A1A1A"/>
          <w:sz w:val="22"/>
          <w:u w:val="none"/>
        </w:rPr>
        <w:t xml:space="preserve"> This course is almost entirely paperless, except for the occasional class handout. Please monitor the course pages regularly, as they carry the most up-to-date information on the reading assignments. I will make extensive use of e-mail to communicate with the class, so please check your e-mail regularly.</w:t>
      </w:r>
    </w:p>
    <w:p>
      <w:pPr>
        <w:spacing w:before="0" w:after="100"/>
        <w:jc w:val="both"/>
      </w:pPr>
      <w:r>
        <w:rPr>
          <w:rFonts w:ascii="Calibri" w:hAnsi="Calibri"/>
          <w:b w:val="0"/>
          <w:i w:val="0"/>
          <w:color w:val="1A1A1A"/>
          <w:sz w:val="22"/>
          <w:u w:val="none"/>
        </w:rPr>
        <w:t>In addition, an Excel workbook used in class is available on the class site.</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UCLA Center for Accessible Education (CAE)</w:t>
      </w:r>
    </w:p>
    <w:p>
      <w:pPr>
        <w:spacing w:before="0" w:after="80"/>
        <w:pBdr>
          <w:bottom w:val="single" w:sz="8" w:space="1" w:color="E09F3E"/>
        </w:pBdr>
      </w:pPr>
    </w:p>
    <w:p>
      <w:pPr>
        <w:spacing w:before="0" w:after="100"/>
        <w:jc w:val="both"/>
      </w:pPr>
      <w:r>
        <w:rPr>
          <w:rFonts w:ascii="Calibri" w:hAnsi="Calibri"/>
          <w:b w:val="0"/>
          <w:i w:val="0"/>
          <w:color w:val="1A1A1A"/>
          <w:sz w:val="22"/>
          <w:u w:val="none"/>
        </w:rPr>
        <w:t xml:space="preserve">The UCLA Center for Accessible Education (CAE) facilitates academic accommodations for regularly enrolled, matriculating students with documented permanent and temporary disabilities. Accommodations are designed to promote successful engagement in the UCLA academic experience. Students needing academic accommodations based on a disability should contact the Center for Accessible Education by using the “Contact Us Form” at </w:t>
      </w:r>
      <w:hyperlink r:id="rId21">
        <w:r>
          <w:rPr>
            <w:rFonts w:ascii="Calibri" w:hAnsi="Calibri"/>
            <w:b/>
            <w:color w:val="365F91"/>
            <w:sz w:val="22"/>
          </w:rPr>
          <w:t xml:space="preserve">cae.ucla.edu</w:t>
        </w:r>
      </w:hyperlink>
      <w:r>
        <w:rPr>
          <w:rFonts w:ascii="Calibri" w:hAnsi="Calibri"/>
          <w:b w:val="0"/>
          <w:i w:val="0"/>
          <w:color w:val="1A1A1A"/>
          <w:sz w:val="22"/>
          <w:u w:val="none"/>
        </w:rPr>
        <w:t xml:space="preserve"> or at (310) 825-1501. When possible, students should contact the CAE within the first two weeks of the term, as reasonable notice is needed to coordinate accommodations.</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Instructor Evaluation</w:t>
      </w:r>
    </w:p>
    <w:p>
      <w:pPr>
        <w:spacing w:before="0" w:after="80"/>
        <w:pBdr>
          <w:bottom w:val="single" w:sz="8" w:space="1" w:color="E09F3E"/>
        </w:pBdr>
      </w:pPr>
    </w:p>
    <w:p>
      <w:pPr>
        <w:spacing w:before="0" w:after="100"/>
        <w:jc w:val="both"/>
      </w:pPr>
      <w:r>
        <w:rPr>
          <w:rFonts w:ascii="Calibri" w:hAnsi="Calibri"/>
          <w:b w:val="0"/>
          <w:i w:val="0"/>
          <w:color w:val="1A1A1A"/>
          <w:sz w:val="22"/>
          <w:u w:val="none"/>
        </w:rPr>
        <w:t>At the midpoint of the class, your views about the course will be formally solicited using an online survey. There will also be a final course evaluation. You are free to contact me and discuss the course with me and offer suggestions for improvements at any time. I am always glad to receive feedback. In addition, an opportunity for providing me with anonymous feedback exists on BruinLearn.</w:t>
      </w:r>
    </w:p>
    <w:sectPr w:rsidR="00FC693F" w:rsidRPr="0006063C" w:rsidSect="00034616">
      <w:footerReference w:type="default" r:id="rId9"/>
      <w:pgSz w:w="12240" w:h="15840"/>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rFonts w:ascii="Calibri" w:hAnsi="Calibri"/>
        <w:b w:val="0"/>
        <w:i w:val="0"/>
        <w:color w:val="555B66"/>
        <w:sz w:val="18"/>
        <w:u w:val="none"/>
      </w:rPr>
      <w:t>MGMT 405 · Fall 2026</w:t>
      <w:tab/>
    </w:r>
    <w:r>
      <w:rPr>
        <w:rFonts w:ascii="Calibri" w:hAnsi="Calibri"/>
        <w:b w:val="0"/>
        <w:i w:val="0"/>
        <w:color w:val="555B66"/>
        <w:sz w:val="18"/>
        <w:u w:val="none"/>
      </w:rPr>
      <w:fldChar w:fldCharType="begin"/>
    </w:r>
    <w:r>
      <w:rPr>
        <w:rFonts w:ascii="Calibri" w:hAnsi="Calibri"/>
        <w:b w:val="0"/>
        <w:i w:val="0"/>
        <w:color w:val="555B66"/>
        <w:sz w:val="18"/>
        <w:u w:val="none"/>
      </w:rPr>
      <w:instrText xml:space="preserve"> PAGE </w:instrText>
    </w:r>
    <w:r>
      <w:rPr>
        <w:rFonts w:ascii="Calibri" w:hAnsi="Calibri"/>
        <w:b w:val="0"/>
        <w:i w:val="0"/>
        <w:color w:val="555B66"/>
        <w:sz w:val="18"/>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voigtla.github.io/MGMT-405-EMBA/" TargetMode="External"/><Relationship Id="rId11" Type="http://schemas.openxmlformats.org/officeDocument/2006/relationships/hyperlink" Target="https://nvoigtla.github.io/MGMT-405-EMBA/MGMT-405-Calendar-Fall-2026.pdf" TargetMode="External"/><Relationship Id="rId12" Type="http://schemas.openxmlformats.org/officeDocument/2006/relationships/hyperlink" Target="https://bruinlearn.ucla.edu/courses/237825" TargetMode="External"/><Relationship Id="rId13" Type="http://schemas.openxmlformats.org/officeDocument/2006/relationships/hyperlink" Target="https://ucla-anderson.hosted.panopto.com" TargetMode="External"/><Relationship Id="rId14" Type="http://schemas.openxmlformats.org/officeDocument/2006/relationships/hyperlink" Target="https://rafaelrubiao.github.io/mgmt405-practice/index.html" TargetMode="External"/><Relationship Id="rId15" Type="http://schemas.openxmlformats.org/officeDocument/2006/relationships/hyperlink" Target="http://www.wsj.com/studentoffer" TargetMode="External"/><Relationship Id="rId16" Type="http://schemas.openxmlformats.org/officeDocument/2006/relationships/hyperlink" Target="https://bruinlearn.ucla.edu/courses/195707?invitation=0GYbOXWd6mBK4bwem1dgAP7Jq2ad1PZo5Wp4kTYQ" TargetMode="External"/><Relationship Id="rId17" Type="http://schemas.openxmlformats.org/officeDocument/2006/relationships/hyperlink" Target="https://bruinlearn.ucla.edu/courses/195707/pages/econ-math-review-videos" TargetMode="External"/><Relationship Id="rId18" Type="http://schemas.openxmlformats.org/officeDocument/2006/relationships/hyperlink" Target="https://bruinlearn.ucla.edu/courses/237825/assignments" TargetMode="External"/><Relationship Id="rId19" Type="http://schemas.openxmlformats.org/officeDocument/2006/relationships/hyperlink" Target="https://bruinlearn.ucla.edu/courses/237825/external_tools/10996" TargetMode="External"/><Relationship Id="rId20" Type="http://schemas.openxmlformats.org/officeDocument/2006/relationships/hyperlink" Target="https://www.deanofstudents.ucla.edu/Academic-Integrity" TargetMode="External"/><Relationship Id="rId21" Type="http://schemas.openxmlformats.org/officeDocument/2006/relationships/hyperlink" Target="https://www.cae.ucl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