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BE4B14"/>
          <w:sz w:val="28"/>
        </w:rPr>
        <w:t>WEEK 5 TASK</w:t>
      </w:r>
    </w:p>
    <w:p>
      <w:pPr>
        <w:pStyle w:val="Title"/>
        <w:jc w:val="center"/>
      </w:pPr>
      <w:r>
        <w:t>SAP FICO TROUBLESHOOTING</w:t>
      </w:r>
    </w:p>
    <w:p>
      <w:pPr>
        <w:jc w:val="center"/>
      </w:pPr>
      <w:r>
        <w:rPr>
          <w:i/>
          <w:sz w:val="28"/>
        </w:rPr>
        <w:t>Common Issues, Possible Causes, and Practical Solutions</w:t>
      </w:r>
    </w:p>
    <w:p/>
    <w:tbl>
      <w:tblPr>
        <w:tblStyle w:val="LightShading-Accent2"/>
        <w:tblW w:type="auto" w:w="0"/>
        <w:jc w:val="center"/>
        <w:tblLook w:firstColumn="1" w:firstRow="1" w:lastColumn="0" w:lastRow="0" w:noHBand="0" w:noVBand="1" w:val="04A0"/>
      </w:tblPr>
      <w:tblGrid>
        <w:gridCol w:w="4896"/>
        <w:gridCol w:w="4896"/>
      </w:tblGrid>
      <w:tr>
        <w:trPr>
          <w:cantSplit/>
        </w:trPr>
        <w:tc>
          <w:tcPr>
            <w:tcW w:type="dxa" w:w="4896"/>
            <w:vAlign w:val="center"/>
          </w:tcPr>
          <w:p>
            <w:r>
              <w:rPr>
                <w:rFonts w:ascii="Arial" w:hAnsi="Arial"/>
                <w:sz w:val="20"/>
              </w:rPr>
              <w:t>Submitted by</w:t>
            </w:r>
          </w:p>
        </w:tc>
        <w:tc>
          <w:tcPr>
            <w:tcW w:type="dxa" w:w="4896"/>
            <w:vAlign w:val="center"/>
          </w:tcPr>
          <w:p>
            <w:r>
              <w:rPr>
                <w:rFonts w:ascii="Arial" w:hAnsi="Arial"/>
                <w:sz w:val="20"/>
              </w:rPr>
              <w:t>Venkata Sai Alekya Nerella</w:t>
            </w:r>
          </w:p>
        </w:tc>
      </w:tr>
      <w:tr>
        <w:trPr>
          <w:cantSplit/>
        </w:trPr>
        <w:tc>
          <w:tcPr>
            <w:tcW w:type="dxa" w:w="4896"/>
            <w:vAlign w:val="center"/>
          </w:tcPr>
          <w:p>
            <w:r>
              <w:rPr>
                <w:rFonts w:ascii="Arial" w:hAnsi="Arial"/>
                <w:sz w:val="20"/>
              </w:rPr>
              <w:t>Course / Branch</w:t>
            </w:r>
          </w:p>
        </w:tc>
        <w:tc>
          <w:tcPr>
            <w:tcW w:type="dxa" w:w="4896"/>
            <w:vAlign w:val="center"/>
          </w:tcPr>
          <w:p>
            <w:r>
              <w:rPr>
                <w:rFonts w:ascii="Arial" w:hAnsi="Arial"/>
                <w:sz w:val="20"/>
              </w:rPr>
              <w:t>B.Tech – Computer Science and Data Science</w:t>
            </w:r>
          </w:p>
        </w:tc>
      </w:tr>
      <w:tr>
        <w:trPr>
          <w:cantSplit/>
        </w:trPr>
        <w:tc>
          <w:tcPr>
            <w:tcW w:type="dxa" w:w="4896"/>
            <w:vAlign w:val="center"/>
          </w:tcPr>
          <w:p>
            <w:r>
              <w:rPr>
                <w:rFonts w:ascii="Arial" w:hAnsi="Arial"/>
                <w:sz w:val="20"/>
              </w:rPr>
              <w:t>Internship Task</w:t>
            </w:r>
          </w:p>
        </w:tc>
        <w:tc>
          <w:tcPr>
            <w:tcW w:type="dxa" w:w="4896"/>
            <w:vAlign w:val="center"/>
          </w:tcPr>
          <w:p>
            <w:r>
              <w:rPr>
                <w:rFonts w:ascii="Arial" w:hAnsi="Arial"/>
                <w:sz w:val="20"/>
              </w:rPr>
              <w:t>Week 5 – SAP FICO Troubleshooting</w:t>
            </w:r>
          </w:p>
        </w:tc>
      </w:tr>
      <w:tr>
        <w:trPr>
          <w:cantSplit/>
        </w:trPr>
        <w:tc>
          <w:tcPr>
            <w:tcW w:type="dxa" w:w="4896"/>
            <w:vAlign w:val="center"/>
          </w:tcPr>
          <w:p>
            <w:r>
              <w:rPr>
                <w:rFonts w:ascii="Arial" w:hAnsi="Arial"/>
                <w:sz w:val="20"/>
              </w:rPr>
              <w:t>Academic Year</w:t>
            </w:r>
          </w:p>
        </w:tc>
        <w:tc>
          <w:tcPr>
            <w:tcW w:type="dxa" w:w="4896"/>
            <w:vAlign w:val="center"/>
          </w:tcPr>
          <w:p>
            <w:r>
              <w:rPr>
                <w:rFonts w:ascii="Arial" w:hAnsi="Arial"/>
                <w:sz w:val="20"/>
              </w:rPr>
              <w:t>2026</w:t>
            </w:r>
          </w:p>
        </w:tc>
      </w:tr>
    </w:tbl>
    <w:p>
      <w:pPr>
        <w:jc w:val="center"/>
      </w:pPr>
      <w:r>
        <w:br/>
      </w:r>
      <w:r>
        <w:rPr>
          <w:i/>
        </w:rPr>
        <w:t>Prepared for learning and academic submission</w:t>
      </w:r>
    </w:p>
    <w:p>
      <w:r>
        <w:br w:type="page"/>
      </w:r>
    </w:p>
    <w:p>
      <w:pPr>
        <w:pStyle w:val="Heading1"/>
      </w:pPr>
      <w:r>
        <w:t>Abstract</w:t>
      </w:r>
    </w:p>
    <w:p>
      <w:r>
        <w:t>This report reviews common issues encountered while working with SAP Financial Accounting (FI) and Controlling (CO), collectively known as SAP FICO. It explains typical symptoms, possible causes, checks to perform and practical corrective actions. Topics include posting errors, closed posting periods, missing account determination, tax and currency differences, supplier and customer open items, payment blocks, bank reconciliation differences, asset accounting issues, cost centre errors, incorrect reports, authorisation problems and data migration concerns. The examples are general learning scenarios; exact messages and solutions depend on the SAP product version, configuration, company rules and user permissions. In a live business system, users should follow approved procedures and consult an authorised SAP support team before making changes.</w:t>
      </w:r>
    </w:p>
    <w:p>
      <w:pPr>
        <w:pStyle w:val="Heading1"/>
      </w:pPr>
      <w:r>
        <w:t>1. Introduction</w:t>
      </w:r>
    </w:p>
    <w:p>
      <w:r>
        <w:t>SAP FICO supports financial accounting and internal cost analysis. SAP FI is used to record financial transactions and prepare financial information, while SAP CO supports cost monitoring, planning and performance analysis. As transactions flow through purchasing, sales, inventory, banking and other processes, users may encounter errors or results that do not match expectations.</w:t>
      </w:r>
    </w:p>
    <w:p>
      <w:r>
        <w:t>Troubleshooting means identifying a problem, collecting relevant evidence, finding its likely cause, applying an approved correction and checking that the issue is resolved without creating new errors. A useful troubleshooting process avoids guesswork. Users should read the full error message, note the transaction or app used, check the company code and posting date, review relevant master data and configuration, and document the outcome.</w:t>
      </w:r>
    </w:p>
    <w:p>
      <w:pPr>
        <w:pStyle w:val="Heading1"/>
      </w:pPr>
      <w:r>
        <w:t>2. General Troubleshooting Method</w:t>
      </w:r>
    </w:p>
    <w:p>
      <w:r>
        <w:rPr>
          <w:b/>
        </w:rPr>
        <w:t xml:space="preserve">1. Identify the symptom: </w:t>
      </w:r>
      <w:r>
        <w:t>Record the full error text or message number, the business process, the affected document and when the issue occurred.</w:t>
      </w:r>
    </w:p>
    <w:p>
      <w:r>
        <w:rPr>
          <w:b/>
        </w:rPr>
        <w:t xml:space="preserve">2. Reproduce safely: </w:t>
      </w:r>
      <w:r>
        <w:t>If possible, repeat the action in a test or quality system rather than experimenting in production.</w:t>
      </w:r>
    </w:p>
    <w:p>
      <w:r>
        <w:rPr>
          <w:b/>
        </w:rPr>
        <w:t xml:space="preserve">3. Check basic data: </w:t>
      </w:r>
      <w:r>
        <w:t>Confirm company code, fiscal year, posting date, currency, account, supplier/customer, cost object and required fields.</w:t>
      </w:r>
    </w:p>
    <w:p>
      <w:r>
        <w:rPr>
          <w:b/>
        </w:rPr>
        <w:t xml:space="preserve">4. Review the process: </w:t>
      </w:r>
      <w:r>
        <w:t>Check whether the document is complete, approved, already posted, blocked or being processed by another user.</w:t>
      </w:r>
    </w:p>
    <w:p>
      <w:r>
        <w:rPr>
          <w:b/>
        </w:rPr>
        <w:t xml:space="preserve">5. Find the root cause: </w:t>
      </w:r>
      <w:r>
        <w:t>Use authorised display functions, application logs and relevant configuration documentation. Avoid changing settings without approval.</w:t>
      </w:r>
    </w:p>
    <w:p>
      <w:r>
        <w:rPr>
          <w:b/>
        </w:rPr>
        <w:t xml:space="preserve">6. Apply an approved fix: </w:t>
      </w:r>
      <w:r>
        <w:t>Correct the source data or follow the documented support procedure. Obtain approval where financial records or controls are affected.</w:t>
      </w:r>
    </w:p>
    <w:p>
      <w:r>
        <w:rPr>
          <w:b/>
        </w:rPr>
        <w:t xml:space="preserve">7. Validate and document: </w:t>
      </w:r>
      <w:r>
        <w:t>Retry the process, verify the resulting document and balances, and record the cause and resolution for future reference.</w:t>
      </w:r>
    </w:p>
    <w:p>
      <w:pPr>
        <w:pStyle w:val="Heading1"/>
      </w:pPr>
      <w:r>
        <w:t>3. Common SAP FICO Issues and Solutions</w:t>
      </w:r>
    </w:p>
    <w:p>
      <w:pPr>
        <w:pStyle w:val="Heading2"/>
      </w:pPr>
      <w:r>
        <w:t>3.1 Posting Period Is Closed</w:t>
      </w:r>
    </w:p>
    <w:p>
      <w:r>
        <w:t>Symptom: a journal entry or invoice cannot be posted because the posting period is not open for the selected date.</w:t>
      </w:r>
    </w:p>
    <w:p>
      <w:r>
        <w:t>Possible causes: the posting date falls in a closed period, the fiscal year or period was selected incorrectly, or the organisation has not opened the required period.</w:t>
      </w:r>
    </w:p>
    <w:p>
      <w:r>
        <w:t>Checks and solution: confirm the posting date and fiscal period. If the date is wrong, correct it only when the underlying business document supports the change. If the period genuinely needs to be opened, contact the authorised finance or SAP support team and follow the period-control policy. Do not change the date simply to bypass a control.</w:t>
      </w:r>
    </w:p>
    <w:p>
      <w:pPr>
        <w:pStyle w:val="Heading2"/>
      </w:pPr>
      <w:r>
        <w:t>3.2 G/L Account Missing or Not Valid</w:t>
      </w:r>
    </w:p>
    <w:p>
      <w:r>
        <w:t>Symptom: the system rejects a posting because an account is missing, blocked or not available for the company code.</w:t>
      </w:r>
    </w:p>
    <w:p>
      <w:r>
        <w:t>Possible causes: an incorrect account number, incomplete company-code data, a blocked account or an account that is not valid for the relevant date.</w:t>
      </w:r>
    </w:p>
    <w:p>
      <w:r>
        <w:t>Checks and solution: verify the account number and chart of accounts, then confirm that the account is created and permitted for the relevant company code and posting. Ask the authorised master-data team to make approved changes if needed.</w:t>
      </w:r>
    </w:p>
    <w:p>
      <w:pPr>
        <w:pStyle w:val="Heading2"/>
      </w:pPr>
      <w:r>
        <w:t>3.3 Account Determination Error</w:t>
      </w:r>
    </w:p>
    <w:p>
      <w:r>
        <w:t>Symptom: an integrated transaction, such as a goods movement or invoice, cannot determine the required G/L account.</w:t>
      </w:r>
    </w:p>
    <w:p>
      <w:r>
        <w:t>Possible causes: missing or incorrect automatic account determination, incomplete valuation settings or a mismatch between the transaction and configuration.</w:t>
      </w:r>
    </w:p>
    <w:p>
      <w:r>
        <w:t>Checks and solution: capture the exact message and business transaction, identify the relevant account-determination rule, and compare the setup with approved design documentation. A qualified SAP configuration specialist should correct the configuration in the appropriate environment and test the end-to-end posting.</w:t>
      </w:r>
    </w:p>
    <w:p>
      <w:pPr>
        <w:pStyle w:val="Heading2"/>
      </w:pPr>
      <w:r>
        <w:t>3.4 Tax Code or Tax Amount Is Incorrect</w:t>
      </w:r>
    </w:p>
    <w:p>
      <w:r>
        <w:t>Symptom: a supplier or customer invoice shows an unexpected tax amount or cannot be posted.</w:t>
      </w:r>
    </w:p>
    <w:p>
      <w:r>
        <w:t>Possible causes: an incorrect tax code, tax procedure settings, tax jurisdiction requirements, wrong taxable base or incorrect master-data assumptions.</w:t>
      </w:r>
    </w:p>
    <w:p>
      <w:r>
        <w:t>Checks and solution: verify the invoice, jurisdiction, tax code and taxable amount against company policy and applicable tax rules. Do not select a different tax code merely to force a successful posting. Escalate configuration issues to the tax or SAP support team.</w:t>
      </w:r>
    </w:p>
    <w:p>
      <w:pPr>
        <w:pStyle w:val="Heading2"/>
      </w:pPr>
      <w:r>
        <w:t>3.5 Currency or Exchange-Rate Difference</w:t>
      </w:r>
    </w:p>
    <w:p>
      <w:r>
        <w:t>Symptom: the local-currency amount differs from the expected amount or a foreign-currency transaction produces an unexpected exchange difference.</w:t>
      </w:r>
    </w:p>
    <w:p>
      <w:r>
        <w:t>Possible causes: an incorrect document currency, exchange rate, rate date, decimal interpretation or rounding rule.</w:t>
      </w:r>
    </w:p>
    <w:p>
      <w:r>
        <w:t>Checks and solution: confirm document currency, company-code currency, exchange-rate date and approved rate source. Review rounding and valuation settings with the finance team. Reversal or reposting should follow the documented correction procedure.</w:t>
      </w:r>
    </w:p>
    <w:p>
      <w:pPr>
        <w:pStyle w:val="Heading2"/>
      </w:pPr>
      <w:r>
        <w:t>3.6 Supplier Invoice Cannot Be Posted</w:t>
      </w:r>
    </w:p>
    <w:p>
      <w:r>
        <w:t>Symptom: an invoice is rejected or remains incomplete.</w:t>
      </w:r>
    </w:p>
    <w:p>
      <w:r>
        <w:t>Possible causes: missing required fields, an invalid supplier, a duplicate invoice, a mismatch with purchase order or goods receipt information, or an approval issue.</w:t>
      </w:r>
    </w:p>
    <w:p>
      <w:r>
        <w:t>Checks and solution: check supplier details, invoice date and reference, amount, tax, payment terms and required purchase-order references. Search for a possible duplicate before posting again. Resolve quantity or price differences with the responsible purchasing team.</w:t>
      </w:r>
    </w:p>
    <w:p>
      <w:pPr>
        <w:pStyle w:val="Heading2"/>
      </w:pPr>
      <w:r>
        <w:t>3.7 Customer Payment Does Not Clear an Invoice</w:t>
      </w:r>
    </w:p>
    <w:p>
      <w:r>
        <w:t>Symptom: an incoming payment is recorded, but the customer invoice remains open.</w:t>
      </w:r>
    </w:p>
    <w:p>
      <w:r>
        <w:t>Possible causes: the payment amount or reference does not match, the wrong customer account was selected, deductions are unresolved, or the payment has not been assigned to the open item.</w:t>
      </w:r>
    </w:p>
    <w:p>
      <w:r>
        <w:t>Checks and solution: confirm customer, currency, amount, reference and value date. Review open items and payment differences, then use the authorised clearing process. Do not clear unrelated invoices just to remove an open balance.</w:t>
      </w:r>
    </w:p>
    <w:p>
      <w:pPr>
        <w:pStyle w:val="Heading2"/>
      </w:pPr>
      <w:r>
        <w:t>3.8 Payment Run Skips an Invoice</w:t>
      </w:r>
    </w:p>
    <w:p>
      <w:r>
        <w:t>Symptom: an approved supplier invoice is not selected in a payment proposal or payment run.</w:t>
      </w:r>
    </w:p>
    <w:p>
      <w:r>
        <w:t>Possible causes: payment block, future due date, missing payment method, invalid bank details, payment terms or payment-run parameters.</w:t>
      </w:r>
    </w:p>
    <w:p>
      <w:r>
        <w:t>Checks and solution: review the proposal log and supplier invoice details. Confirm the due date, payment method, bank information and any block reason. Remove a block only after the responsible person approves it; then rerun the proposal according to company procedure.</w:t>
      </w:r>
    </w:p>
    <w:p>
      <w:pPr>
        <w:pStyle w:val="Heading2"/>
      </w:pPr>
      <w:r>
        <w:t>3.9 Bank Reconciliation Difference</w:t>
      </w:r>
    </w:p>
    <w:p>
      <w:r>
        <w:t>Symptom: the bank statement balance does not match the accounting balance, or statement items remain unmatched.</w:t>
      </w:r>
    </w:p>
    <w:p>
      <w:r>
        <w:t>Possible causes: timing differences, missing bank charges, duplicate entries, incorrect posting dates, unrecorded transactions or reference mismatches.</w:t>
      </w:r>
    </w:p>
    <w:p>
      <w:r>
        <w:t>Checks and solution: compare the bank statement with the cash account and open items. Investigate each unmatched transaction and record valid missing entries through the approved process. Do not create unsupported entries simply to force the balances to agree.</w:t>
      </w:r>
    </w:p>
    <w:p>
      <w:pPr>
        <w:pStyle w:val="Heading2"/>
      </w:pPr>
      <w:r>
        <w:t>3.10 Asset Depreciation Is Missing or Unexpected</w:t>
      </w:r>
    </w:p>
    <w:p>
      <w:r>
        <w:t>Symptom: depreciation is not posted, or the calculated amount differs from expectations.</w:t>
      </w:r>
    </w:p>
    <w:p>
      <w:r>
        <w:t>Possible causes: incorrect asset useful life, depreciation key, capitalisation date, asset status, depreciation area or period settings.</w:t>
      </w:r>
    </w:p>
    <w:p>
      <w:r>
        <w:t>Checks and solution: review the asset master data, depreciation terms, acquisition postings and depreciation run log. Ask the asset accounting specialist to approve any correction and test the result before posting.</w:t>
      </w:r>
    </w:p>
    <w:p>
      <w:pPr>
        <w:pStyle w:val="Heading2"/>
      </w:pPr>
      <w:r>
        <w:t>3.11 Cost Centre or Internal Order Error</w:t>
      </w:r>
    </w:p>
    <w:p>
      <w:r>
        <w:t>Symptom: a cost cannot be posted to the selected cost centre or internal order, or a report shows costs in an unexpected place.</w:t>
      </w:r>
    </w:p>
    <w:p>
      <w:r>
        <w:t>Possible causes: invalid or expired cost object, missing required account assignment, closed status, incorrect validity dates or wrong master data.</w:t>
      </w:r>
    </w:p>
    <w:p>
      <w:r>
        <w:t>Checks and solution: verify the cost object, validity period, status and required fields. Confirm the intended assignment with the budget owner. Correct the source document or master data only through authorised procedures.</w:t>
      </w:r>
    </w:p>
    <w:p>
      <w:pPr>
        <w:pStyle w:val="Heading2"/>
      </w:pPr>
      <w:r>
        <w:t>3.12 Report Values Do Not Match Expectations</w:t>
      </w:r>
    </w:p>
    <w:p>
      <w:r>
        <w:t>Symptom: totals in a report differ from another report or from a spreadsheet.</w:t>
      </w:r>
    </w:p>
    <w:p>
      <w:r>
        <w:t>Possible causes: different date ranges, company codes, currencies, ledger settings, filters, report variants, refresh times or differences between posted and planned data.</w:t>
      </w:r>
    </w:p>
    <w:p>
      <w:r>
        <w:t>Checks and solution: compare the selection criteria and reporting period first. Confirm whether the reports show the same ledger, currency, organisational scope and data type. Drill down to account line items and reconcile the source of the difference before assuming the system is wrong.</w:t>
      </w:r>
    </w:p>
    <w:p>
      <w:pPr>
        <w:pStyle w:val="Heading2"/>
      </w:pPr>
      <w:r>
        <w:t>3.13 User Cannot Access a Transaction or App</w:t>
      </w:r>
    </w:p>
    <w:p>
      <w:r>
        <w:t>Symptom: a user receives an authorisation error or cannot see a required function.</w:t>
      </w:r>
    </w:p>
    <w:p>
      <w:r>
        <w:t>Possible causes: the user role does not include the needed permission, organisational restrictions apply, or access has not been assigned correctly.</w:t>
      </w:r>
    </w:p>
    <w:p>
      <w:r>
        <w:t>Checks and solution: record the exact message and the business task required. Request a role review through the organisation’s access-management process. Access should be granted according to least-privilege and segregation-of-duties rules; users should never borrow another person’s login.</w:t>
      </w:r>
    </w:p>
    <w:p>
      <w:pPr>
        <w:pStyle w:val="Heading2"/>
      </w:pPr>
      <w:r>
        <w:t>3.14 Data Migration or Master-Data Problem</w:t>
      </w:r>
    </w:p>
    <w:p>
      <w:r>
        <w:t>Symptom: a migrated supplier, customer, account or opening balance is missing, duplicated or inconsistent.</w:t>
      </w:r>
    </w:p>
    <w:p>
      <w:r>
        <w:t>Possible causes: incomplete source data, mapping errors, invalid formats, duplicate records or failed validation.</w:t>
      </w:r>
    </w:p>
    <w:p>
      <w:r>
        <w:t>Checks and solution: compare the source record with migration logs and reconciliation totals. Identify whether the issue is in source data, mapping or loading. Correct the source or mapping through controlled procedures, reload only as approved, and reconcile totals before accepting the result.</w:t>
      </w:r>
    </w:p>
    <w:p>
      <w:pPr>
        <w:pStyle w:val="Heading1"/>
      </w:pPr>
      <w:r>
        <w:t>4. Summary Table</w:t>
      </w:r>
    </w:p>
    <w:tbl>
      <w:tblPr>
        <w:tblStyle w:val="LightShading-Accent2"/>
        <w:tblW w:type="auto" w:w="0"/>
        <w:jc w:val="center"/>
        <w:tblLook w:firstColumn="1" w:firstRow="1" w:lastColumn="0" w:lastRow="0" w:noHBand="0" w:noVBand="1" w:val="04A0"/>
      </w:tblPr>
      <w:tblGrid>
        <w:gridCol w:w="3264"/>
        <w:gridCol w:w="3264"/>
        <w:gridCol w:w="3264"/>
      </w:tblGrid>
      <w:tr>
        <w:trPr>
          <w:cantSplit/>
        </w:trPr>
        <w:tc>
          <w:tcPr>
            <w:tcW w:type="dxa" w:w="3264"/>
            <w:vAlign w:val="center"/>
          </w:tcPr>
          <w:p>
            <w:r>
              <w:rPr>
                <w:b/>
                <w:sz w:val="17"/>
              </w:rPr>
              <w:t>Issue</w:t>
            </w:r>
          </w:p>
        </w:tc>
        <w:tc>
          <w:tcPr>
            <w:tcW w:type="dxa" w:w="3264"/>
            <w:vAlign w:val="center"/>
          </w:tcPr>
          <w:p>
            <w:r>
              <w:rPr>
                <w:b/>
                <w:sz w:val="17"/>
              </w:rPr>
              <w:t>First checks</w:t>
            </w:r>
          </w:p>
        </w:tc>
        <w:tc>
          <w:tcPr>
            <w:tcW w:type="dxa" w:w="3264"/>
            <w:vAlign w:val="center"/>
          </w:tcPr>
          <w:p>
            <w:r>
              <w:rPr>
                <w:b/>
                <w:sz w:val="17"/>
              </w:rPr>
              <w:t>Typical next action</w:t>
            </w:r>
          </w:p>
        </w:tc>
      </w:tr>
      <w:tr>
        <w:trPr>
          <w:cantSplit/>
        </w:trPr>
        <w:tc>
          <w:tcPr>
            <w:tcW w:type="dxa" w:w="3264"/>
            <w:vAlign w:val="center"/>
          </w:tcPr>
          <w:p>
            <w:r>
              <w:rPr>
                <w:sz w:val="17"/>
              </w:rPr>
              <w:t>Closed posting period</w:t>
            </w:r>
          </w:p>
        </w:tc>
        <w:tc>
          <w:tcPr>
            <w:tcW w:type="dxa" w:w="3264"/>
            <w:vAlign w:val="center"/>
          </w:tcPr>
          <w:p>
            <w:r>
              <w:rPr>
                <w:sz w:val="17"/>
              </w:rPr>
              <w:t>Posting date and fiscal period</w:t>
            </w:r>
          </w:p>
        </w:tc>
        <w:tc>
          <w:tcPr>
            <w:tcW w:type="dxa" w:w="3264"/>
            <w:vAlign w:val="center"/>
          </w:tcPr>
          <w:p>
            <w:r>
              <w:rPr>
                <w:sz w:val="17"/>
              </w:rPr>
              <w:t>Use correct date or request authorised period opening</w:t>
            </w:r>
          </w:p>
        </w:tc>
      </w:tr>
      <w:tr>
        <w:trPr>
          <w:cantSplit/>
        </w:trPr>
        <w:tc>
          <w:tcPr>
            <w:tcW w:type="dxa" w:w="3264"/>
            <w:vAlign w:val="center"/>
          </w:tcPr>
          <w:p>
            <w:r>
              <w:rPr>
                <w:sz w:val="17"/>
              </w:rPr>
              <w:t>G/L account error</w:t>
            </w:r>
          </w:p>
        </w:tc>
        <w:tc>
          <w:tcPr>
            <w:tcW w:type="dxa" w:w="3264"/>
            <w:vAlign w:val="center"/>
          </w:tcPr>
          <w:p>
            <w:r>
              <w:rPr>
                <w:sz w:val="17"/>
              </w:rPr>
              <w:t>Account number and company-code data</w:t>
            </w:r>
          </w:p>
        </w:tc>
        <w:tc>
          <w:tcPr>
            <w:tcW w:type="dxa" w:w="3264"/>
            <w:vAlign w:val="center"/>
          </w:tcPr>
          <w:p>
            <w:r>
              <w:rPr>
                <w:sz w:val="17"/>
              </w:rPr>
              <w:t>Correct selection or request master-data update</w:t>
            </w:r>
          </w:p>
        </w:tc>
      </w:tr>
      <w:tr>
        <w:trPr>
          <w:cantSplit/>
        </w:trPr>
        <w:tc>
          <w:tcPr>
            <w:tcW w:type="dxa" w:w="3264"/>
            <w:vAlign w:val="center"/>
          </w:tcPr>
          <w:p>
            <w:r>
              <w:rPr>
                <w:sz w:val="17"/>
              </w:rPr>
              <w:t>Account determination</w:t>
            </w:r>
          </w:p>
        </w:tc>
        <w:tc>
          <w:tcPr>
            <w:tcW w:type="dxa" w:w="3264"/>
            <w:vAlign w:val="center"/>
          </w:tcPr>
          <w:p>
            <w:r>
              <w:rPr>
                <w:sz w:val="17"/>
              </w:rPr>
              <w:t>Full message and transaction type</w:t>
            </w:r>
          </w:p>
        </w:tc>
        <w:tc>
          <w:tcPr>
            <w:tcW w:type="dxa" w:w="3264"/>
            <w:vAlign w:val="center"/>
          </w:tcPr>
          <w:p>
            <w:r>
              <w:rPr>
                <w:sz w:val="17"/>
              </w:rPr>
              <w:t>Escalate to authorised configuration specialist</w:t>
            </w:r>
          </w:p>
        </w:tc>
      </w:tr>
      <w:tr>
        <w:trPr>
          <w:cantSplit/>
        </w:trPr>
        <w:tc>
          <w:tcPr>
            <w:tcW w:type="dxa" w:w="3264"/>
            <w:vAlign w:val="center"/>
          </w:tcPr>
          <w:p>
            <w:r>
              <w:rPr>
                <w:sz w:val="17"/>
              </w:rPr>
              <w:t>Tax issue</w:t>
            </w:r>
          </w:p>
        </w:tc>
        <w:tc>
          <w:tcPr>
            <w:tcW w:type="dxa" w:w="3264"/>
            <w:vAlign w:val="center"/>
          </w:tcPr>
          <w:p>
            <w:r>
              <w:rPr>
                <w:sz w:val="17"/>
              </w:rPr>
              <w:t>Tax code, base and jurisdiction</w:t>
            </w:r>
          </w:p>
        </w:tc>
        <w:tc>
          <w:tcPr>
            <w:tcW w:type="dxa" w:w="3264"/>
            <w:vAlign w:val="center"/>
          </w:tcPr>
          <w:p>
            <w:r>
              <w:rPr>
                <w:sz w:val="17"/>
              </w:rPr>
              <w:t>Validate with tax/finance team</w:t>
            </w:r>
          </w:p>
        </w:tc>
      </w:tr>
      <w:tr>
        <w:trPr>
          <w:cantSplit/>
        </w:trPr>
        <w:tc>
          <w:tcPr>
            <w:tcW w:type="dxa" w:w="3264"/>
            <w:vAlign w:val="center"/>
          </w:tcPr>
          <w:p>
            <w:r>
              <w:rPr>
                <w:sz w:val="17"/>
              </w:rPr>
              <w:t>Currency difference</w:t>
            </w:r>
          </w:p>
        </w:tc>
        <w:tc>
          <w:tcPr>
            <w:tcW w:type="dxa" w:w="3264"/>
            <w:vAlign w:val="center"/>
          </w:tcPr>
          <w:p>
            <w:r>
              <w:rPr>
                <w:sz w:val="17"/>
              </w:rPr>
              <w:t>Currency, rate and rate date</w:t>
            </w:r>
          </w:p>
        </w:tc>
        <w:tc>
          <w:tcPr>
            <w:tcW w:type="dxa" w:w="3264"/>
            <w:vAlign w:val="center"/>
          </w:tcPr>
          <w:p>
            <w:r>
              <w:rPr>
                <w:sz w:val="17"/>
              </w:rPr>
              <w:t>Verify approved exchange-rate source</w:t>
            </w:r>
          </w:p>
        </w:tc>
      </w:tr>
      <w:tr>
        <w:trPr>
          <w:cantSplit/>
        </w:trPr>
        <w:tc>
          <w:tcPr>
            <w:tcW w:type="dxa" w:w="3264"/>
            <w:vAlign w:val="center"/>
          </w:tcPr>
          <w:p>
            <w:r>
              <w:rPr>
                <w:sz w:val="17"/>
              </w:rPr>
              <w:t>Invoice error</w:t>
            </w:r>
          </w:p>
        </w:tc>
        <w:tc>
          <w:tcPr>
            <w:tcW w:type="dxa" w:w="3264"/>
            <w:vAlign w:val="center"/>
          </w:tcPr>
          <w:p>
            <w:r>
              <w:rPr>
                <w:sz w:val="17"/>
              </w:rPr>
              <w:t>Supplier, reference, amount and PO match</w:t>
            </w:r>
          </w:p>
        </w:tc>
        <w:tc>
          <w:tcPr>
            <w:tcW w:type="dxa" w:w="3264"/>
            <w:vAlign w:val="center"/>
          </w:tcPr>
          <w:p>
            <w:r>
              <w:rPr>
                <w:sz w:val="17"/>
              </w:rPr>
              <w:t>Correct source data; check duplicates</w:t>
            </w:r>
          </w:p>
        </w:tc>
      </w:tr>
      <w:tr>
        <w:trPr>
          <w:cantSplit/>
        </w:trPr>
        <w:tc>
          <w:tcPr>
            <w:tcW w:type="dxa" w:w="3264"/>
            <w:vAlign w:val="center"/>
          </w:tcPr>
          <w:p>
            <w:r>
              <w:rPr>
                <w:sz w:val="17"/>
              </w:rPr>
              <w:t>Payment not clearing</w:t>
            </w:r>
          </w:p>
        </w:tc>
        <w:tc>
          <w:tcPr>
            <w:tcW w:type="dxa" w:w="3264"/>
            <w:vAlign w:val="center"/>
          </w:tcPr>
          <w:p>
            <w:r>
              <w:rPr>
                <w:sz w:val="17"/>
              </w:rPr>
              <w:t>Customer, amount, reference and open items</w:t>
            </w:r>
          </w:p>
        </w:tc>
        <w:tc>
          <w:tcPr>
            <w:tcW w:type="dxa" w:w="3264"/>
            <w:vAlign w:val="center"/>
          </w:tcPr>
          <w:p>
            <w:r>
              <w:rPr>
                <w:sz w:val="17"/>
              </w:rPr>
              <w:t>Use authorised clearing process</w:t>
            </w:r>
          </w:p>
        </w:tc>
      </w:tr>
      <w:tr>
        <w:trPr>
          <w:cantSplit/>
        </w:trPr>
        <w:tc>
          <w:tcPr>
            <w:tcW w:type="dxa" w:w="3264"/>
            <w:vAlign w:val="center"/>
          </w:tcPr>
          <w:p>
            <w:r>
              <w:rPr>
                <w:sz w:val="17"/>
              </w:rPr>
              <w:t>Payment proposal skip</w:t>
            </w:r>
          </w:p>
        </w:tc>
        <w:tc>
          <w:tcPr>
            <w:tcW w:type="dxa" w:w="3264"/>
            <w:vAlign w:val="center"/>
          </w:tcPr>
          <w:p>
            <w:r>
              <w:rPr>
                <w:sz w:val="17"/>
              </w:rPr>
              <w:t>Due date, block and payment method</w:t>
            </w:r>
          </w:p>
        </w:tc>
        <w:tc>
          <w:tcPr>
            <w:tcW w:type="dxa" w:w="3264"/>
            <w:vAlign w:val="center"/>
          </w:tcPr>
          <w:p>
            <w:r>
              <w:rPr>
                <w:sz w:val="17"/>
              </w:rPr>
              <w:t>Resolve approved block or master-data issue</w:t>
            </w:r>
          </w:p>
        </w:tc>
      </w:tr>
      <w:tr>
        <w:trPr>
          <w:cantSplit/>
        </w:trPr>
        <w:tc>
          <w:tcPr>
            <w:tcW w:type="dxa" w:w="3264"/>
            <w:vAlign w:val="center"/>
          </w:tcPr>
          <w:p>
            <w:r>
              <w:rPr>
                <w:sz w:val="17"/>
              </w:rPr>
              <w:t>Bank difference</w:t>
            </w:r>
          </w:p>
        </w:tc>
        <w:tc>
          <w:tcPr>
            <w:tcW w:type="dxa" w:w="3264"/>
            <w:vAlign w:val="center"/>
          </w:tcPr>
          <w:p>
            <w:r>
              <w:rPr>
                <w:sz w:val="17"/>
              </w:rPr>
              <w:t>Statement items and cash account</w:t>
            </w:r>
          </w:p>
        </w:tc>
        <w:tc>
          <w:tcPr>
            <w:tcW w:type="dxa" w:w="3264"/>
            <w:vAlign w:val="center"/>
          </w:tcPr>
          <w:p>
            <w:r>
              <w:rPr>
                <w:sz w:val="17"/>
              </w:rPr>
              <w:t>Investigate unmatched transactions</w:t>
            </w:r>
          </w:p>
        </w:tc>
      </w:tr>
      <w:tr>
        <w:trPr>
          <w:cantSplit/>
        </w:trPr>
        <w:tc>
          <w:tcPr>
            <w:tcW w:type="dxa" w:w="3264"/>
            <w:vAlign w:val="center"/>
          </w:tcPr>
          <w:p>
            <w:r>
              <w:rPr>
                <w:sz w:val="17"/>
              </w:rPr>
              <w:t>Depreciation issue</w:t>
            </w:r>
          </w:p>
        </w:tc>
        <w:tc>
          <w:tcPr>
            <w:tcW w:type="dxa" w:w="3264"/>
            <w:vAlign w:val="center"/>
          </w:tcPr>
          <w:p>
            <w:r>
              <w:rPr>
                <w:sz w:val="17"/>
              </w:rPr>
              <w:t>Asset terms and run log</w:t>
            </w:r>
          </w:p>
        </w:tc>
        <w:tc>
          <w:tcPr>
            <w:tcW w:type="dxa" w:w="3264"/>
            <w:vAlign w:val="center"/>
          </w:tcPr>
          <w:p>
            <w:r>
              <w:rPr>
                <w:sz w:val="17"/>
              </w:rPr>
              <w:t>Review with asset accounting specialist</w:t>
            </w:r>
          </w:p>
        </w:tc>
      </w:tr>
      <w:tr>
        <w:trPr>
          <w:cantSplit/>
        </w:trPr>
        <w:tc>
          <w:tcPr>
            <w:tcW w:type="dxa" w:w="3264"/>
            <w:vAlign w:val="center"/>
          </w:tcPr>
          <w:p>
            <w:r>
              <w:rPr>
                <w:sz w:val="17"/>
              </w:rPr>
              <w:t>Cost object issue</w:t>
            </w:r>
          </w:p>
        </w:tc>
        <w:tc>
          <w:tcPr>
            <w:tcW w:type="dxa" w:w="3264"/>
            <w:vAlign w:val="center"/>
          </w:tcPr>
          <w:p>
            <w:r>
              <w:rPr>
                <w:sz w:val="17"/>
              </w:rPr>
              <w:t>Validity, status and account assignment</w:t>
            </w:r>
          </w:p>
        </w:tc>
        <w:tc>
          <w:tcPr>
            <w:tcW w:type="dxa" w:w="3264"/>
            <w:vAlign w:val="center"/>
          </w:tcPr>
          <w:p>
            <w:r>
              <w:rPr>
                <w:sz w:val="17"/>
              </w:rPr>
              <w:t>Confirm assignment and approved master data</w:t>
            </w:r>
          </w:p>
        </w:tc>
      </w:tr>
      <w:tr>
        <w:trPr>
          <w:cantSplit/>
        </w:trPr>
        <w:tc>
          <w:tcPr>
            <w:tcW w:type="dxa" w:w="3264"/>
            <w:vAlign w:val="center"/>
          </w:tcPr>
          <w:p>
            <w:r>
              <w:rPr>
                <w:sz w:val="17"/>
              </w:rPr>
              <w:t>Report mismatch</w:t>
            </w:r>
          </w:p>
        </w:tc>
        <w:tc>
          <w:tcPr>
            <w:tcW w:type="dxa" w:w="3264"/>
            <w:vAlign w:val="center"/>
          </w:tcPr>
          <w:p>
            <w:r>
              <w:rPr>
                <w:sz w:val="17"/>
              </w:rPr>
              <w:t>Period, filters, currency and ledger</w:t>
            </w:r>
          </w:p>
        </w:tc>
        <w:tc>
          <w:tcPr>
            <w:tcW w:type="dxa" w:w="3264"/>
            <w:vAlign w:val="center"/>
          </w:tcPr>
          <w:p>
            <w:r>
              <w:rPr>
                <w:sz w:val="17"/>
              </w:rPr>
              <w:t>Align selections and reconcile line items</w:t>
            </w:r>
          </w:p>
        </w:tc>
      </w:tr>
      <w:tr>
        <w:trPr>
          <w:cantSplit/>
        </w:trPr>
        <w:tc>
          <w:tcPr>
            <w:tcW w:type="dxa" w:w="3264"/>
            <w:vAlign w:val="center"/>
          </w:tcPr>
          <w:p>
            <w:r>
              <w:rPr>
                <w:sz w:val="17"/>
              </w:rPr>
              <w:t>Access error</w:t>
            </w:r>
          </w:p>
        </w:tc>
        <w:tc>
          <w:tcPr>
            <w:tcW w:type="dxa" w:w="3264"/>
            <w:vAlign w:val="center"/>
          </w:tcPr>
          <w:p>
            <w:r>
              <w:rPr>
                <w:sz w:val="17"/>
              </w:rPr>
              <w:t>Exact message and required task</w:t>
            </w:r>
          </w:p>
        </w:tc>
        <w:tc>
          <w:tcPr>
            <w:tcW w:type="dxa" w:w="3264"/>
            <w:vAlign w:val="center"/>
          </w:tcPr>
          <w:p>
            <w:r>
              <w:rPr>
                <w:sz w:val="17"/>
              </w:rPr>
              <w:t>Request access review</w:t>
            </w:r>
          </w:p>
        </w:tc>
      </w:tr>
      <w:tr>
        <w:trPr>
          <w:cantSplit/>
        </w:trPr>
        <w:tc>
          <w:tcPr>
            <w:tcW w:type="dxa" w:w="3264"/>
            <w:vAlign w:val="center"/>
          </w:tcPr>
          <w:p>
            <w:r>
              <w:rPr>
                <w:sz w:val="17"/>
              </w:rPr>
              <w:t>Migration issue</w:t>
            </w:r>
          </w:p>
        </w:tc>
        <w:tc>
          <w:tcPr>
            <w:tcW w:type="dxa" w:w="3264"/>
            <w:vAlign w:val="center"/>
          </w:tcPr>
          <w:p>
            <w:r>
              <w:rPr>
                <w:sz w:val="17"/>
              </w:rPr>
              <w:t>Source data and migration log</w:t>
            </w:r>
          </w:p>
        </w:tc>
        <w:tc>
          <w:tcPr>
            <w:tcW w:type="dxa" w:w="3264"/>
            <w:vAlign w:val="center"/>
          </w:tcPr>
          <w:p>
            <w:r>
              <w:rPr>
                <w:sz w:val="17"/>
              </w:rPr>
              <w:t>Correct mapping/data and reconcile</w:t>
            </w:r>
          </w:p>
        </w:tc>
      </w:tr>
    </w:tbl>
    <w:p>
      <w:pPr>
        <w:pStyle w:val="Heading1"/>
      </w:pPr>
      <w:r>
        <w:t>5. Preventive Measures</w:t>
      </w:r>
    </w:p>
    <w:p>
      <w:pPr>
        <w:pStyle w:val="ListBullet"/>
      </w:pPr>
      <w:r>
        <w:t>Maintain accurate supplier, customer, G/L and cost-object master data.</w:t>
      </w:r>
    </w:p>
    <w:p>
      <w:pPr>
        <w:pStyle w:val="ListBullet"/>
      </w:pPr>
      <w:r>
        <w:t>Train users to select correct company codes, dates, currencies and account assignments.</w:t>
      </w:r>
    </w:p>
    <w:p>
      <w:pPr>
        <w:pStyle w:val="ListBullet"/>
      </w:pPr>
      <w:r>
        <w:t>Use test systems and approved change-management procedures for configuration changes.</w:t>
      </w:r>
    </w:p>
    <w:p>
      <w:pPr>
        <w:pStyle w:val="ListBullet"/>
      </w:pPr>
      <w:r>
        <w:t>Review error logs and recurring issues to identify root causes rather than repeatedly applying workarounds.</w:t>
      </w:r>
    </w:p>
    <w:p>
      <w:pPr>
        <w:pStyle w:val="ListBullet"/>
      </w:pPr>
      <w:r>
        <w:t>Reconcile bank, supplier, customer and ledger balances regularly.</w:t>
      </w:r>
    </w:p>
    <w:p>
      <w:pPr>
        <w:pStyle w:val="ListBullet"/>
      </w:pPr>
      <w:r>
        <w:t>Protect segregation of duties and grant access based on job responsibilities.</w:t>
      </w:r>
    </w:p>
    <w:p>
      <w:pPr>
        <w:pStyle w:val="ListBullet"/>
      </w:pPr>
      <w:r>
        <w:t>Keep written procedures for period-end closing, payment processing, reversals and corrections.</w:t>
      </w:r>
    </w:p>
    <w:p>
      <w:pPr>
        <w:pStyle w:val="ListBullet"/>
      </w:pPr>
      <w:r>
        <w:t>Document incidents, fixes, approvals and test results so that support teams can reuse the knowledge.</w:t>
      </w:r>
    </w:p>
    <w:p>
      <w:pPr>
        <w:pStyle w:val="Heading1"/>
      </w:pPr>
      <w:r>
        <w:t>6. Important Safety and Control Notes</w:t>
      </w:r>
    </w:p>
    <w:p>
      <w:r>
        <w:t>Financial postings and configuration changes can affect statutory reporting, payments and audit evidence. Do not change production settings, open closed periods, alter tax settings, remove payment blocks, or reverse documents without proper authority. First determine whether the issue is caused by user input, source data, configuration, authorisation or a system defect. Follow the organisation’s escalation path and retain supporting evidence.</w:t>
      </w:r>
    </w:p>
    <w:p>
      <w:pPr>
        <w:pStyle w:val="Heading1"/>
      </w:pPr>
      <w:r>
        <w:t>7. Conclusion</w:t>
      </w:r>
    </w:p>
    <w:p>
      <w:r>
        <w:t>Troubleshooting SAP FICO requires a structured approach: understand the error, check the relevant data and process, identify the root cause, apply an approved correction and validate the result. Common problems involve posting periods, G/L accounts, account determination, tax, currency, supplier invoices, customer clearing, payment runs, bank reconciliation, asset depreciation, cost objects, reports, authorisations and migration. Many issues can be diagnosed by checking dates, master data, selection criteria and application logs, while configuration and financial-control changes require authorised specialists. Good documentation, regular reconciliation, user training and strong access controls reduce repeat incidents and help maintain reliable financial information.</w:t>
      </w:r>
    </w:p>
    <w:p>
      <w:pPr>
        <w:pStyle w:val="Heading1"/>
      </w:pPr>
      <w:r>
        <w:t>References</w:t>
      </w:r>
    </w:p>
    <w:p>
      <w:pPr>
        <w:pStyle w:val="ListNumber"/>
      </w:pPr>
      <w:r>
        <w:t>SAP Help Portal. SAP S/4HANA documentation. https://help.sap.com/ (Accessed 18 October 2026).</w:t>
      </w:r>
    </w:p>
    <w:p>
      <w:pPr>
        <w:pStyle w:val="ListNumber"/>
      </w:pPr>
      <w:r>
        <w:t>SAP Learning. Learning journeys and training resources. https://learning.sap.com/ (Accessed 18 October 2026).</w:t>
      </w:r>
    </w:p>
    <w:p>
      <w:pPr>
        <w:pStyle w:val="ListNumber"/>
      </w:pPr>
      <w:r>
        <w:t>SAP Community. SAP discussions and knowledge resources. https://community.sap.com/ (Accessed 18 October 2026).</w:t>
      </w:r>
    </w:p>
    <w:p>
      <w:pPr>
        <w:pStyle w:val="Heading1"/>
      </w:pPr>
      <w:r>
        <w:t>Appendix: Troubleshooting Checklist</w:t>
      </w:r>
    </w:p>
    <w:p>
      <w:r>
        <w:t>☐ Capture the full error message and any message number.</w:t>
      </w:r>
    </w:p>
    <w:p>
      <w:r>
        <w:t>☐ Confirm company code, posting date, fiscal year and currency.</w:t>
      </w:r>
    </w:p>
    <w:p>
      <w:r>
        <w:t>☐ Check relevant master data and mandatory fields.</w:t>
      </w:r>
    </w:p>
    <w:p>
      <w:r>
        <w:t>☐ Review logs, status, approval and authorisation.</w:t>
      </w:r>
    </w:p>
    <w:p>
      <w:r>
        <w:t>☐ Compare report filters and selection criteria where relevant.</w:t>
      </w:r>
    </w:p>
    <w:p>
      <w:r>
        <w:t>☐ Do not bypass financial controls or make unapproved production changes.</w:t>
      </w:r>
    </w:p>
    <w:p>
      <w:r>
        <w:t>☐ Escalate configuration or tax questions to the authorised support team.</w:t>
      </w:r>
    </w:p>
    <w:p>
      <w:r>
        <w:t>☐ Verify the correction and document the outcome.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SAP FICO Troubleshooting – Study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5 INTERNSHIP TASK  |  SAP FICO TROUBLESHOOTING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BE4B1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BE4B1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