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6D443" w14:textId="77777777" w:rsidR="000211E2" w:rsidRPr="000211E2" w:rsidRDefault="000211E2" w:rsidP="000211E2">
      <w:pPr>
        <w:rPr>
          <w:rFonts w:ascii="Times New Roman" w:hAnsi="Times New Roman" w:cs="Times New Roman"/>
          <w:b/>
          <w:bCs/>
          <w:sz w:val="30"/>
          <w:szCs w:val="30"/>
          <w:lang w:val="en-IN"/>
        </w:rPr>
      </w:pPr>
      <w:r w:rsidRPr="000211E2">
        <w:rPr>
          <w:rFonts w:ascii="Times New Roman" w:hAnsi="Times New Roman" w:cs="Times New Roman"/>
          <w:b/>
          <w:bCs/>
          <w:sz w:val="30"/>
          <w:szCs w:val="30"/>
          <w:lang w:val="en-IN"/>
        </w:rPr>
        <w:t>BUSINESS INSIGHTS REPORT: STRATEGIC IPO PERFORMANCE ANALYSIS</w:t>
      </w:r>
    </w:p>
    <w:p w14:paraId="68E9C69C" w14:textId="77777777" w:rsidR="000211E2" w:rsidRPr="000211E2" w:rsidRDefault="000211E2" w:rsidP="000211E2">
      <w:pPr>
        <w:rPr>
          <w:rFonts w:ascii="Times New Roman" w:hAnsi="Times New Roman" w:cs="Times New Roman"/>
          <w:b/>
          <w:bCs/>
          <w:sz w:val="28"/>
          <w:szCs w:val="28"/>
          <w:lang w:val="en-IN"/>
        </w:rPr>
      </w:pPr>
      <w:r w:rsidRPr="000211E2">
        <w:rPr>
          <w:rFonts w:ascii="Times New Roman" w:hAnsi="Times New Roman" w:cs="Times New Roman"/>
          <w:b/>
          <w:bCs/>
          <w:sz w:val="28"/>
          <w:szCs w:val="28"/>
          <w:lang w:val="en-IN"/>
        </w:rPr>
        <w:t>1. Executive Summary</w:t>
      </w:r>
    </w:p>
    <w:p w14:paraId="0AFE7FFA" w14:textId="6A7A34BA" w:rsidR="000211E2" w:rsidRPr="000211E2" w:rsidRDefault="004A7B09" w:rsidP="000211E2">
      <w:pPr>
        <w:rPr>
          <w:rFonts w:ascii="Times New Roman" w:hAnsi="Times New Roman" w:cs="Times New Roman"/>
          <w:lang w:val="en-IN"/>
        </w:rPr>
      </w:pPr>
      <w:r w:rsidRPr="004A7B09">
        <w:rPr>
          <w:rFonts w:ascii="Times New Roman" w:hAnsi="Times New Roman" w:cs="Times New Roman"/>
        </w:rPr>
        <w:t xml:space="preserve">This analysis involved an end-to-end evaluation of </w:t>
      </w:r>
      <w:r w:rsidRPr="004A7B09">
        <w:rPr>
          <w:rFonts w:ascii="Times New Roman" w:hAnsi="Times New Roman" w:cs="Times New Roman"/>
          <w:b/>
          <w:bCs/>
        </w:rPr>
        <w:t>387 IPOs</w:t>
      </w:r>
      <w:r w:rsidRPr="004A7B09">
        <w:rPr>
          <w:rFonts w:ascii="Times New Roman" w:hAnsi="Times New Roman" w:cs="Times New Roman"/>
        </w:rPr>
        <w:t xml:space="preserve"> to identify the core drivers of listing day success and the underlying risks associated with market entry. By correlating valuation metrics, investor demand (subscription levels), and broader market indices, we have successfully moved from raw financial data to a </w:t>
      </w:r>
      <w:r w:rsidRPr="004A7B09">
        <w:rPr>
          <w:rFonts w:ascii="Times New Roman" w:hAnsi="Times New Roman" w:cs="Times New Roman"/>
          <w:b/>
          <w:bCs/>
        </w:rPr>
        <w:t>predictive risk-reward framework</w:t>
      </w:r>
      <w:r w:rsidRPr="004A7B09">
        <w:rPr>
          <w:rFonts w:ascii="Times New Roman" w:hAnsi="Times New Roman" w:cs="Times New Roman"/>
        </w:rPr>
        <w:t>.</w:t>
      </w:r>
      <w:r w:rsidRPr="004A7B09">
        <w:rPr>
          <w:rFonts w:ascii="Times New Roman" w:hAnsi="Times New Roman" w:cs="Times New Roman"/>
          <w:lang w:val="en-IN"/>
        </w:rPr>
        <w:t xml:space="preserve"> </w:t>
      </w:r>
      <w:r w:rsidR="000211E2" w:rsidRPr="000211E2">
        <w:rPr>
          <w:rFonts w:ascii="Times New Roman" w:hAnsi="Times New Roman" w:cs="Times New Roman"/>
          <w:lang w:val="en-IN"/>
        </w:rPr>
        <w:pict w14:anchorId="2D13F31F">
          <v:rect id="_x0000_i1081" style="width:0;height:1.5pt" o:hralign="center" o:hrstd="t" o:hr="t" fillcolor="#a0a0a0" stroked="f"/>
        </w:pict>
      </w:r>
    </w:p>
    <w:p w14:paraId="608059BC" w14:textId="77777777" w:rsidR="000211E2" w:rsidRPr="000211E2" w:rsidRDefault="000211E2" w:rsidP="000211E2">
      <w:pPr>
        <w:rPr>
          <w:rFonts w:ascii="Times New Roman" w:hAnsi="Times New Roman" w:cs="Times New Roman"/>
          <w:b/>
          <w:bCs/>
          <w:sz w:val="28"/>
          <w:szCs w:val="28"/>
          <w:lang w:val="en-IN"/>
        </w:rPr>
      </w:pPr>
      <w:r w:rsidRPr="000211E2">
        <w:rPr>
          <w:rFonts w:ascii="Times New Roman" w:hAnsi="Times New Roman" w:cs="Times New Roman"/>
          <w:b/>
          <w:bCs/>
          <w:sz w:val="28"/>
          <w:szCs w:val="28"/>
          <w:lang w:val="en-IN"/>
        </w:rPr>
        <w:t>2. Key Visual Insights &amp; Observations</w:t>
      </w:r>
    </w:p>
    <w:p w14:paraId="36FF58D0" w14:textId="4B90DA48" w:rsidR="000211E2" w:rsidRPr="000211E2" w:rsidRDefault="000211E2" w:rsidP="000211E2">
      <w:pPr>
        <w:rPr>
          <w:rFonts w:ascii="Times New Roman" w:hAnsi="Times New Roman" w:cs="Times New Roman"/>
          <w:b/>
          <w:bCs/>
          <w:lang w:val="en-IN"/>
        </w:rPr>
      </w:pPr>
      <w:r w:rsidRPr="000211E2">
        <w:rPr>
          <w:rFonts w:ascii="Times New Roman" w:hAnsi="Times New Roman" w:cs="Times New Roman"/>
          <w:b/>
          <w:bCs/>
          <w:lang w:val="en-IN"/>
        </w:rPr>
        <w:t>Institutional Momentum (The QIB &amp; NII Advantage)</w:t>
      </w:r>
    </w:p>
    <w:p w14:paraId="7CFF0364" w14:textId="51D4E401" w:rsidR="000211E2" w:rsidRPr="000211E2" w:rsidRDefault="000211E2" w:rsidP="000211E2">
      <w:pPr>
        <w:rPr>
          <w:rFonts w:ascii="Times New Roman" w:hAnsi="Times New Roman" w:cs="Times New Roman"/>
          <w:lang w:val="en-IN"/>
        </w:rPr>
      </w:pPr>
      <w:r w:rsidRPr="000211E2">
        <w:rPr>
          <w:rFonts w:ascii="Times New Roman" w:hAnsi="Times New Roman" w:cs="Times New Roman"/>
          <w:lang w:val="en-IN"/>
        </w:rPr>
        <w:t>Strong institutional backing (QIB &gt; 80x) and high-net-worth participation (NII &gt; 100x) are the most significant lead indicators for positive listing pops.</w:t>
      </w:r>
    </w:p>
    <w:p w14:paraId="44D28DA5" w14:textId="5C90BB05" w:rsidR="003D2EAD" w:rsidRPr="000211E2" w:rsidRDefault="00013935" w:rsidP="003D2EAD">
      <w:pPr>
        <w:jc w:val="center"/>
        <w:rPr>
          <w:rFonts w:ascii="Times New Roman" w:hAnsi="Times New Roman" w:cs="Times New Roman"/>
          <w:lang w:val="en-IN"/>
        </w:rPr>
      </w:pPr>
      <w:r w:rsidRPr="00013935">
        <w:rPr>
          <w:rFonts w:ascii="Times New Roman" w:hAnsi="Times New Roman" w:cs="Times New Roman"/>
          <w:lang w:val="en-IN"/>
        </w:rPr>
        <w:drawing>
          <wp:inline distT="0" distB="0" distL="0" distR="0" wp14:anchorId="3417A27C" wp14:editId="12D04814">
            <wp:extent cx="4587240" cy="3434549"/>
            <wp:effectExtent l="0" t="0" r="3810" b="0"/>
            <wp:docPr id="31355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56393" name=""/>
                    <pic:cNvPicPr/>
                  </pic:nvPicPr>
                  <pic:blipFill>
                    <a:blip r:embed="rId5"/>
                    <a:stretch>
                      <a:fillRect/>
                    </a:stretch>
                  </pic:blipFill>
                  <pic:spPr>
                    <a:xfrm>
                      <a:off x="0" y="0"/>
                      <a:ext cx="4587240" cy="3434549"/>
                    </a:xfrm>
                    <a:prstGeom prst="rect">
                      <a:avLst/>
                    </a:prstGeom>
                  </pic:spPr>
                </pic:pic>
              </a:graphicData>
            </a:graphic>
          </wp:inline>
        </w:drawing>
      </w:r>
    </w:p>
    <w:p w14:paraId="3BA5C217" w14:textId="2E1664C6" w:rsidR="000211E2" w:rsidRPr="000211E2" w:rsidRDefault="000211E2" w:rsidP="000211E2">
      <w:pPr>
        <w:rPr>
          <w:rFonts w:ascii="Times New Roman" w:hAnsi="Times New Roman" w:cs="Times New Roman"/>
          <w:lang w:val="en-IN"/>
        </w:rPr>
      </w:pPr>
      <w:r w:rsidRPr="000211E2">
        <w:rPr>
          <w:rFonts w:ascii="Times New Roman" w:hAnsi="Times New Roman" w:cs="Times New Roman"/>
          <w:b/>
          <w:bCs/>
          <w:lang w:val="en-IN"/>
        </w:rPr>
        <w:t>Retail Participation as a Success Floor</w:t>
      </w:r>
    </w:p>
    <w:p w14:paraId="04BCF5D2" w14:textId="37B1EC50" w:rsidR="003D2EAD" w:rsidRDefault="000211E2" w:rsidP="000211E2">
      <w:pPr>
        <w:rPr>
          <w:rFonts w:ascii="Times New Roman" w:hAnsi="Times New Roman" w:cs="Times New Roman"/>
          <w:lang w:val="en-IN"/>
        </w:rPr>
      </w:pPr>
      <w:r w:rsidRPr="000211E2">
        <w:rPr>
          <w:rFonts w:ascii="Times New Roman" w:hAnsi="Times New Roman" w:cs="Times New Roman"/>
          <w:lang w:val="en-IN"/>
        </w:rPr>
        <w:t>Retail investor sentiment (RII &gt; 50x) serves as a robust safety net. IPOs that cross this threshold rarely experience extreme downside on the first day.</w:t>
      </w:r>
    </w:p>
    <w:p w14:paraId="47DC1BBA" w14:textId="4395AE96" w:rsidR="003D2EAD" w:rsidRDefault="003D2EAD" w:rsidP="000211E2">
      <w:pPr>
        <w:rPr>
          <w:rFonts w:ascii="Times New Roman" w:hAnsi="Times New Roman" w:cs="Times New Roman"/>
          <w:lang w:val="en-IN"/>
        </w:rPr>
      </w:pPr>
      <w:r w:rsidRPr="003D2EAD">
        <w:rPr>
          <w:rFonts w:ascii="Times New Roman" w:hAnsi="Times New Roman" w:cs="Times New Roman"/>
          <w:lang w:val="en-IN"/>
        </w:rPr>
        <w:lastRenderedPageBreak/>
        <w:drawing>
          <wp:inline distT="0" distB="0" distL="0" distR="0" wp14:anchorId="2007143B" wp14:editId="1CF17F81">
            <wp:extent cx="2004384" cy="2141046"/>
            <wp:effectExtent l="0" t="0" r="0" b="0"/>
            <wp:docPr id="15266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3222" name=""/>
                    <pic:cNvPicPr/>
                  </pic:nvPicPr>
                  <pic:blipFill>
                    <a:blip r:embed="rId6"/>
                    <a:stretch>
                      <a:fillRect/>
                    </a:stretch>
                  </pic:blipFill>
                  <pic:spPr>
                    <a:xfrm>
                      <a:off x="0" y="0"/>
                      <a:ext cx="2014899" cy="2152277"/>
                    </a:xfrm>
                    <a:prstGeom prst="rect">
                      <a:avLst/>
                    </a:prstGeom>
                  </pic:spPr>
                </pic:pic>
              </a:graphicData>
            </a:graphic>
          </wp:inline>
        </w:drawing>
      </w:r>
      <w:r w:rsidRPr="003D2EAD">
        <w:rPr>
          <w:rFonts w:ascii="Times New Roman" w:hAnsi="Times New Roman" w:cs="Times New Roman"/>
          <w:lang w:val="en-IN"/>
        </w:rPr>
        <w:drawing>
          <wp:inline distT="0" distB="0" distL="0" distR="0" wp14:anchorId="03CFB19D" wp14:editId="0500ED83">
            <wp:extent cx="1935480" cy="2130387"/>
            <wp:effectExtent l="0" t="0" r="7620" b="3810"/>
            <wp:docPr id="158885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53841" name=""/>
                    <pic:cNvPicPr/>
                  </pic:nvPicPr>
                  <pic:blipFill>
                    <a:blip r:embed="rId7"/>
                    <a:stretch>
                      <a:fillRect/>
                    </a:stretch>
                  </pic:blipFill>
                  <pic:spPr>
                    <a:xfrm>
                      <a:off x="0" y="0"/>
                      <a:ext cx="1968603" cy="2166845"/>
                    </a:xfrm>
                    <a:prstGeom prst="rect">
                      <a:avLst/>
                    </a:prstGeom>
                  </pic:spPr>
                </pic:pic>
              </a:graphicData>
            </a:graphic>
          </wp:inline>
        </w:drawing>
      </w:r>
      <w:r w:rsidRPr="003D2EAD">
        <w:rPr>
          <w:noProof/>
        </w:rPr>
        <w:t xml:space="preserve"> </w:t>
      </w:r>
      <w:r w:rsidRPr="003D2EAD">
        <w:rPr>
          <w:rFonts w:ascii="Times New Roman" w:hAnsi="Times New Roman" w:cs="Times New Roman"/>
          <w:lang w:val="en-IN"/>
        </w:rPr>
        <w:drawing>
          <wp:inline distT="0" distB="0" distL="0" distR="0" wp14:anchorId="63839CFF" wp14:editId="3B5161F5">
            <wp:extent cx="1948815" cy="2145065"/>
            <wp:effectExtent l="0" t="0" r="0" b="7620"/>
            <wp:docPr id="10365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0530" name=""/>
                    <pic:cNvPicPr/>
                  </pic:nvPicPr>
                  <pic:blipFill>
                    <a:blip r:embed="rId8"/>
                    <a:stretch>
                      <a:fillRect/>
                    </a:stretch>
                  </pic:blipFill>
                  <pic:spPr>
                    <a:xfrm>
                      <a:off x="0" y="0"/>
                      <a:ext cx="1995312" cy="2196244"/>
                    </a:xfrm>
                    <a:prstGeom prst="rect">
                      <a:avLst/>
                    </a:prstGeom>
                  </pic:spPr>
                </pic:pic>
              </a:graphicData>
            </a:graphic>
          </wp:inline>
        </w:drawing>
      </w:r>
    </w:p>
    <w:p w14:paraId="479177DA" w14:textId="476300DD" w:rsidR="000211E2" w:rsidRPr="000211E2" w:rsidRDefault="000211E2" w:rsidP="000211E2">
      <w:pPr>
        <w:rPr>
          <w:rFonts w:ascii="Times New Roman" w:hAnsi="Times New Roman" w:cs="Times New Roman"/>
          <w:b/>
          <w:bCs/>
          <w:lang w:val="en-IN"/>
        </w:rPr>
      </w:pPr>
      <w:r w:rsidRPr="000211E2">
        <w:rPr>
          <w:rFonts w:ascii="Times New Roman" w:hAnsi="Times New Roman" w:cs="Times New Roman"/>
          <w:b/>
          <w:bCs/>
          <w:lang w:val="en-IN"/>
        </w:rPr>
        <w:t>The Pricing Ceiling (The "Saturation" Threshold)</w:t>
      </w:r>
    </w:p>
    <w:p w14:paraId="32AFB22C" w14:textId="6874DA5A" w:rsidR="000211E2" w:rsidRPr="000211E2" w:rsidRDefault="000211E2" w:rsidP="000211E2">
      <w:pPr>
        <w:rPr>
          <w:rFonts w:ascii="Times New Roman" w:hAnsi="Times New Roman" w:cs="Times New Roman"/>
          <w:lang w:val="en-IN"/>
        </w:rPr>
      </w:pPr>
      <w:r w:rsidRPr="000211E2">
        <w:rPr>
          <w:rFonts w:ascii="Times New Roman" w:hAnsi="Times New Roman" w:cs="Times New Roman"/>
          <w:lang w:val="en-IN"/>
        </w:rPr>
        <w:t xml:space="preserve">High-ticket IPOs (Upper/Lower limits near </w:t>
      </w:r>
      <w:r w:rsidRPr="000211E2">
        <w:rPr>
          <w:rFonts w:ascii="Times New Roman" w:hAnsi="Times New Roman" w:cs="Times New Roman"/>
          <w:b/>
          <w:bCs/>
          <w:lang w:val="en-IN"/>
        </w:rPr>
        <w:t>₹2,000</w:t>
      </w:r>
      <w:r w:rsidRPr="000211E2">
        <w:rPr>
          <w:rFonts w:ascii="Times New Roman" w:hAnsi="Times New Roman" w:cs="Times New Roman"/>
          <w:lang w:val="en-IN"/>
        </w:rPr>
        <w:t>) are more susceptible to negative listing performance, suggesting a price point where immediate retail upside is capped.</w:t>
      </w:r>
    </w:p>
    <w:p w14:paraId="2E0BA32C" w14:textId="77777777" w:rsidR="003D2EAD" w:rsidRDefault="003D2EAD" w:rsidP="000211E2">
      <w:pPr>
        <w:rPr>
          <w:rFonts w:ascii="Times New Roman" w:hAnsi="Times New Roman" w:cs="Times New Roman"/>
          <w:b/>
          <w:bCs/>
          <w:lang w:val="en-IN"/>
        </w:rPr>
      </w:pPr>
    </w:p>
    <w:p w14:paraId="79F54A9E" w14:textId="57107955" w:rsidR="00013935" w:rsidRDefault="00013935" w:rsidP="00FC1252">
      <w:pPr>
        <w:jc w:val="center"/>
        <w:rPr>
          <w:rFonts w:ascii="Times New Roman" w:hAnsi="Times New Roman" w:cs="Times New Roman"/>
          <w:b/>
          <w:bCs/>
          <w:lang w:val="en-IN"/>
        </w:rPr>
      </w:pPr>
      <w:r w:rsidRPr="00013935">
        <w:rPr>
          <w:rFonts w:ascii="Times New Roman" w:hAnsi="Times New Roman" w:cs="Times New Roman"/>
          <w:b/>
          <w:bCs/>
          <w:lang w:val="en-IN"/>
        </w:rPr>
        <w:drawing>
          <wp:inline distT="0" distB="0" distL="0" distR="0" wp14:anchorId="0E95DADB" wp14:editId="06403FD0">
            <wp:extent cx="6088191" cy="2255520"/>
            <wp:effectExtent l="0" t="0" r="8255" b="0"/>
            <wp:docPr id="198839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90833" name=""/>
                    <pic:cNvPicPr/>
                  </pic:nvPicPr>
                  <pic:blipFill>
                    <a:blip r:embed="rId9"/>
                    <a:stretch>
                      <a:fillRect/>
                    </a:stretch>
                  </pic:blipFill>
                  <pic:spPr>
                    <a:xfrm>
                      <a:off x="0" y="0"/>
                      <a:ext cx="6121547" cy="2267878"/>
                    </a:xfrm>
                    <a:prstGeom prst="rect">
                      <a:avLst/>
                    </a:prstGeom>
                  </pic:spPr>
                </pic:pic>
              </a:graphicData>
            </a:graphic>
          </wp:inline>
        </w:drawing>
      </w:r>
    </w:p>
    <w:p w14:paraId="4B7811C8" w14:textId="6839BEAD" w:rsidR="000211E2" w:rsidRPr="000211E2" w:rsidRDefault="000211E2" w:rsidP="000211E2">
      <w:pPr>
        <w:rPr>
          <w:rFonts w:ascii="Times New Roman" w:hAnsi="Times New Roman" w:cs="Times New Roman"/>
          <w:lang w:val="en-IN"/>
        </w:rPr>
      </w:pPr>
      <w:r w:rsidRPr="000211E2">
        <w:rPr>
          <w:rFonts w:ascii="Times New Roman" w:hAnsi="Times New Roman" w:cs="Times New Roman"/>
          <w:b/>
          <w:bCs/>
          <w:lang w:val="en-IN"/>
        </w:rPr>
        <w:t>Risk in Price Volatility (Price Range Spreads)</w:t>
      </w:r>
    </w:p>
    <w:p w14:paraId="4B5889A9" w14:textId="77777777" w:rsidR="0096182B" w:rsidRDefault="000211E2" w:rsidP="000211E2">
      <w:pPr>
        <w:rPr>
          <w:rFonts w:ascii="Times New Roman" w:hAnsi="Times New Roman" w:cs="Times New Roman"/>
          <w:lang w:val="en-IN"/>
        </w:rPr>
      </w:pPr>
      <w:r w:rsidRPr="000211E2">
        <w:rPr>
          <w:rFonts w:ascii="Times New Roman" w:hAnsi="Times New Roman" w:cs="Times New Roman"/>
          <w:lang w:val="en-IN"/>
        </w:rPr>
        <w:t xml:space="preserve">Wide price discovery bands (Upper limit - Lower limit &gt; </w:t>
      </w:r>
      <w:r w:rsidRPr="000211E2">
        <w:rPr>
          <w:rFonts w:ascii="Times New Roman" w:hAnsi="Times New Roman" w:cs="Times New Roman"/>
          <w:b/>
          <w:bCs/>
          <w:lang w:val="en-IN"/>
        </w:rPr>
        <w:t>₹80</w:t>
      </w:r>
      <w:r w:rsidRPr="000211E2">
        <w:rPr>
          <w:rFonts w:ascii="Times New Roman" w:hAnsi="Times New Roman" w:cs="Times New Roman"/>
          <w:lang w:val="en-IN"/>
        </w:rPr>
        <w:t>) are often perceived by the market as aggressive valuation, correlating with a higher probability of negative listings.</w:t>
      </w:r>
    </w:p>
    <w:p w14:paraId="2472FB7B" w14:textId="77777777" w:rsidR="00FC1252" w:rsidRDefault="00FC1252" w:rsidP="000211E2">
      <w:pPr>
        <w:rPr>
          <w:rFonts w:ascii="Times New Roman" w:hAnsi="Times New Roman" w:cs="Times New Roman"/>
          <w:lang w:val="en-IN"/>
        </w:rPr>
      </w:pPr>
    </w:p>
    <w:p w14:paraId="33825BDC" w14:textId="1296DB52" w:rsidR="000211E2" w:rsidRPr="000211E2" w:rsidRDefault="000211E2" w:rsidP="000211E2">
      <w:pPr>
        <w:rPr>
          <w:rFonts w:ascii="Times New Roman" w:hAnsi="Times New Roman" w:cs="Times New Roman"/>
          <w:lang w:val="en-IN"/>
        </w:rPr>
      </w:pPr>
      <w:r w:rsidRPr="000211E2">
        <w:rPr>
          <w:rFonts w:ascii="Times New Roman" w:hAnsi="Times New Roman" w:cs="Times New Roman"/>
          <w:b/>
          <w:bCs/>
          <w:lang w:val="en-IN"/>
        </w:rPr>
        <w:t>The "Mega-IPO" Paradox (Issue Scale Risk)</w:t>
      </w:r>
    </w:p>
    <w:p w14:paraId="2B0ACD35" w14:textId="40689DB9" w:rsidR="000211E2" w:rsidRPr="000211E2" w:rsidRDefault="000211E2" w:rsidP="000211E2">
      <w:pPr>
        <w:rPr>
          <w:rFonts w:ascii="Times New Roman" w:hAnsi="Times New Roman" w:cs="Times New Roman"/>
          <w:lang w:val="en-IN"/>
        </w:rPr>
      </w:pPr>
      <w:r w:rsidRPr="000211E2">
        <w:rPr>
          <w:rFonts w:ascii="Times New Roman" w:hAnsi="Times New Roman" w:cs="Times New Roman"/>
          <w:lang w:val="en-IN"/>
        </w:rPr>
        <w:t xml:space="preserve">Larger is not always better. IPOs with an </w:t>
      </w:r>
      <w:r w:rsidRPr="000211E2">
        <w:rPr>
          <w:rFonts w:ascii="Times New Roman" w:hAnsi="Times New Roman" w:cs="Times New Roman"/>
          <w:b/>
          <w:bCs/>
          <w:lang w:val="en-IN"/>
        </w:rPr>
        <w:t>Issue Amount &gt; ₹15,000 CR</w:t>
      </w:r>
      <w:r w:rsidRPr="000211E2">
        <w:rPr>
          <w:rFonts w:ascii="Times New Roman" w:hAnsi="Times New Roman" w:cs="Times New Roman"/>
          <w:lang w:val="en-IN"/>
        </w:rPr>
        <w:t xml:space="preserve"> often face liquidity hurdles on day one, leading to negative or neutral gains compared to mid-sized issues.</w:t>
      </w:r>
    </w:p>
    <w:p w14:paraId="0913DD2F" w14:textId="77777777" w:rsidR="0096182B" w:rsidRDefault="0096182B" w:rsidP="000211E2">
      <w:pPr>
        <w:rPr>
          <w:rFonts w:ascii="Times New Roman" w:hAnsi="Times New Roman" w:cs="Times New Roman"/>
          <w:b/>
          <w:bCs/>
          <w:lang w:val="en-IN"/>
        </w:rPr>
      </w:pPr>
    </w:p>
    <w:p w14:paraId="695E53DE" w14:textId="77777777" w:rsidR="00FC1252" w:rsidRDefault="00013935" w:rsidP="00FC1252">
      <w:pPr>
        <w:jc w:val="center"/>
        <w:rPr>
          <w:rFonts w:ascii="Times New Roman" w:hAnsi="Times New Roman" w:cs="Times New Roman"/>
          <w:b/>
          <w:bCs/>
          <w:lang w:val="en-IN"/>
        </w:rPr>
      </w:pPr>
      <w:r w:rsidRPr="00013935">
        <w:rPr>
          <w:rFonts w:ascii="Times New Roman" w:hAnsi="Times New Roman" w:cs="Times New Roman"/>
          <w:b/>
          <w:bCs/>
          <w:lang w:val="en-IN"/>
        </w:rPr>
        <w:lastRenderedPageBreak/>
        <w:drawing>
          <wp:inline distT="0" distB="0" distL="0" distR="0" wp14:anchorId="5C324E78" wp14:editId="3B02AB24">
            <wp:extent cx="5905642" cy="2095500"/>
            <wp:effectExtent l="0" t="0" r="0" b="0"/>
            <wp:docPr id="136407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79709" name=""/>
                    <pic:cNvPicPr/>
                  </pic:nvPicPr>
                  <pic:blipFill>
                    <a:blip r:embed="rId10"/>
                    <a:stretch>
                      <a:fillRect/>
                    </a:stretch>
                  </pic:blipFill>
                  <pic:spPr>
                    <a:xfrm>
                      <a:off x="0" y="0"/>
                      <a:ext cx="5939491" cy="2107511"/>
                    </a:xfrm>
                    <a:prstGeom prst="rect">
                      <a:avLst/>
                    </a:prstGeom>
                  </pic:spPr>
                </pic:pic>
              </a:graphicData>
            </a:graphic>
          </wp:inline>
        </w:drawing>
      </w:r>
    </w:p>
    <w:p w14:paraId="2488AF97" w14:textId="05B41A37" w:rsidR="000211E2" w:rsidRPr="000211E2" w:rsidRDefault="000211E2" w:rsidP="00FC1252">
      <w:pPr>
        <w:rPr>
          <w:rFonts w:ascii="Times New Roman" w:hAnsi="Times New Roman" w:cs="Times New Roman"/>
          <w:b/>
          <w:bCs/>
          <w:lang w:val="en-IN"/>
        </w:rPr>
      </w:pPr>
      <w:r w:rsidRPr="000211E2">
        <w:rPr>
          <w:rFonts w:ascii="Times New Roman" w:hAnsi="Times New Roman" w:cs="Times New Roman"/>
          <w:b/>
          <w:bCs/>
          <w:lang w:val="en-IN"/>
        </w:rPr>
        <w:t>Market Capitalization Saturation</w:t>
      </w:r>
    </w:p>
    <w:p w14:paraId="2AC506F4" w14:textId="5A190095" w:rsidR="000211E2" w:rsidRDefault="000211E2" w:rsidP="000211E2">
      <w:pPr>
        <w:rPr>
          <w:rFonts w:ascii="Times New Roman" w:hAnsi="Times New Roman" w:cs="Times New Roman"/>
          <w:lang w:val="en-IN"/>
        </w:rPr>
      </w:pPr>
      <w:r w:rsidRPr="000211E2">
        <w:rPr>
          <w:rFonts w:ascii="Times New Roman" w:hAnsi="Times New Roman" w:cs="Times New Roman"/>
          <w:lang w:val="en-IN"/>
        </w:rPr>
        <w:t xml:space="preserve">Companies entering the market with a </w:t>
      </w:r>
      <w:r w:rsidRPr="000211E2">
        <w:rPr>
          <w:rFonts w:ascii="Times New Roman" w:hAnsi="Times New Roman" w:cs="Times New Roman"/>
          <w:b/>
          <w:bCs/>
          <w:lang w:val="en-IN"/>
        </w:rPr>
        <w:t>Market Cap &gt; ₹1 Lakh CR</w:t>
      </w:r>
      <w:r w:rsidRPr="000211E2">
        <w:rPr>
          <w:rFonts w:ascii="Times New Roman" w:hAnsi="Times New Roman" w:cs="Times New Roman"/>
          <w:lang w:val="en-IN"/>
        </w:rPr>
        <w:t xml:space="preserve"> show a trend of negative listing performance, likely due to the massive buying volume required to drive the stock price significantly higher.</w:t>
      </w:r>
    </w:p>
    <w:p w14:paraId="7BE3A27E" w14:textId="3C002C67" w:rsidR="004A7B09" w:rsidRPr="000211E2" w:rsidRDefault="004A7B09" w:rsidP="000211E2">
      <w:pPr>
        <w:rPr>
          <w:rFonts w:ascii="Times New Roman" w:hAnsi="Times New Roman" w:cs="Times New Roman"/>
          <w:lang w:val="en-IN"/>
        </w:rPr>
      </w:pPr>
      <w:r w:rsidRPr="004A7B09">
        <w:rPr>
          <w:rFonts w:ascii="Times New Roman" w:hAnsi="Times New Roman" w:cs="Times New Roman"/>
          <w:lang w:val="en-IN"/>
        </w:rPr>
        <w:drawing>
          <wp:inline distT="0" distB="0" distL="0" distR="0" wp14:anchorId="1FFDCA25" wp14:editId="2E31FD2F">
            <wp:extent cx="2692616" cy="2636520"/>
            <wp:effectExtent l="0" t="0" r="0" b="0"/>
            <wp:docPr id="88637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77098" name=""/>
                    <pic:cNvPicPr/>
                  </pic:nvPicPr>
                  <pic:blipFill>
                    <a:blip r:embed="rId11"/>
                    <a:stretch>
                      <a:fillRect/>
                    </a:stretch>
                  </pic:blipFill>
                  <pic:spPr>
                    <a:xfrm>
                      <a:off x="0" y="0"/>
                      <a:ext cx="2703134" cy="2646819"/>
                    </a:xfrm>
                    <a:prstGeom prst="rect">
                      <a:avLst/>
                    </a:prstGeom>
                  </pic:spPr>
                </pic:pic>
              </a:graphicData>
            </a:graphic>
          </wp:inline>
        </w:drawing>
      </w:r>
      <w:r w:rsidRPr="004A7B09">
        <w:rPr>
          <w:noProof/>
        </w:rPr>
        <w:t xml:space="preserve"> </w:t>
      </w:r>
      <w:r w:rsidRPr="004A7B09">
        <w:rPr>
          <w:rFonts w:ascii="Times New Roman" w:hAnsi="Times New Roman" w:cs="Times New Roman"/>
          <w:lang w:val="en-IN"/>
        </w:rPr>
        <w:drawing>
          <wp:inline distT="0" distB="0" distL="0" distR="0" wp14:anchorId="1663FFD4" wp14:editId="7C62D783">
            <wp:extent cx="2785856" cy="2597921"/>
            <wp:effectExtent l="0" t="0" r="0" b="0"/>
            <wp:docPr id="18200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3589" name=""/>
                    <pic:cNvPicPr/>
                  </pic:nvPicPr>
                  <pic:blipFill>
                    <a:blip r:embed="rId12"/>
                    <a:stretch>
                      <a:fillRect/>
                    </a:stretch>
                  </pic:blipFill>
                  <pic:spPr>
                    <a:xfrm>
                      <a:off x="0" y="0"/>
                      <a:ext cx="2796242" cy="2607607"/>
                    </a:xfrm>
                    <a:prstGeom prst="rect">
                      <a:avLst/>
                    </a:prstGeom>
                  </pic:spPr>
                </pic:pic>
              </a:graphicData>
            </a:graphic>
          </wp:inline>
        </w:drawing>
      </w:r>
    </w:p>
    <w:p w14:paraId="179B5DD5" w14:textId="77777777" w:rsidR="000211E2" w:rsidRPr="000211E2" w:rsidRDefault="000211E2" w:rsidP="000211E2">
      <w:pPr>
        <w:rPr>
          <w:rFonts w:ascii="Times New Roman" w:hAnsi="Times New Roman" w:cs="Times New Roman"/>
          <w:lang w:val="en-IN"/>
        </w:rPr>
      </w:pPr>
      <w:r w:rsidRPr="000211E2">
        <w:rPr>
          <w:rFonts w:ascii="Times New Roman" w:hAnsi="Times New Roman" w:cs="Times New Roman"/>
          <w:lang w:val="en-IN"/>
        </w:rPr>
        <w:pict w14:anchorId="25101978">
          <v:rect id="_x0000_i1087" style="width:0;height:1.5pt" o:hralign="center" o:hrstd="t" o:hr="t" fillcolor="#a0a0a0" stroked="f"/>
        </w:pict>
      </w:r>
    </w:p>
    <w:p w14:paraId="3E6B63CF" w14:textId="77777777" w:rsidR="000211E2" w:rsidRPr="000211E2" w:rsidRDefault="000211E2" w:rsidP="000211E2">
      <w:pPr>
        <w:rPr>
          <w:rFonts w:ascii="Times New Roman" w:hAnsi="Times New Roman" w:cs="Times New Roman"/>
          <w:b/>
          <w:bCs/>
          <w:sz w:val="28"/>
          <w:szCs w:val="28"/>
          <w:lang w:val="en-IN"/>
        </w:rPr>
      </w:pPr>
      <w:r w:rsidRPr="000211E2">
        <w:rPr>
          <w:rFonts w:ascii="Times New Roman" w:hAnsi="Times New Roman" w:cs="Times New Roman"/>
          <w:b/>
          <w:bCs/>
          <w:sz w:val="28"/>
          <w:szCs w:val="28"/>
          <w:lang w:val="en-IN"/>
        </w:rPr>
        <w:t>3. Strategic Business Value &amp; Achievement</w:t>
      </w:r>
    </w:p>
    <w:p w14:paraId="38E0D537" w14:textId="77777777" w:rsidR="000211E2" w:rsidRPr="000211E2" w:rsidRDefault="000211E2" w:rsidP="000211E2">
      <w:pPr>
        <w:rPr>
          <w:rFonts w:ascii="Times New Roman" w:hAnsi="Times New Roman" w:cs="Times New Roman"/>
          <w:lang w:val="en-IN"/>
        </w:rPr>
      </w:pPr>
      <w:r w:rsidRPr="000211E2">
        <w:rPr>
          <w:rFonts w:ascii="Times New Roman" w:hAnsi="Times New Roman" w:cs="Times New Roman"/>
          <w:lang w:val="en-IN"/>
        </w:rPr>
        <w:t>Through this analysis, we have successfully:</w:t>
      </w:r>
    </w:p>
    <w:p w14:paraId="246070BB" w14:textId="77777777" w:rsidR="000211E2" w:rsidRPr="000211E2" w:rsidRDefault="000211E2" w:rsidP="000211E2">
      <w:pPr>
        <w:numPr>
          <w:ilvl w:val="0"/>
          <w:numId w:val="17"/>
        </w:numPr>
        <w:rPr>
          <w:rFonts w:ascii="Times New Roman" w:hAnsi="Times New Roman" w:cs="Times New Roman"/>
          <w:lang w:val="en-IN"/>
        </w:rPr>
      </w:pPr>
      <w:r w:rsidRPr="000211E2">
        <w:rPr>
          <w:rFonts w:ascii="Times New Roman" w:hAnsi="Times New Roman" w:cs="Times New Roman"/>
          <w:b/>
          <w:bCs/>
          <w:lang w:val="en-IN"/>
        </w:rPr>
        <w:t>Engineered Predictive Features:</w:t>
      </w:r>
      <w:r w:rsidRPr="000211E2">
        <w:rPr>
          <w:rFonts w:ascii="Times New Roman" w:hAnsi="Times New Roman" w:cs="Times New Roman"/>
          <w:lang w:val="en-IN"/>
        </w:rPr>
        <w:t xml:space="preserve"> Identified "TOTAL Subscription" as the most critical feature for future K-Means clustering.</w:t>
      </w:r>
    </w:p>
    <w:p w14:paraId="22D16FEE" w14:textId="77777777" w:rsidR="000211E2" w:rsidRPr="000211E2" w:rsidRDefault="000211E2" w:rsidP="000211E2">
      <w:pPr>
        <w:numPr>
          <w:ilvl w:val="0"/>
          <w:numId w:val="17"/>
        </w:numPr>
        <w:rPr>
          <w:rFonts w:ascii="Times New Roman" w:hAnsi="Times New Roman" w:cs="Times New Roman"/>
          <w:lang w:val="en-IN"/>
        </w:rPr>
      </w:pPr>
      <w:r w:rsidRPr="000211E2">
        <w:rPr>
          <w:rFonts w:ascii="Times New Roman" w:hAnsi="Times New Roman" w:cs="Times New Roman"/>
          <w:b/>
          <w:bCs/>
          <w:lang w:val="en-IN"/>
        </w:rPr>
        <w:t>Mitigated Listing Risk:</w:t>
      </w:r>
      <w:r w:rsidRPr="000211E2">
        <w:rPr>
          <w:rFonts w:ascii="Times New Roman" w:hAnsi="Times New Roman" w:cs="Times New Roman"/>
          <w:lang w:val="en-IN"/>
        </w:rPr>
        <w:t xml:space="preserve"> Established clear valuation "Red Flags" (Price &gt; ₹2000, Spread &gt; ₹80) that allow investors to avoid historically poor-performing profiles.</w:t>
      </w:r>
    </w:p>
    <w:p w14:paraId="57BFC790" w14:textId="77777777" w:rsidR="000211E2" w:rsidRPr="000211E2" w:rsidRDefault="000211E2" w:rsidP="000211E2">
      <w:pPr>
        <w:numPr>
          <w:ilvl w:val="0"/>
          <w:numId w:val="17"/>
        </w:numPr>
        <w:rPr>
          <w:rFonts w:ascii="Times New Roman" w:hAnsi="Times New Roman" w:cs="Times New Roman"/>
          <w:lang w:val="en-IN"/>
        </w:rPr>
      </w:pPr>
      <w:r w:rsidRPr="000211E2">
        <w:rPr>
          <w:rFonts w:ascii="Times New Roman" w:hAnsi="Times New Roman" w:cs="Times New Roman"/>
          <w:b/>
          <w:bCs/>
          <w:lang w:val="en-IN"/>
        </w:rPr>
        <w:lastRenderedPageBreak/>
        <w:t>Benchmarked Success:</w:t>
      </w:r>
      <w:r w:rsidRPr="000211E2">
        <w:rPr>
          <w:rFonts w:ascii="Times New Roman" w:hAnsi="Times New Roman" w:cs="Times New Roman"/>
          <w:lang w:val="en-IN"/>
        </w:rPr>
        <w:t xml:space="preserve"> Created a quantitative playbook for IPO assessment based on multi-tier subscription data.</w:t>
      </w:r>
    </w:p>
    <w:p w14:paraId="7357D1CD" w14:textId="77777777" w:rsidR="000211E2" w:rsidRPr="000211E2" w:rsidRDefault="000211E2" w:rsidP="000211E2">
      <w:pPr>
        <w:rPr>
          <w:rFonts w:ascii="Times New Roman" w:hAnsi="Times New Roman" w:cs="Times New Roman"/>
          <w:lang w:val="en-IN"/>
        </w:rPr>
      </w:pPr>
      <w:r w:rsidRPr="000211E2">
        <w:rPr>
          <w:rFonts w:ascii="Times New Roman" w:hAnsi="Times New Roman" w:cs="Times New Roman"/>
          <w:lang w:val="en-IN"/>
        </w:rPr>
        <w:pict w14:anchorId="75ADD8E6">
          <v:rect id="_x0000_i1088" style="width:0;height:1.5pt" o:hralign="center" o:hrstd="t" o:hr="t" fillcolor="#a0a0a0" stroked="f"/>
        </w:pict>
      </w:r>
    </w:p>
    <w:p w14:paraId="0B18944C" w14:textId="77777777" w:rsidR="000211E2" w:rsidRPr="000211E2" w:rsidRDefault="000211E2" w:rsidP="000211E2">
      <w:pPr>
        <w:rPr>
          <w:rFonts w:ascii="Times New Roman" w:hAnsi="Times New Roman" w:cs="Times New Roman"/>
          <w:b/>
          <w:bCs/>
          <w:sz w:val="28"/>
          <w:szCs w:val="28"/>
          <w:lang w:val="en-IN"/>
        </w:rPr>
      </w:pPr>
      <w:r w:rsidRPr="000211E2">
        <w:rPr>
          <w:rFonts w:ascii="Times New Roman" w:hAnsi="Times New Roman" w:cs="Times New Roman"/>
          <w:b/>
          <w:bCs/>
          <w:sz w:val="28"/>
          <w:szCs w:val="28"/>
          <w:lang w:val="en-IN"/>
        </w:rPr>
        <w:t>4. Conclusion &amp; Recommendations</w:t>
      </w:r>
    </w:p>
    <w:p w14:paraId="48FDCD99" w14:textId="77777777" w:rsidR="000211E2" w:rsidRPr="000211E2" w:rsidRDefault="000211E2" w:rsidP="000211E2">
      <w:pPr>
        <w:numPr>
          <w:ilvl w:val="0"/>
          <w:numId w:val="18"/>
        </w:numPr>
        <w:rPr>
          <w:rFonts w:ascii="Times New Roman" w:hAnsi="Times New Roman" w:cs="Times New Roman"/>
          <w:lang w:val="en-IN"/>
        </w:rPr>
      </w:pPr>
      <w:r w:rsidRPr="000211E2">
        <w:rPr>
          <w:rFonts w:ascii="Times New Roman" w:hAnsi="Times New Roman" w:cs="Times New Roman"/>
          <w:b/>
          <w:bCs/>
          <w:lang w:val="en-IN"/>
        </w:rPr>
        <w:t>Prioritize Demand:</w:t>
      </w:r>
      <w:r w:rsidRPr="000211E2">
        <w:rPr>
          <w:rFonts w:ascii="Times New Roman" w:hAnsi="Times New Roman" w:cs="Times New Roman"/>
          <w:lang w:val="en-IN"/>
        </w:rPr>
        <w:t xml:space="preserve"> Focus on QIB and NII velocity as the primary entry signals.</w:t>
      </w:r>
    </w:p>
    <w:p w14:paraId="4BC543F1" w14:textId="77777777" w:rsidR="000211E2" w:rsidRPr="000211E2" w:rsidRDefault="000211E2" w:rsidP="000211E2">
      <w:pPr>
        <w:numPr>
          <w:ilvl w:val="0"/>
          <w:numId w:val="18"/>
        </w:numPr>
        <w:rPr>
          <w:rFonts w:ascii="Times New Roman" w:hAnsi="Times New Roman" w:cs="Times New Roman"/>
          <w:lang w:val="en-IN"/>
        </w:rPr>
      </w:pPr>
      <w:r w:rsidRPr="000211E2">
        <w:rPr>
          <w:rFonts w:ascii="Times New Roman" w:hAnsi="Times New Roman" w:cs="Times New Roman"/>
          <w:b/>
          <w:bCs/>
          <w:lang w:val="en-IN"/>
        </w:rPr>
        <w:t>Beware of Scale:</w:t>
      </w:r>
      <w:r w:rsidRPr="000211E2">
        <w:rPr>
          <w:rFonts w:ascii="Times New Roman" w:hAnsi="Times New Roman" w:cs="Times New Roman"/>
          <w:lang w:val="en-IN"/>
        </w:rPr>
        <w:t xml:space="preserve"> Approach Mega-IPOs (&gt;₹15k CR) with caution as they carry high liquidity-driven listing risks.</w:t>
      </w:r>
    </w:p>
    <w:p w14:paraId="69CC5AD3" w14:textId="77777777" w:rsidR="000211E2" w:rsidRPr="000211E2" w:rsidRDefault="000211E2" w:rsidP="000211E2">
      <w:pPr>
        <w:numPr>
          <w:ilvl w:val="0"/>
          <w:numId w:val="18"/>
        </w:numPr>
        <w:rPr>
          <w:rFonts w:ascii="Times New Roman" w:hAnsi="Times New Roman" w:cs="Times New Roman"/>
          <w:lang w:val="en-IN"/>
        </w:rPr>
      </w:pPr>
      <w:r w:rsidRPr="000211E2">
        <w:rPr>
          <w:rFonts w:ascii="Times New Roman" w:hAnsi="Times New Roman" w:cs="Times New Roman"/>
          <w:b/>
          <w:bCs/>
          <w:lang w:val="en-IN"/>
        </w:rPr>
        <w:t>Market Context:</w:t>
      </w:r>
      <w:r w:rsidRPr="000211E2">
        <w:rPr>
          <w:rFonts w:ascii="Times New Roman" w:hAnsi="Times New Roman" w:cs="Times New Roman"/>
          <w:lang w:val="en-IN"/>
        </w:rPr>
        <w:t xml:space="preserve"> Always overlay individual IPO metrics with broader market indices (Nifty), as market sentiment remains a significant external multiplier of success.</w:t>
      </w:r>
    </w:p>
    <w:p w14:paraId="74B2DD66" w14:textId="77777777" w:rsidR="00893389" w:rsidRPr="000211E2" w:rsidRDefault="00893389" w:rsidP="000211E2">
      <w:pPr>
        <w:rPr>
          <w:rFonts w:ascii="Times New Roman" w:hAnsi="Times New Roman" w:cs="Times New Roman"/>
        </w:rPr>
      </w:pPr>
    </w:p>
    <w:sectPr w:rsidR="00893389" w:rsidRPr="000211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4E33"/>
    <w:multiLevelType w:val="multilevel"/>
    <w:tmpl w:val="81344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AD1BB8"/>
    <w:multiLevelType w:val="multilevel"/>
    <w:tmpl w:val="4C78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14922"/>
    <w:multiLevelType w:val="multilevel"/>
    <w:tmpl w:val="C4B6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C6321"/>
    <w:multiLevelType w:val="multilevel"/>
    <w:tmpl w:val="694A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B2A6F"/>
    <w:multiLevelType w:val="multilevel"/>
    <w:tmpl w:val="50901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5C3B72"/>
    <w:multiLevelType w:val="multilevel"/>
    <w:tmpl w:val="8030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B2137"/>
    <w:multiLevelType w:val="multilevel"/>
    <w:tmpl w:val="D2F4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AD35AA"/>
    <w:multiLevelType w:val="multilevel"/>
    <w:tmpl w:val="E604A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365672"/>
    <w:multiLevelType w:val="multilevel"/>
    <w:tmpl w:val="5994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DD6EB6"/>
    <w:multiLevelType w:val="multilevel"/>
    <w:tmpl w:val="FF1A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236045"/>
    <w:multiLevelType w:val="multilevel"/>
    <w:tmpl w:val="F75E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EB667E"/>
    <w:multiLevelType w:val="multilevel"/>
    <w:tmpl w:val="81AE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C22B05"/>
    <w:multiLevelType w:val="multilevel"/>
    <w:tmpl w:val="36D8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B6074B"/>
    <w:multiLevelType w:val="multilevel"/>
    <w:tmpl w:val="D792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EF4FB3"/>
    <w:multiLevelType w:val="multilevel"/>
    <w:tmpl w:val="BADA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095B5E"/>
    <w:multiLevelType w:val="multilevel"/>
    <w:tmpl w:val="D8FC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A21126"/>
    <w:multiLevelType w:val="multilevel"/>
    <w:tmpl w:val="2350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A2040B"/>
    <w:multiLevelType w:val="multilevel"/>
    <w:tmpl w:val="96CA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182112">
    <w:abstractNumId w:val="7"/>
  </w:num>
  <w:num w:numId="2" w16cid:durableId="215824986">
    <w:abstractNumId w:val="6"/>
  </w:num>
  <w:num w:numId="3" w16cid:durableId="1993361997">
    <w:abstractNumId w:val="9"/>
  </w:num>
  <w:num w:numId="4" w16cid:durableId="2139640671">
    <w:abstractNumId w:val="16"/>
  </w:num>
  <w:num w:numId="5" w16cid:durableId="861479827">
    <w:abstractNumId w:val="5"/>
  </w:num>
  <w:num w:numId="6" w16cid:durableId="1245871931">
    <w:abstractNumId w:val="14"/>
  </w:num>
  <w:num w:numId="7" w16cid:durableId="322971074">
    <w:abstractNumId w:val="12"/>
  </w:num>
  <w:num w:numId="8" w16cid:durableId="1445004878">
    <w:abstractNumId w:val="10"/>
  </w:num>
  <w:num w:numId="9" w16cid:durableId="1321496283">
    <w:abstractNumId w:val="0"/>
  </w:num>
  <w:num w:numId="10" w16cid:durableId="1998217572">
    <w:abstractNumId w:val="3"/>
  </w:num>
  <w:num w:numId="11" w16cid:durableId="1993170685">
    <w:abstractNumId w:val="15"/>
  </w:num>
  <w:num w:numId="12" w16cid:durableId="1500192664">
    <w:abstractNumId w:val="13"/>
  </w:num>
  <w:num w:numId="13" w16cid:durableId="484246011">
    <w:abstractNumId w:val="8"/>
  </w:num>
  <w:num w:numId="14" w16cid:durableId="675574724">
    <w:abstractNumId w:val="2"/>
  </w:num>
  <w:num w:numId="15" w16cid:durableId="1262028515">
    <w:abstractNumId w:val="17"/>
  </w:num>
  <w:num w:numId="16" w16cid:durableId="1881746221">
    <w:abstractNumId w:val="11"/>
  </w:num>
  <w:num w:numId="17" w16cid:durableId="156309315">
    <w:abstractNumId w:val="4"/>
  </w:num>
  <w:num w:numId="18" w16cid:durableId="682559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EEE"/>
    <w:rsid w:val="00013935"/>
    <w:rsid w:val="000211E2"/>
    <w:rsid w:val="003D2EAD"/>
    <w:rsid w:val="004A7B09"/>
    <w:rsid w:val="00584CE8"/>
    <w:rsid w:val="005B3724"/>
    <w:rsid w:val="00745DAF"/>
    <w:rsid w:val="007B4EEE"/>
    <w:rsid w:val="007F46D2"/>
    <w:rsid w:val="00893389"/>
    <w:rsid w:val="0096182B"/>
    <w:rsid w:val="00A65A4A"/>
    <w:rsid w:val="00B13168"/>
    <w:rsid w:val="00D50F43"/>
    <w:rsid w:val="00FC1252"/>
    <w:rsid w:val="00FF2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4481F"/>
  <w15:chartTrackingRefBased/>
  <w15:docId w15:val="{D4FFB97D-AD1C-4F63-8CE9-C37F7A3B5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EE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B4EE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B4EE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B4EE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B4EE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B4E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E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E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E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EE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B4EE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B4EE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B4EE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B4EE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B4E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E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E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EEE"/>
    <w:rPr>
      <w:rFonts w:eastAsiaTheme="majorEastAsia" w:cstheme="majorBidi"/>
      <w:color w:val="272727" w:themeColor="text1" w:themeTint="D8"/>
    </w:rPr>
  </w:style>
  <w:style w:type="paragraph" w:styleId="Title">
    <w:name w:val="Title"/>
    <w:basedOn w:val="Normal"/>
    <w:next w:val="Normal"/>
    <w:link w:val="TitleChar"/>
    <w:uiPriority w:val="10"/>
    <w:qFormat/>
    <w:rsid w:val="007B4E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EE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E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E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4EEE"/>
    <w:rPr>
      <w:i/>
      <w:iCs/>
      <w:color w:val="404040" w:themeColor="text1" w:themeTint="BF"/>
    </w:rPr>
  </w:style>
  <w:style w:type="paragraph" w:styleId="ListParagraph">
    <w:name w:val="List Paragraph"/>
    <w:basedOn w:val="Normal"/>
    <w:uiPriority w:val="34"/>
    <w:qFormat/>
    <w:rsid w:val="007B4EEE"/>
    <w:pPr>
      <w:ind w:left="720"/>
      <w:contextualSpacing/>
    </w:pPr>
  </w:style>
  <w:style w:type="character" w:styleId="IntenseEmphasis">
    <w:name w:val="Intense Emphasis"/>
    <w:basedOn w:val="DefaultParagraphFont"/>
    <w:uiPriority w:val="21"/>
    <w:qFormat/>
    <w:rsid w:val="007B4EEE"/>
    <w:rPr>
      <w:i/>
      <w:iCs/>
      <w:color w:val="365F91" w:themeColor="accent1" w:themeShade="BF"/>
    </w:rPr>
  </w:style>
  <w:style w:type="paragraph" w:styleId="IntenseQuote">
    <w:name w:val="Intense Quote"/>
    <w:basedOn w:val="Normal"/>
    <w:next w:val="Normal"/>
    <w:link w:val="IntenseQuoteChar"/>
    <w:uiPriority w:val="30"/>
    <w:qFormat/>
    <w:rsid w:val="007B4EE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B4EEE"/>
    <w:rPr>
      <w:i/>
      <w:iCs/>
      <w:color w:val="365F91" w:themeColor="accent1" w:themeShade="BF"/>
    </w:rPr>
  </w:style>
  <w:style w:type="character" w:styleId="IntenseReference">
    <w:name w:val="Intense Reference"/>
    <w:basedOn w:val="DefaultParagraphFont"/>
    <w:uiPriority w:val="32"/>
    <w:qFormat/>
    <w:rsid w:val="007B4EE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kumar Narava</dc:creator>
  <cp:keywords/>
  <dc:description/>
  <cp:lastModifiedBy>Sai kumar Narava</cp:lastModifiedBy>
  <cp:revision>20</cp:revision>
  <dcterms:created xsi:type="dcterms:W3CDTF">2025-12-25T08:50:00Z</dcterms:created>
  <dcterms:modified xsi:type="dcterms:W3CDTF">2025-12-25T09:51:00Z</dcterms:modified>
</cp:coreProperties>
</file>