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officeDocument/2006/relationships/extended-properties" Target="docProps/app.xml" Id="rId4" /><Relationship Type="http://schemas.openxmlformats.org/officeDocument/2006/relationships/officeDocument" Target="word/document.xml" Id="rId1" /><Relationship Type="http://schemas.openxmlformats.org/package/2006/relationships/metadata/thumbnail" Target="docProps/thumbnail.jpeg" Id="rId2" /><Relationship Type="http://schemas.openxmlformats.org/officeDocument/2006/relationships/custom-properties" Target="/docProps/custom.xml" Id="R7969d157212148a4" /></Relationships>
</file>

<file path=word/document.xml><?xml version="1.0" encoding="utf-8"?>
<w:document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100000" w14:textId="00100001">
      <w:pPr>
        <w:pStyle w:val="Title"/>
        <w:spacing w:before="1320" w:after="280"/>
        <w:jc w:val="center"/>
      </w:pPr>
      <w:r>
        <w:rPr>
          <w:rFonts w:ascii="Times New Roman" w:hAnsi="Times New Roman"/>
          <w:i w:val="0"/>
          <w:color w:val="000000"/>
        </w:rPr>
        <w:t>PI-Guard — Review 1 Council Report</w:t>
      </w:r>
    </w:p>
    <w:p w14:paraId="00100002" w14:textId="00100003">
      <w:pPr>
        <w:pStyle w:val="Subtitle"/>
        <w:spacing w:after="520"/>
        <w:jc w:val="center"/>
      </w:pPr>
      <w:r>
        <w:rPr>
          <w:rFonts w:ascii="Times New Roman" w:hAnsi="Times New Roman"/>
          <w:i w:val="0"/>
          <w:color w:val="000000"/>
        </w:rPr>
        <w:t>Chapters 1–2 and Review 1 assessment</w:t>
      </w:r>
    </w:p>
    <w:p w14:paraId="00100004" w14:textId="00100005">
      <w:pPr>
        <w:jc w:val="center"/>
      </w:pPr>
      <w:r>
        <w:rPr>
          <w:rFonts w:ascii="Times New Roman" w:hAnsi="Times New Roman"/>
          <w:b/>
          <w:i w:val="0"/>
          <w:color w:val="000000"/>
        </w:rPr>
        <w:t>Project:</w:t>
      </w:r>
      <w:r>
        <w:rPr>
          <w:rFonts w:ascii="Times New Roman" w:hAnsi="Times New Roman"/>
          <w:i w:val="0"/>
          <w:color w:val="000000"/>
        </w:rPr>
        <w:t xml:space="preserve"> A Machine-Learning Guardrail for Detecting Prompt Injection and Jailbreak Attacks on LLM Applications</w:t>
      </w:r>
    </w:p>
    <w:p w14:paraId="00100006" w14:textId="00100007">
      <w:pPr>
        <w:jc w:val="center"/>
      </w:pPr>
      <w:r>
        <w:rPr>
          <w:rFonts w:ascii="Times New Roman" w:hAnsi="Times New Roman"/>
          <w:b/>
          <w:i w:val="0"/>
          <w:color w:val="000000"/>
        </w:rPr>
        <w:t>Course:</w:t>
      </w:r>
      <w:r>
        <w:rPr>
          <w:rFonts w:ascii="Times New Roman" w:hAnsi="Times New Roman"/>
          <w:i w:val="0"/>
          <w:color w:val="000000"/>
        </w:rPr>
        <w:t xml:space="preserve"> IAP491, FPT University, Fall 2026</w:t>
      </w:r>
    </w:p>
    <w:p w14:paraId="00100008" w14:textId="00100009">
      <w:pPr>
        <w:jc w:val="center"/>
      </w:pPr>
      <w:r>
        <w:rPr>
          <w:rFonts w:ascii="Times New Roman" w:hAnsi="Times New Roman"/>
          <w:b/>
          <w:i w:val="0"/>
          <w:color w:val="000000"/>
        </w:rPr>
        <w:t>Team members</w:t>
      </w:r>
    </w:p>
    <w:p w14:paraId="0010000A" w14:textId="0010000B">
      <w:pPr>
        <w:spacing w:after="40"/>
        <w:jc w:val="center"/>
      </w:pPr>
      <w:r>
        <w:rPr>
          <w:rFonts w:ascii="Times New Roman" w:hAnsi="Times New Roman"/>
          <w:i w:val="0"/>
          <w:color w:val="000000"/>
        </w:rPr>
        <w:t>Nguyễn Văn Trường (SE182034)</w:t>
      </w:r>
    </w:p>
    <w:p w14:paraId="0010000C" w14:textId="0010000D">
      <w:pPr>
        <w:spacing w:after="40"/>
        <w:jc w:val="center"/>
      </w:pPr>
      <w:r>
        <w:rPr>
          <w:rFonts w:ascii="Times New Roman" w:hAnsi="Times New Roman"/>
          <w:i w:val="0"/>
          <w:color w:val="000000"/>
        </w:rPr>
        <w:t>Nguyễn Quí Đức (SE182087)</w:t>
      </w:r>
    </w:p>
    <w:p w14:paraId="0010000E" w14:textId="0010000F">
      <w:pPr>
        <w:spacing w:after="40"/>
        <w:jc w:val="center"/>
      </w:pPr>
      <w:r>
        <w:rPr>
          <w:rFonts w:ascii="Times New Roman" w:hAnsi="Times New Roman"/>
          <w:i w:val="0"/>
          <w:color w:val="000000"/>
        </w:rPr>
        <w:t>Phạm Minh Hoàng Việt (SE181851)</w:t>
      </w:r>
    </w:p>
    <w:p w14:paraId="00100010" w14:textId="00100011">
      <w:pPr>
        <w:spacing w:after="40"/>
        <w:jc w:val="center"/>
      </w:pPr>
      <w:r>
        <w:rPr>
          <w:rFonts w:ascii="Times New Roman" w:hAnsi="Times New Roman"/>
          <w:i w:val="0"/>
          <w:color w:val="000000"/>
        </w:rPr>
        <w:t>Đỗ Đoàn Duy Phương (SE180235)</w:t>
      </w:r>
    </w:p>
    <w:p w14:paraId="00100012" w14:textId="00100013">
      <w:pPr>
        <w:jc w:val="left"/>
      </w:pPr>
      <w:r>
        <w:rPr>
          <w:rFonts w:ascii="Times New Roman" w:hAnsi="Times New Roman"/>
          <w:b/>
          <w:i w:val="0"/>
          <w:color w:val="000000"/>
        </w:rPr>
        <w:t>Review 1 evidence cut-off:</w:t>
      </w:r>
      <w:r>
        <w:rPr>
          <w:rFonts w:ascii="Times New Roman" w:hAnsi="Times New Roman"/>
          <w:i w:val="0"/>
          <w:color w:val="000000"/>
        </w:rPr>
        <w:t xml:space="preserve"> 30 September 2026</w:t>
      </w:r>
    </w:p>
    <w:p w14:paraId="00100014" w14:textId="00100015">
      <w:pPr>
        <w:pStyle w:val="Heading1"/>
        <w:pageBreakBefore/>
      </w:pPr>
      <w:r>
        <w:rPr>
          <w:rFonts w:ascii="Times New Roman" w:hAnsi="Times New Roman"/>
          <w:i w:val="0"/>
          <w:color w:val="000000"/>
        </w:rPr>
        <w:t>CHAPTER 1 — INTRODUCTION</w:t>
      </w:r>
    </w:p>
    <w:p w14:paraId="00100016" w14:textId="00100017">
      <w:pPr>
        <w:pStyle w:val="Heading2"/>
        <w:pageBreakBefore w:val="0"/>
      </w:pPr>
      <w:r>
        <w:rPr>
          <w:rFonts w:ascii="Times New Roman" w:hAnsi="Times New Roman"/>
          <w:i w:val="0"/>
          <w:color w:val="000000"/>
        </w:rPr>
        <w:t>1.1. Background</w:t>
      </w:r>
    </w:p>
    <w:p w14:paraId="00100018" w14:textId="00100019">
      <w:pPr>
        <w:jc w:val="both"/>
      </w:pPr>
      <w:r>
        <w:rPr>
          <w:rFonts w:ascii="Times New Roman" w:hAnsi="Times New Roman"/>
          <w:i w:val="0"/>
          <w:color w:val="000000"/>
        </w:rPr>
        <w:t>LLM applications may combine application instructions with user prompts and externally supplied content. Direct prompt injection targets a model through a user prompt; indirect prompt injection can enter through retrieved or otherwise application-supplied text. Jailbreak prompts address the related but distinct goal of eliciting behavior that a model’s safety policy is intended to refuse. These threats should be described and evaluated according to their source, context, and annotation protocol rather than treated as interchangeable labels. [2] [3] [4] [9]</w:t>
      </w:r>
    </w:p>
    <w:p w14:paraId="0010001A" w14:textId="0010015B">
      <w:pPr>
        <w:jc w:val="both"/>
      </w:pPr>
      <w:r>
        <w:rPr>
          <w:rFonts w:ascii="Times New Roman" w:hAnsi="Times New Roman"/>
          <w:i w:val="0"/>
          <w:color w:val="000000"/>
        </w:rPr>
        <w:t xml:space="preserve">PI-Guard is scoped as an external, text-based guardrail with three intended labels: Benign, Prompt Injection, and Jailbreak. The retained PIDS-Bench result is its same-paper binary TF-IDF + Logistic Regression baseline. A separate PIGuard-only run uses public evaluation assets released with the PIGuard paper [17]. The local ProtectAI cross-paper comparisons have been withdrawn; neither retained run establishes three-class PI-Guard performance or a cascade.</w:t>
      </w:r>
    </w:p>
    <w:p w14:paraId="0010001C" w14:textId="0010001D">
      <w:pPr>
        <w:pStyle w:val="Heading2"/>
        <w:pageBreakBefore w:val="0"/>
      </w:pPr>
      <w:r>
        <w:rPr>
          <w:rFonts w:ascii="Times New Roman" w:hAnsi="Times New Roman"/>
          <w:i w:val="0"/>
          <w:color w:val="000000"/>
        </w:rPr>
        <w:t>1.2. Problem Statement</w:t>
      </w:r>
    </w:p>
    <w:p w14:paraId="0010001E" w14:textId="0010001F">
      <w:pPr>
        <w:jc w:val="both"/>
      </w:pPr>
      <w:r>
        <w:rPr>
          <w:rFonts w:ascii="Times New Roman" w:hAnsi="Times New Roman"/>
          <w:i w:val="0"/>
          <w:color w:val="000000"/>
        </w:rPr>
        <w:t>LLM-integrated applications can consume attacker-controlled text through direct prompts or external content. Prior work documents indirect attack paths in applications that retrieve or process external material, while jailbreak research examines attempts to evade refusal behavior. This evidence motivates the guardrail problem but does not establish the effectiveness of PI-Guard or any particular classifier. [2] [3] [4]</w:t>
      </w:r>
    </w:p>
    <w:p w14:paraId="00100020" w14:textId="00100021">
      <w:pPr>
        <w:jc w:val="both"/>
      </w:pPr>
      <w:r>
        <w:rPr>
          <w:rFonts w:ascii="Times New Roman" w:hAnsi="Times New Roman"/>
          <w:i w:val="0"/>
          <w:color w:val="000000"/>
        </w:rPr>
        <w:t>The research problem is whether an external text classifier can distinguish the project’s three declared categories while avoiding excessive flagging of benign inputs, under an evaluation protocol that preserves source labels and denominators. A binary flag from a released comparator cannot answer this three-class question, and a classifier flag alone does not show that an attack succeeded against a downstream LLM.</w:t>
      </w:r>
    </w:p>
    <w:p w14:paraId="00100022" w14:textId="00100023">
      <w:pPr>
        <w:spacing w:after="20"/>
        <w:jc w:val="center"/>
      </w:pPr>
      <w:r>
        <w:drawing>
          <wp:inline xmlns:a="http://schemas.openxmlformats.org/drawingml/2006/main" xmlns:pic="http://schemas.openxmlformats.org/drawingml/2006/picture">
            <wp:extent cx="5761517" cy="3886200"/>
            <wp:docPr id="1" name="Picture 1" descr="Attack flow illustrating indirect prompt injection in an LLM-integrated application" title="Attack flow illustrating indirect prompt injection in an LLM-integrated application"/>
            <wp:cNvGraphicFramePr>
              <a:graphicFrameLocks noChangeAspect="1"/>
            </wp:cNvGraphicFramePr>
            <a:graphic>
              <a:graphicData uri="http://schemas.openxmlformats.org/drawingml/2006/picture">
                <pic:pic>
                  <pic:nvPicPr>
                    <pic:cNvPr id="0" name="greshake_fig1_indirect_injection.png"/>
                    <pic:cNvPicPr/>
                  </pic:nvPicPr>
                  <pic:blipFill>
                    <a:blip r:embed="rId9"/>
                    <a:stretch>
                      <a:fillRect/>
                    </a:stretch>
                  </pic:blipFill>
                  <pic:spPr>
                    <a:xfrm>
                      <a:off x="0" y="0"/>
                      <a:ext cx="5761517" cy="3886200"/>
                    </a:xfrm>
                    <a:prstGeom prst="rect"/>
                  </pic:spPr>
                </pic:pic>
              </a:graphicData>
            </a:graphic>
          </wp:inline>
        </w:drawing>
      </w:r>
    </w:p>
    <w:p w14:paraId="00100024" w14:textId="00100025">
      <w:pPr>
        <w:spacing w:after="180"/>
        <w:jc w:val="center"/>
      </w:pPr>
      <w:r>
        <w:rPr>
          <w:rFonts w:ascii="Times New Roman" w:hAnsi="Times New Roman"/>
          <w:i/>
          <w:color w:val="000000"/>
          <w:sz w:val="18"/>
        </w:rPr>
        <w:t>Figure 1. Example indirect prompt-injection flow in an LLM-integrated application. Reproduced from Greshake et al. [3, Fig. 1]. The figure illustrates a threat documented in prior work; it is not a PI-Guard experiment.</w:t>
      </w:r>
    </w:p>
    <w:p w14:paraId="00100026" w14:textId="00100027">
      <w:pPr>
        <w:pStyle w:val="Heading2"/>
        <w:pageBreakBefore w:val="0"/>
      </w:pPr>
      <w:r>
        <w:rPr>
          <w:rFonts w:ascii="Times New Roman" w:hAnsi="Times New Roman"/>
          <w:i w:val="0"/>
          <w:color w:val="000000"/>
        </w:rPr>
        <w:t>1.3. Research Objectives</w:t>
      </w:r>
    </w:p>
    <w:p w14:paraId="00100028" w14:textId="00100029">
      <w:pPr>
        <w:jc w:val="both"/>
      </w:pPr>
      <w:r>
        <w:rPr>
          <w:rFonts w:ascii="Times New Roman" w:hAnsi="Times New Roman"/>
          <w:b/>
          <w:i w:val="0"/>
          <w:color w:val="000000"/>
        </w:rPr>
        <w:t>General objective.</w:t>
      </w:r>
      <w:r>
        <w:rPr>
          <w:rFonts w:ascii="Times New Roman" w:hAnsi="Times New Roman"/>
          <w:i w:val="0"/>
          <w:color w:val="000000"/>
        </w:rPr>
        <w:t xml:space="preserve"> To design and evaluate an external text guardrail for LLM applications that classifies prompts as benign, prompt injection, or jailbreak, and to assess its generalization, robustness to specified prompt obfuscations, and false-positive behavior using a documented evaluation protocol.</w:t>
      </w:r>
    </w:p>
    <w:p w14:paraId="0010002A" w14:textId="0010002B">
      <w:pPr>
        <w:jc w:val="both"/>
      </w:pPr>
      <w:r>
        <w:rPr>
          <w:rFonts w:ascii="Times New Roman" w:hAnsi="Times New Roman"/>
          <w:b/>
          <w:i w:val="0"/>
          <w:color w:val="000000"/>
        </w:rPr>
        <w:t>Specific objectives.</w:t>
      </w:r>
    </w:p>
    <w:p w14:paraId="0010002C" w14:textId="0010002D">
      <w:pPr>
        <w:pStyle w:val="ListNumber"/>
        <w:spacing w:after="40"/>
      </w:pPr>
      <w:r>
        <w:rPr>
          <w:rFonts w:ascii="Times New Roman" w:hAnsi="Times New Roman"/>
          <w:i w:val="0"/>
          <w:color w:val="000000"/>
        </w:rPr>
        <w:t>Define the threat categories and retain the provenance, labels, and construction context of each evaluation source.</w:t>
      </w:r>
    </w:p>
    <w:p w14:paraId="0010002E" w14:textId="0010002F">
      <w:pPr>
        <w:pStyle w:val="ListNumber"/>
        <w:spacing w:after="40"/>
      </w:pPr>
      <w:r>
        <w:rPr>
          <w:rFonts w:ascii="Times New Roman" w:hAnsi="Times New Roman"/>
          <w:i w:val="0"/>
          <w:color w:val="000000"/>
        </w:rPr>
        <w:t>Compare record-random and group-aware evaluation so the effect of related examples crossing data partitions can be measured.</w:t>
      </w:r>
    </w:p>
    <w:p w14:paraId="00100030" w14:textId="00100151">
      <w:pPr>
        <w:pStyle w:val="ListNumber"/>
        <w:spacing w:after="40"/>
      </w:pPr>
      <w:r>
        <w:rPr>
          <w:rFonts w:ascii="Times New Roman" w:hAnsi="Times New Roman"/>
          <w:i w:val="0"/>
          <w:color w:val="000000"/>
        </w:rPr>
        <w:t xml:space="preserve">Establish paper-backed binary reference baselines separately from the planned three-class PI-Guard evaluation; assess an integrated arrangement only in a later shared-set study.</w:t>
      </w:r>
    </w:p>
    <w:p w14:paraId="00100032" w14:textId="00100033">
      <w:pPr>
        <w:pStyle w:val="ListNumber"/>
        <w:spacing w:after="40"/>
      </w:pPr>
      <w:r>
        <w:rPr>
          <w:rFonts w:ascii="Times New Roman" w:hAnsi="Times New Roman"/>
          <w:i w:val="0"/>
          <w:color w:val="000000"/>
        </w:rPr>
        <w:t>Evaluate class-wise detection and benign-input false positives, and assess robustness to specified obfuscations such as leetspeak, Base64, and spacing.</w:t>
      </w:r>
    </w:p>
    <w:p w14:paraId="00100034" w14:textId="00100035">
      <w:pPr>
        <w:pStyle w:val="ListNumber"/>
        <w:spacing w:after="40"/>
      </w:pPr>
      <w:r>
        <w:rPr>
          <w:rFonts w:ascii="Times New Roman" w:hAnsi="Times New Roman"/>
          <w:i w:val="0"/>
          <w:color w:val="000000"/>
        </w:rPr>
        <w:t>Integrate a trained classifier into an academic proof-of-concept API that blocks or flags malicious prompts before they reach the downstream LLM.</w:t>
      </w:r>
    </w:p>
    <w:p w14:paraId="00100036" w14:textId="00100141">
      <w:pPr>
        <w:keepNext/>
        <w:spacing w:before="160" w:after="40"/>
        <w:jc w:val="center"/>
      </w:pPr>
    </w:p>
    <w:p w14:paraId="0010003A" w14:textId="0010003B">
      <w:pPr>
        <w:jc w:val="both"/>
      </w:pPr>
      <w:r>
        <w:rPr>
          <w:rFonts w:ascii="Times New Roman" w:hAnsi="Times New Roman"/>
          <w:i w:val="0"/>
          <w:color w:val="000000"/>
        </w:rPr>
        <w:t>The objectives are guided by three research questions:</w:t>
      </w:r>
    </w:p>
    <w:p w14:paraId="0010003C" w14:textId="0010003D">
      <w:pPr>
        <w:jc w:val="both"/>
      </w:pPr>
      <w:r>
        <w:rPr>
          <w:rFonts w:ascii="Times New Roman" w:hAnsi="Times New Roman"/>
          <w:b/>
          <w:i w:val="0"/>
          <w:color w:val="000000"/>
        </w:rPr>
        <w:t>RQ1 — Generalization under data partitioning:</w:t>
      </w:r>
      <w:r>
        <w:rPr>
          <w:rFonts w:ascii="Times New Roman" w:hAnsi="Times New Roman"/>
          <w:i w:val="0"/>
          <w:color w:val="000000"/>
        </w:rPr>
        <w:t xml:space="preserve"> How do performance estimates for the same three-class classifier change when related examples are kept in group-aware partitions rather than assigned by record-random splitting?</w:t>
      </w:r>
    </w:p>
    <w:p w14:paraId="0010003E" w14:textId="0010003F">
      <w:pPr>
        <w:jc w:val="both"/>
      </w:pPr>
      <w:r>
        <w:rPr>
          <w:rFonts w:ascii="Times New Roman" w:hAnsi="Times New Roman"/>
          <w:b/>
          <w:i w:val="0"/>
          <w:color w:val="000000"/>
        </w:rPr>
        <w:t>RQ2 — Robustness to prompt obfuscation:</w:t>
      </w:r>
      <w:r>
        <w:rPr>
          <w:rFonts w:ascii="Times New Roman" w:hAnsi="Times New Roman"/>
          <w:i w:val="0"/>
          <w:color w:val="000000"/>
        </w:rPr>
        <w:t xml:space="preserve"> How does each classifier’s detection change under specified prompt obfuscations such as leetspeak, Base64, and spacing, and does the effect differ by attack source?</w:t>
      </w:r>
    </w:p>
    <w:p w14:paraId="00100040" w14:textId="00100041">
      <w:pPr>
        <w:jc w:val="both"/>
      </w:pPr>
      <w:r>
        <w:rPr>
          <w:rFonts w:ascii="Times New Roman" w:hAnsi="Times New Roman"/>
          <w:b/>
          <w:i w:val="0"/>
          <w:color w:val="000000"/>
        </w:rPr>
        <w:t>RQ3 — Three-class detection and benign false positives:</w:t>
      </w:r>
      <w:r>
        <w:rPr>
          <w:rFonts w:ascii="Times New Roman" w:hAnsi="Times New Roman"/>
          <w:i w:val="0"/>
          <w:color w:val="000000"/>
        </w:rPr>
        <w:t xml:space="preserve"> On held-out data, how do candidate classifiers compare in detecting benign, prompt-injection, and jailbreak inputs, and what false-positive burden do they impose on benign prompts?</w:t>
      </w:r>
    </w:p>
    <w:p w14:paraId="00100042" w14:textId="00100140">
      <w:pPr>
        <w:keepNext/>
        <w:spacing w:before="160" w:after="40"/>
        <w:jc w:val="center"/>
      </w:pPr>
    </w:p>
    <w:p w14:paraId="00100046" w14:textId="00100047">
      <w:pPr>
        <w:pStyle w:val="Heading2"/>
        <w:pageBreakBefore w:val="0"/>
      </w:pPr>
      <w:r>
        <w:rPr>
          <w:rFonts w:ascii="Times New Roman" w:hAnsi="Times New Roman"/>
          <w:i w:val="0"/>
          <w:color w:val="000000"/>
        </w:rPr>
        <w:t>1.4. Significance of the Study</w:t>
      </w:r>
    </w:p>
    <w:p w14:paraId="00100048" w14:textId="00100049">
      <w:pPr>
        <w:jc w:val="both"/>
      </w:pPr>
      <w:r>
        <w:rPr>
          <w:rFonts w:ascii="Times New Roman" w:hAnsi="Times New Roman"/>
          <w:i w:val="0"/>
          <w:color w:val="000000"/>
        </w:rPr>
        <w:t>The study can contribute an evidence-bounded comparison of text guardrails by preserving dataset provenance, distinguishing attack categories, and reporting benign false positives alongside attack detection. Published systems and benchmarks use different tasks, labels, models, and test protocols, so their scores are not directly interchangeable. [5] [6] [13] [14] [15]</w:t>
      </w:r>
    </w:p>
    <w:p w14:paraId="0010004A" w14:textId="0010004B">
      <w:pPr>
        <w:jc w:val="both"/>
      </w:pPr>
      <w:r>
        <w:rPr>
          <w:rFonts w:ascii="Times New Roman" w:hAnsi="Times New Roman"/>
          <w:i w:val="0"/>
          <w:color w:val="000000"/>
        </w:rPr>
        <w:t>Its practical contribution, if established, would be an academic proof of concept for checking text at an application boundary. An ingress classifier can be evaluated as one control in a larger application, but it cannot by itself guarantee detection of all attacks or replace downstream authorization and output controls. [11]</w:t>
      </w:r>
    </w:p>
    <w:p w14:paraId="0010004C" w14:textId="0010004D">
      <w:pPr>
        <w:pStyle w:val="Heading2"/>
        <w:pageBreakBefore w:val="0"/>
      </w:pPr>
      <w:r>
        <w:rPr>
          <w:rFonts w:ascii="Times New Roman" w:hAnsi="Times New Roman"/>
          <w:i w:val="0"/>
          <w:color w:val="000000"/>
        </w:rPr>
        <w:t>1.5. Scope and Limitations</w:t>
      </w:r>
    </w:p>
    <w:tbl>
      <w:tblPr>
        <w:tblStyle w:val="TableGrid"/>
        <w:tblW w:w="0" w:type="auto"/>
        <w:jc w:val="center"/>
        <w:tblLayout w:type="autofit"/>
        <w:tblLook w:val="04A0" w:firstRow="1" w:lastRow="0" w:firstColumn="1" w:lastColumn="0" w:noHBand="0" w:noVBand="1"/>
      </w:tblPr>
      <w:tblGrid>
        <w:gridCol w:w="3182"/>
        <w:gridCol w:w="3182"/>
        <w:gridCol w:w="3182"/>
      </w:tblGrid>
      <w:tr>
        <w:trPr>
          <w:cantSplit/>
        </w:trPr>
        <w:tc>
          <w:tcPr>
            <w:tcW w:w="3182" w:type="dxa"/>
            <w:vAlign w:val="top"/>
          </w:tcPr>
          <w:p w14:paraId="0010004E" w14:textId="0010004F">
            <w:pPr>
              <w:spacing w:after="20" w:line="240" w:lineRule="auto"/>
            </w:pPr>
            <w:r>
              <w:rPr>
                <w:rFonts w:ascii="Times New Roman" w:hAnsi="Times New Roman"/>
                <w:b/>
                <w:i w:val="0"/>
                <w:color w:val="000000"/>
                <w:sz w:val="17"/>
              </w:rPr>
              <w:t>Dimension</w:t>
            </w:r>
          </w:p>
        </w:tc>
        <w:tc>
          <w:tcPr>
            <w:tcW w:w="3182" w:type="dxa"/>
            <w:vAlign w:val="top"/>
          </w:tcPr>
          <w:p w14:paraId="00100050" w14:textId="00100051">
            <w:pPr>
              <w:spacing w:after="20" w:line="240" w:lineRule="auto"/>
            </w:pPr>
            <w:r>
              <w:rPr>
                <w:rFonts w:ascii="Times New Roman" w:hAnsi="Times New Roman"/>
                <w:b/>
                <w:i w:val="0"/>
                <w:color w:val="000000"/>
                <w:sz w:val="17"/>
              </w:rPr>
              <w:t>Scope for this study</w:t>
            </w:r>
          </w:p>
        </w:tc>
        <w:tc>
          <w:tcPr>
            <w:tcW w:w="3182" w:type="dxa"/>
            <w:vAlign w:val="top"/>
          </w:tcPr>
          <w:p w14:paraId="00100052" w14:textId="00100053">
            <w:pPr>
              <w:spacing w:after="20" w:line="240" w:lineRule="auto"/>
            </w:pPr>
            <w:r>
              <w:rPr>
                <w:rFonts w:ascii="Times New Roman" w:hAnsi="Times New Roman"/>
                <w:b/>
                <w:i w:val="0"/>
                <w:color w:val="000000"/>
                <w:sz w:val="17"/>
              </w:rPr>
              <w:t>Limitation at Review 1</w:t>
            </w:r>
          </w:p>
        </w:tc>
      </w:tr>
      <w:tr>
        <w:trPr>
          <w:cantSplit/>
        </w:trPr>
        <w:tc>
          <w:tcPr>
            <w:tcW w:w="3182" w:type="dxa"/>
            <w:vAlign w:val="top"/>
          </w:tcPr>
          <w:p w14:paraId="00100054" w14:textId="00100055">
            <w:pPr>
              <w:spacing w:after="20" w:line="240" w:lineRule="auto"/>
            </w:pPr>
            <w:r>
              <w:rPr>
                <w:rFonts w:ascii="Times New Roman" w:hAnsi="Times New Roman"/>
                <w:b w:val="0"/>
                <w:i w:val="0"/>
                <w:color w:val="000000"/>
                <w:sz w:val="17"/>
              </w:rPr>
              <w:t>Task labels</w:t>
            </w:r>
          </w:p>
        </w:tc>
        <w:tc>
          <w:tcPr>
            <w:tcW w:w="3182" w:type="dxa"/>
            <w:vAlign w:val="top"/>
          </w:tcPr>
          <w:p w14:paraId="00100056" w14:textId="00100057">
            <w:pPr>
              <w:spacing w:after="20" w:line="240" w:lineRule="auto"/>
            </w:pPr>
            <w:r>
              <w:rPr>
                <w:rFonts w:ascii="Times New Roman" w:hAnsi="Times New Roman"/>
                <w:b w:val="0"/>
                <w:i w:val="0"/>
                <w:color w:val="000000"/>
                <w:sz w:val="17"/>
              </w:rPr>
              <w:t>Three output labels: Benign, Prompt Injection, and Jailbreak.</w:t>
            </w:r>
          </w:p>
        </w:tc>
        <w:tc>
          <w:tcPr>
            <w:tcW w:w="3182" w:type="dxa"/>
            <w:vAlign w:val="top"/>
          </w:tcPr>
          <w:p w14:paraId="00100058" w14:textId="00100059">
            <w:pPr>
              <w:spacing w:after="20" w:line="240" w:lineRule="auto"/>
            </w:pPr>
            <w:r>
              <w:rPr>
                <w:rFonts w:ascii="Times New Roman" w:hAnsi="Times New Roman"/>
                <w:b w:val="0"/>
                <w:i w:val="0"/>
                <w:color w:val="000000"/>
                <w:sz w:val="17"/>
              </w:rPr>
              <w:t>Dataset labels originate from different annotation protocols and must not be assumed semantically identical.</w:t>
            </w:r>
          </w:p>
        </w:tc>
      </w:tr>
      <w:tr>
        <w:trPr>
          <w:cantSplit/>
        </w:trPr>
        <w:tc>
          <w:tcPr>
            <w:tcW w:w="3182" w:type="dxa"/>
            <w:vAlign w:val="top"/>
          </w:tcPr>
          <w:p w14:paraId="0010005A" w14:textId="0010005B">
            <w:pPr>
              <w:spacing w:after="20" w:line="240" w:lineRule="auto"/>
            </w:pPr>
            <w:r>
              <w:rPr>
                <w:rFonts w:ascii="Times New Roman" w:hAnsi="Times New Roman"/>
                <w:b w:val="0"/>
                <w:i w:val="0"/>
                <w:color w:val="000000"/>
                <w:sz w:val="17"/>
              </w:rPr>
              <w:t>Inputs</w:t>
            </w:r>
          </w:p>
        </w:tc>
        <w:tc>
          <w:tcPr>
            <w:tcW w:w="3182" w:type="dxa"/>
            <w:vAlign w:val="top"/>
          </w:tcPr>
          <w:p w14:paraId="0010005C" w14:textId="0010005D">
            <w:pPr>
              <w:spacing w:after="20" w:line="240" w:lineRule="auto"/>
            </w:pPr>
            <w:r>
              <w:rPr>
                <w:rFonts w:ascii="Times New Roman" w:hAnsi="Times New Roman"/>
                <w:b w:val="0"/>
                <w:i w:val="0"/>
                <w:color w:val="000000"/>
                <w:sz w:val="17"/>
              </w:rPr>
              <w:t>English text, including direct prompts and text supplied through an LLM-integrated application.</w:t>
            </w:r>
          </w:p>
        </w:tc>
        <w:tc>
          <w:tcPr>
            <w:tcW w:w="3182" w:type="dxa"/>
            <w:vAlign w:val="top"/>
          </w:tcPr>
          <w:p w14:paraId="0010005E" w14:textId="0010005F">
            <w:pPr>
              <w:spacing w:after="20" w:line="240" w:lineRule="auto"/>
            </w:pPr>
            <w:r>
              <w:rPr>
                <w:rFonts w:ascii="Times New Roman" w:hAnsi="Times New Roman"/>
                <w:b w:val="0"/>
                <w:i w:val="0"/>
                <w:color w:val="000000"/>
                <w:sz w:val="17"/>
              </w:rPr>
              <w:t>No verified Vietnamese, multimodal, or systematic multi-turn evaluation.</w:t>
            </w:r>
          </w:p>
        </w:tc>
      </w:tr>
      <w:tr>
        <w:trPr>
          <w:cantSplit/>
        </w:trPr>
        <w:tc>
          <w:tcPr>
            <w:tcW w:w="3182" w:type="dxa"/>
            <w:vAlign w:val="top"/>
          </w:tcPr>
          <w:p w14:paraId="00100060" w14:textId="00100061">
            <w:pPr>
              <w:spacing w:after="20" w:line="240" w:lineRule="auto"/>
            </w:pPr>
            <w:r>
              <w:rPr>
                <w:rFonts w:ascii="Times New Roman" w:hAnsi="Times New Roman"/>
                <w:b w:val="0"/>
                <w:i w:val="0"/>
                <w:color w:val="000000"/>
                <w:sz w:val="17"/>
              </w:rPr>
              <w:t>Guardrail location</w:t>
            </w:r>
          </w:p>
        </w:tc>
        <w:tc>
          <w:tcPr>
            <w:tcW w:w="3182" w:type="dxa"/>
            <w:vAlign w:val="top"/>
          </w:tcPr>
          <w:p w14:paraId="00100062" w14:textId="00100063">
            <w:pPr>
              <w:spacing w:after="20" w:line="240" w:lineRule="auto"/>
            </w:pPr>
            <w:r>
              <w:rPr>
                <w:rFonts w:ascii="Times New Roman" w:hAnsi="Times New Roman"/>
                <w:b w:val="0"/>
                <w:i w:val="0"/>
                <w:color w:val="000000"/>
                <w:sz w:val="17"/>
              </w:rPr>
              <w:t>Proposed external ingress classifier before a downstream LLM application treated as a black box.</w:t>
            </w:r>
          </w:p>
        </w:tc>
        <w:tc>
          <w:tcPr>
            <w:tcW w:w="3182" w:type="dxa"/>
            <w:vAlign w:val="top"/>
          </w:tcPr>
          <w:p w14:paraId="00100064" w14:textId="00100065">
            <w:pPr>
              <w:spacing w:after="20" w:line="240" w:lineRule="auto"/>
            </w:pPr>
            <w:r>
              <w:rPr>
                <w:rFonts w:ascii="Times New Roman" w:hAnsi="Times New Roman"/>
                <w:b w:val="0"/>
                <w:i w:val="0"/>
                <w:color w:val="000000"/>
                <w:sz w:val="17"/>
              </w:rPr>
              <w:t>No inspection of downstream model weights, hidden states, or KV cache; no claim of complete protection.</w:t>
            </w:r>
          </w:p>
        </w:tc>
      </w:tr>
      <w:tr>
        <w:trPr>
          <w:cantSplit/>
        </w:trPr>
        <w:tc>
          <w:tcPr>
            <w:tcW w:w="3182" w:type="dxa"/>
            <w:vAlign w:val="top"/>
          </w:tcPr>
          <w:p w14:paraId="00100066" w14:textId="00100067">
            <w:pPr>
              <w:spacing w:after="20" w:line="240" w:lineRule="auto"/>
            </w:pPr>
            <w:r>
              <w:rPr>
                <w:rFonts w:ascii="Times New Roman" w:hAnsi="Times New Roman"/>
                <w:b w:val="0"/>
                <w:i w:val="0"/>
                <w:color w:val="000000"/>
                <w:sz w:val="17"/>
              </w:rPr>
              <w:t>Classifier design</w:t>
            </w:r>
          </w:p>
        </w:tc>
        <w:tc>
          <w:tcPr>
            <w:tcW w:w="3182" w:type="dxa"/>
            <w:vAlign w:val="top"/>
          </w:tcPr>
          <w:p w14:paraId="00100068" w14:textId="00100069">
            <w:pPr>
              <w:spacing w:after="20" w:line="240" w:lineRule="auto"/>
            </w:pPr>
            <w:r>
              <w:rPr>
                <w:rFonts w:ascii="Times New Roman" w:hAnsi="Times New Roman"/>
                <w:b w:val="0"/>
                <w:i w:val="0"/>
                <w:color w:val="000000"/>
                <w:sz w:val="17"/>
              </w:rPr>
              <w:t>Classical and contextual classifier candidates; a two-tier arrangement is a proposal.</w:t>
            </w:r>
          </w:p>
        </w:tc>
        <w:tc>
          <w:tcPr>
            <w:tcW w:w="3182" w:type="dxa"/>
            <w:vAlign w:val="top"/>
          </w:tcPr>
          <w:p w14:paraId="0010006A" w14:textId="0010006B">
            <w:pPr>
              <w:spacing w:after="20" w:line="240" w:lineRule="auto"/>
            </w:pPr>
            <w:r>
              <w:rPr>
                <w:rFonts w:ascii="Times New Roman" w:hAnsi="Times New Roman"/>
                <w:b w:val="0"/>
                <w:i w:val="0"/>
                <w:color w:val="000000"/>
                <w:sz w:val="17"/>
              </w:rPr>
              <w:t>No project-trained DeBERTa or end-to-end two-tier cascade result is established at this cut-off.</w:t>
            </w:r>
          </w:p>
        </w:tc>
      </w:tr>
      <w:tr>
        <w:trPr>
          <w:cantSplit/>
        </w:trPr>
        <w:tc>
          <w:tcPr>
            <w:tcW w:w="3182" w:type="dxa"/>
            <w:vAlign w:val="top"/>
          </w:tcPr>
          <w:p w14:paraId="0010006C" w14:textId="0010006D">
            <w:pPr>
              <w:spacing w:after="20" w:line="240" w:lineRule="auto"/>
            </w:pPr>
            <w:r>
              <w:rPr>
                <w:rFonts w:ascii="Times New Roman" w:hAnsi="Times New Roman"/>
                <w:b w:val="0"/>
                <w:i w:val="0"/>
                <w:color w:val="000000"/>
                <w:sz w:val="17"/>
              </w:rPr>
              <w:t>Evaluation</w:t>
            </w:r>
          </w:p>
        </w:tc>
        <w:tc>
          <w:tcPr>
            <w:tcW w:w="3182" w:type="dxa"/>
            <w:vAlign w:val="top"/>
          </w:tcPr>
          <w:p w14:paraId="0010006E" w14:textId="0010006F">
            <w:pPr>
              <w:spacing w:after="20" w:line="240" w:lineRule="auto"/>
            </w:pPr>
            <w:r>
              <w:rPr>
                <w:rFonts w:ascii="Times New Roman" w:hAnsi="Times New Roman"/>
                <w:b w:val="0"/>
                <w:i w:val="0"/>
                <w:color w:val="000000"/>
                <w:sz w:val="17"/>
              </w:rPr>
              <w:t>Source-aware detection and benign-input false-positive analysis; later project work may test defined text transformations.</w:t>
            </w:r>
          </w:p>
        </w:tc>
        <w:tc>
          <w:tcPr>
            <w:tcW w:w="3182" w:type="dxa"/>
            <w:vAlign w:val="top"/>
          </w:tcPr>
          <w:p w14:paraId="00100070" w14:textId="00100071">
            <w:r>
              <w:rPr>
                <w:rFonts w:ascii="Times New Roman" w:hAnsi="Times New Roman"/>
                <w:color w:val="000000"/>
              </w:rPr>
              <w:t>No PI-Guard-trained classifier evaluation is established at Review 1.</w:t>
            </w:r>
          </w:p>
        </w:tc>
      </w:tr>
      <w:tr>
        <w:trPr>
          <w:cantSplit/>
        </w:trPr>
        <w:tc>
          <w:tcPr>
            <w:tcW w:w="3182" w:type="dxa"/>
            <w:vAlign w:val="top"/>
          </w:tcPr>
          <w:p w14:paraId="00100072" w14:textId="00100073">
            <w:pPr>
              <w:spacing w:after="20" w:line="240" w:lineRule="auto"/>
            </w:pPr>
            <w:r>
              <w:rPr>
                <w:rFonts w:ascii="Times New Roman" w:hAnsi="Times New Roman"/>
                <w:b w:val="0"/>
                <w:i w:val="0"/>
                <w:color w:val="000000"/>
                <w:sz w:val="17"/>
              </w:rPr>
              <w:t>Deployment</w:t>
            </w:r>
          </w:p>
        </w:tc>
        <w:tc>
          <w:tcPr>
            <w:tcW w:w="3182" w:type="dxa"/>
            <w:vAlign w:val="top"/>
          </w:tcPr>
          <w:p w14:paraId="00100074" w14:textId="00100075">
            <w:pPr>
              <w:spacing w:after="20" w:line="240" w:lineRule="auto"/>
            </w:pPr>
            <w:r>
              <w:rPr>
                <w:rFonts w:ascii="Times New Roman" w:hAnsi="Times New Roman"/>
                <w:b w:val="0"/>
                <w:i w:val="0"/>
                <w:color w:val="000000"/>
                <w:sz w:val="17"/>
              </w:rPr>
              <w:t>Academic proof-of-concept API and dashboard, subject to non-mocked evidence.</w:t>
            </w:r>
          </w:p>
        </w:tc>
        <w:tc>
          <w:tcPr>
            <w:tcW w:w="3182" w:type="dxa"/>
            <w:vAlign w:val="top"/>
          </w:tcPr>
          <w:p w14:paraId="00100076" w14:textId="00100077">
            <w:pPr>
              <w:spacing w:after="20" w:line="240" w:lineRule="auto"/>
            </w:pPr>
            <w:r>
              <w:rPr>
                <w:rFonts w:ascii="Times New Roman" w:hAnsi="Times New Roman"/>
                <w:b w:val="0"/>
                <w:i w:val="0"/>
                <w:color w:val="000000"/>
                <w:sz w:val="17"/>
              </w:rPr>
              <w:t>Not production-ready; mock providers and fallback classifiers are not security evidence.</w:t>
            </w:r>
          </w:p>
        </w:tc>
      </w:tr>
    </w:tbl>
    <w:p w14:paraId="00100078" w14:textId="00100079">
      <w:pPr>
        <w:spacing w:after="20"/>
      </w:pPr>
    </w:p>
    <w:p w14:paraId="0010007A" w14:textId="0010007B">
      <w:pPr>
        <w:pStyle w:val="Heading2"/>
        <w:pageBreakBefore w:val="0"/>
      </w:pPr>
      <w:r>
        <w:rPr>
          <w:rFonts w:ascii="Times New Roman" w:hAnsi="Times New Roman"/>
          <w:i w:val="0"/>
          <w:color w:val="000000"/>
        </w:rPr>
        <w:t>1.6. Thesis Structure</w:t>
      </w:r>
    </w:p>
    <w:p w14:paraId="0010007C" w14:textId="0010007D">
      <w:pPr>
        <w:jc w:val="both"/>
      </w:pPr>
      <w:r>
        <w:rPr>
          <w:rFonts w:ascii="Times New Roman" w:hAnsi="Times New Roman"/>
          <w:i w:val="0"/>
          <w:color w:val="000000"/>
        </w:rPr>
        <w:t>Chapter 1 introduces the problem and study purpose; Chapter 2 reviews previous research and states the bounded contribution. The remaining thesis chapters are planned to describe methodology, completed experiments and results, discussion, and conclusions supported by the eventual evidence.</w:t>
      </w:r>
    </w:p>
    <w:p w14:paraId="0010007E" w14:textId="0010007F">
      <w:pPr>
        <w:pStyle w:val="Heading1"/>
        <w:pageBreakBefore/>
      </w:pPr>
      <w:r>
        <w:rPr>
          <w:rFonts w:ascii="Times New Roman" w:hAnsi="Times New Roman"/>
          <w:i w:val="0"/>
          <w:color w:val="000000"/>
        </w:rPr>
        <w:t>CHAPTER 2 — LITERATURE REVIEW</w:t>
      </w:r>
    </w:p>
    <w:p w14:paraId="00100080" w14:textId="00100081">
      <w:pPr>
        <w:pStyle w:val="Heading2"/>
        <w:pageBreakBefore w:val="0"/>
      </w:pPr>
      <w:r>
        <w:rPr>
          <w:rFonts w:ascii="Times New Roman" w:hAnsi="Times New Roman"/>
          <w:i w:val="0"/>
          <w:color w:val="000000"/>
        </w:rPr>
        <w:t>2.1. Review of Previous Studies</w:t>
      </w:r>
    </w:p>
    <w:p w14:paraId="00100082" w14:textId="00100083">
      <w:pPr>
        <w:jc w:val="both"/>
      </w:pPr>
      <w:r>
        <w:rPr>
          <w:rFonts w:ascii="Times New Roman" w:hAnsi="Times New Roman"/>
          <w:color w:val="000000"/>
        </w:rPr>
        <w:t>Prompt injection and jailbreak research. Perez and Ribeiro describe direct prompt-injection techniques, including instruction redirection and prompt extraction. Greshake et al. analyze indirect prompt injection in applications that incorporate external content, showing why application context and content source matter. Ouyang et al. study instruction following with human feedback as alignment context, while jailbreak studies examine failures of safety behavior and prompts collected in the wild. These works motivate keeping the input source and intended outcome visible in evaluation; the cited alignment and guardrail systems are references, not PI-Guard results. [1] [2] [3] [4] [9] [12]</w:t>
      </w:r>
    </w:p>
    <w:p w14:paraId="00100084" w14:textId="00100085">
      <w:pPr>
        <w:jc w:val="both"/>
      </w:pPr>
      <w:r>
        <w:rPr>
          <w:rFonts w:ascii="Times New Roman" w:hAnsi="Times New Roman"/>
          <w:b/>
          <w:i w:val="0"/>
          <w:color w:val="000000"/>
        </w:rPr>
        <w:t>Guardrail approaches.</w:t>
      </w:r>
      <w:r>
        <w:rPr>
          <w:rFonts w:ascii="Times New Roman" w:hAnsi="Times New Roman"/>
          <w:i w:val="0"/>
          <w:color w:val="000000"/>
        </w:rPr>
        <w:t xml:space="preserve"> Llama Guard illustrates an LLM-based safeguard for input and output content. NeMo Guardrails presents an application toolkit for controlling LLM interactions through configurable flows. They represent different system approaches and should be compared only under aligned data, labels, hardware, and measurement protocols. [5] [6]</w:t>
      </w:r>
    </w:p>
    <w:p w14:paraId="00100086" w14:textId="00100087">
      <w:pPr>
        <w:spacing w:after="20"/>
        <w:jc w:val="center"/>
      </w:pPr>
      <w:r>
        <w:drawing>
          <wp:inline xmlns:a="http://schemas.openxmlformats.org/drawingml/2006/main" xmlns:pic="http://schemas.openxmlformats.org/drawingml/2006/picture">
            <wp:extent cx="5989320" cy="2650592"/>
            <wp:docPr id="2" name="Picture 2" descr="NeMo Guardrails system architecture from the cited paper" title="NeMo Guardrails system architecture from the cited paper"/>
            <wp:cNvGraphicFramePr>
              <a:graphicFrameLocks noChangeAspect="1"/>
            </wp:cNvGraphicFramePr>
            <a:graphic>
              <a:graphicData uri="http://schemas.openxmlformats.org/drawingml/2006/picture">
                <pic:pic>
                  <pic:nvPicPr>
                    <pic:cNvPr id="0" name="nemo_guardrails_fig3_architecture.png"/>
                    <pic:cNvPicPr/>
                  </pic:nvPicPr>
                  <pic:blipFill>
                    <a:blip r:embed="rId10"/>
                    <a:stretch>
                      <a:fillRect/>
                    </a:stretch>
                  </pic:blipFill>
                  <pic:spPr>
                    <a:xfrm>
                      <a:off x="0" y="0"/>
                      <a:ext cx="5989320" cy="2650592"/>
                    </a:xfrm>
                    <a:prstGeom prst="rect"/>
                  </pic:spPr>
                </pic:pic>
              </a:graphicData>
            </a:graphic>
          </wp:inline>
        </w:drawing>
      </w:r>
    </w:p>
    <w:p w14:paraId="00100088" w14:textId="00100089">
      <w:pPr>
        <w:spacing w:after="180"/>
        <w:jc w:val="center"/>
      </w:pPr>
      <w:r>
        <w:rPr>
          <w:rFonts w:ascii="Times New Roman" w:hAnsi="Times New Roman"/>
          <w:i/>
          <w:color w:val="000000"/>
          <w:sz w:val="18"/>
        </w:rPr>
        <w:t>Figure 2. NeMo Guardrails runtime and application integrations. Reproduced from Rebedea et al. [6, Fig. 3]. This is an example from the cited system paper, not the PI-Guard architecture or a PI-Guard result.</w:t>
      </w:r>
    </w:p>
    <w:p w14:paraId="0010008A" w14:textId="0010008B">
      <w:pPr>
        <w:jc w:val="both"/>
      </w:pPr>
      <w:r>
        <w:rPr>
          <w:rFonts w:ascii="Times New Roman" w:hAnsi="Times New Roman"/>
          <w:i w:val="0"/>
          <w:color w:val="000000"/>
        </w:rPr>
        <w:t>Jain et al. evaluate baseline defenses against adversarial attacks on aligned language models. InjecGuard examines over-defense in prompt-injection guardrails and motivates evaluating benign-input flagging as well as attack detection. Their findings belong to the papers’ own models and protocols; they are not PI-Guard outcomes. DeBERTa-v3 is a pretrained encoder candidate, but its pretraining results do not establish prompt-security performance for a fine-tuned PI-Guard model. [7] [10] [13]</w:t>
      </w:r>
    </w:p>
    <w:p w14:paraId="0010008C" w14:textId="0010008D">
      <w:pPr>
        <w:jc w:val="both"/>
      </w:pPr>
      <w:r>
        <w:rPr>
          <w:rFonts w:ascii="Times New Roman" w:hAnsi="Times New Roman"/>
          <w:b/>
          <w:i w:val="0"/>
          <w:color w:val="000000"/>
        </w:rPr>
        <w:t>Evaluation resources.</w:t>
      </w:r>
      <w:r>
        <w:rPr>
          <w:rFonts w:ascii="Times New Roman" w:hAnsi="Times New Roman"/>
          <w:i w:val="0"/>
          <w:color w:val="000000"/>
        </w:rPr>
        <w:t xml:space="preserve"> BIPIA supplies indirect prompt-injection tasks with constructed application contexts; JailbreakBench supplies jailbreak prompt artifacts and metadata. A prompt flag on either source is not equivalent to the downstream attack-success outcome used in target-model evaluations. Work on undesired-content detection and guardrail over-defense supports measuring false positives on an explicitly described benign population. [8] [13] [14] [15]</w:t>
      </w:r>
    </w:p>
    <w:tbl>
      <w:tblPr>
        <w:tblStyle w:val="TableGrid"/>
        <w:tblW w:w="0" w:type="auto"/>
        <w:jc w:val="center"/>
        <w:tblLayout w:type="autofit"/>
        <w:tblLook w:val="04A0" w:firstRow="1" w:lastRow="0" w:firstColumn="1" w:lastColumn="0" w:noHBand="0" w:noVBand="1"/>
      </w:tblPr>
      <w:tblGrid>
        <w:gridCol w:w="3182"/>
        <w:gridCol w:w="3182"/>
        <w:gridCol w:w="3182"/>
      </w:tblGrid>
      <w:tr>
        <w:trPr>
          <w:cantSplit/>
        </w:trPr>
        <w:tc>
          <w:tcPr>
            <w:tcW w:w="3182" w:type="dxa"/>
            <w:vAlign w:val="top"/>
          </w:tcPr>
          <w:p w14:paraId="0010008E" w14:textId="0010008F">
            <w:pPr>
              <w:spacing w:after="20" w:line="240" w:lineRule="auto"/>
            </w:pPr>
            <w:r>
              <w:rPr>
                <w:rFonts w:ascii="Times New Roman" w:hAnsi="Times New Roman"/>
                <w:b/>
                <w:i w:val="0"/>
                <w:color w:val="000000"/>
                <w:sz w:val="17"/>
              </w:rPr>
              <w:t>Research area</w:t>
            </w:r>
          </w:p>
        </w:tc>
        <w:tc>
          <w:tcPr>
            <w:tcW w:w="3182" w:type="dxa"/>
            <w:vAlign w:val="top"/>
          </w:tcPr>
          <w:p w14:paraId="00100090" w14:textId="00100091">
            <w:pPr>
              <w:spacing w:after="20" w:line="240" w:lineRule="auto"/>
            </w:pPr>
            <w:r>
              <w:rPr>
                <w:rFonts w:ascii="Times New Roman" w:hAnsi="Times New Roman"/>
                <w:b/>
                <w:i w:val="0"/>
                <w:color w:val="000000"/>
                <w:sz w:val="17"/>
              </w:rPr>
              <w:t>Contribution relevant to this study</w:t>
            </w:r>
          </w:p>
        </w:tc>
        <w:tc>
          <w:tcPr>
            <w:tcW w:w="3182" w:type="dxa"/>
            <w:vAlign w:val="top"/>
          </w:tcPr>
          <w:p w14:paraId="00100092" w14:textId="00100093">
            <w:pPr>
              <w:spacing w:after="20" w:line="240" w:lineRule="auto"/>
            </w:pPr>
            <w:r>
              <w:rPr>
                <w:rFonts w:ascii="Times New Roman" w:hAnsi="Times New Roman"/>
                <w:b/>
                <w:i w:val="0"/>
                <w:color w:val="000000"/>
                <w:sz w:val="17"/>
              </w:rPr>
              <w:t>Implication for PI-Guard</w:t>
            </w:r>
          </w:p>
        </w:tc>
      </w:tr>
      <w:tr>
        <w:trPr>
          <w:cantSplit/>
        </w:trPr>
        <w:tc>
          <w:tcPr>
            <w:tcW w:w="3182" w:type="dxa"/>
            <w:vAlign w:val="top"/>
          </w:tcPr>
          <w:p w14:paraId="00100094" w14:textId="00100095">
            <w:pPr>
              <w:spacing w:after="20" w:line="240" w:lineRule="auto"/>
            </w:pPr>
            <w:r>
              <w:rPr>
                <w:rFonts w:ascii="Times New Roman" w:hAnsi="Times New Roman"/>
                <w:b w:val="0"/>
                <w:i w:val="0"/>
                <w:color w:val="000000"/>
                <w:sz w:val="17"/>
              </w:rPr>
              <w:t>Direct prompt injection</w:t>
            </w:r>
          </w:p>
        </w:tc>
        <w:tc>
          <w:tcPr>
            <w:tcW w:w="3182" w:type="dxa"/>
            <w:vAlign w:val="top"/>
          </w:tcPr>
          <w:p w14:paraId="00100096" w14:textId="00100097">
            <w:pPr>
              <w:spacing w:after="20" w:line="240" w:lineRule="auto"/>
            </w:pPr>
            <w:r>
              <w:rPr>
                <w:rFonts w:ascii="Times New Roman" w:hAnsi="Times New Roman"/>
                <w:b w:val="0"/>
                <w:i w:val="0"/>
                <w:color w:val="000000"/>
                <w:sz w:val="17"/>
              </w:rPr>
              <w:t>Prompt-level manipulation and extraction attempts have been documented. [2]</w:t>
            </w:r>
          </w:p>
        </w:tc>
        <w:tc>
          <w:tcPr>
            <w:tcW w:w="3182" w:type="dxa"/>
            <w:vAlign w:val="top"/>
          </w:tcPr>
          <w:p w14:paraId="00100098" w14:textId="00100099">
            <w:pPr>
              <w:spacing w:after="20" w:line="240" w:lineRule="auto"/>
            </w:pPr>
            <w:r>
              <w:rPr>
                <w:rFonts w:ascii="Times New Roman" w:hAnsi="Times New Roman"/>
                <w:b w:val="0"/>
                <w:i w:val="0"/>
                <w:color w:val="000000"/>
                <w:sz w:val="17"/>
              </w:rPr>
              <w:t>Preserve attack source and label meaning.</w:t>
            </w:r>
          </w:p>
        </w:tc>
      </w:tr>
      <w:tr>
        <w:trPr>
          <w:cantSplit/>
        </w:trPr>
        <w:tc>
          <w:tcPr>
            <w:tcW w:w="3182" w:type="dxa"/>
            <w:vAlign w:val="top"/>
          </w:tcPr>
          <w:p w14:paraId="0010009A" w14:textId="0010009B">
            <w:pPr>
              <w:spacing w:after="20" w:line="240" w:lineRule="auto"/>
            </w:pPr>
            <w:r>
              <w:rPr>
                <w:rFonts w:ascii="Times New Roman" w:hAnsi="Times New Roman"/>
                <w:b w:val="0"/>
                <w:i w:val="0"/>
                <w:color w:val="000000"/>
                <w:sz w:val="17"/>
              </w:rPr>
              <w:t>Indirect prompt injection</w:t>
            </w:r>
          </w:p>
        </w:tc>
        <w:tc>
          <w:tcPr>
            <w:tcW w:w="3182" w:type="dxa"/>
            <w:vAlign w:val="top"/>
          </w:tcPr>
          <w:p w14:paraId="0010009C" w14:textId="0010009D">
            <w:pPr>
              <w:spacing w:after="20" w:line="240" w:lineRule="auto"/>
            </w:pPr>
            <w:r>
              <w:rPr>
                <w:rFonts w:ascii="Times New Roman" w:hAnsi="Times New Roman"/>
                <w:b w:val="0"/>
                <w:i w:val="0"/>
                <w:color w:val="000000"/>
                <w:sz w:val="17"/>
              </w:rPr>
              <w:t>External content incorporated by an application can carry adversarial instructions. [3] [14]</w:t>
            </w:r>
          </w:p>
        </w:tc>
        <w:tc>
          <w:tcPr>
            <w:tcW w:w="3182" w:type="dxa"/>
            <w:vAlign w:val="top"/>
          </w:tcPr>
          <w:p w14:paraId="0010009E" w14:textId="0010009F">
            <w:pPr>
              <w:spacing w:after="20" w:line="240" w:lineRule="auto"/>
            </w:pPr>
            <w:r>
              <w:rPr>
                <w:rFonts w:ascii="Times New Roman" w:hAnsi="Times New Roman"/>
                <w:b w:val="0"/>
                <w:i w:val="0"/>
                <w:color w:val="000000"/>
                <w:sz w:val="17"/>
              </w:rPr>
              <w:t>Preserve application context; a payload-only input is a different task.</w:t>
            </w:r>
          </w:p>
        </w:tc>
      </w:tr>
      <w:tr>
        <w:trPr>
          <w:cantSplit/>
        </w:trPr>
        <w:tc>
          <w:tcPr>
            <w:tcW w:w="3182" w:type="dxa"/>
            <w:vAlign w:val="top"/>
          </w:tcPr>
          <w:p w14:paraId="001000A0" w14:textId="001000A1">
            <w:pPr>
              <w:spacing w:after="20" w:line="240" w:lineRule="auto"/>
            </w:pPr>
            <w:r>
              <w:rPr>
                <w:rFonts w:ascii="Times New Roman" w:hAnsi="Times New Roman"/>
                <w:b w:val="0"/>
                <w:i w:val="0"/>
                <w:color w:val="000000"/>
                <w:sz w:val="17"/>
              </w:rPr>
              <w:t>Jailbreak behavior</w:t>
            </w:r>
          </w:p>
        </w:tc>
        <w:tc>
          <w:tcPr>
            <w:tcW w:w="3182" w:type="dxa"/>
            <w:vAlign w:val="top"/>
          </w:tcPr>
          <w:p w14:paraId="001000A2" w14:textId="001000A3">
            <w:pPr>
              <w:spacing w:after="20" w:line="240" w:lineRule="auto"/>
            </w:pPr>
            <w:r>
              <w:rPr>
                <w:rFonts w:ascii="Times New Roman" w:hAnsi="Times New Roman"/>
                <w:b w:val="0"/>
                <w:i w:val="0"/>
                <w:color w:val="000000"/>
                <w:sz w:val="17"/>
              </w:rPr>
              <w:t>Safety-alignment failures and in-the-wild jailbreak prompts have been studied. [4] [9] [12]</w:t>
            </w:r>
          </w:p>
        </w:tc>
        <w:tc>
          <w:tcPr>
            <w:tcW w:w="3182" w:type="dxa"/>
            <w:vAlign w:val="top"/>
          </w:tcPr>
          <w:p w14:paraId="001000A4" w14:textId="001000A5">
            <w:pPr>
              <w:spacing w:after="20" w:line="240" w:lineRule="auto"/>
            </w:pPr>
            <w:r>
              <w:rPr>
                <w:rFonts w:ascii="Times New Roman" w:hAnsi="Times New Roman"/>
                <w:b w:val="0"/>
                <w:i w:val="0"/>
                <w:color w:val="000000"/>
                <w:sz w:val="17"/>
              </w:rPr>
              <w:t>Keep detector flags separate from target-model jailbreak success.</w:t>
            </w:r>
          </w:p>
        </w:tc>
      </w:tr>
      <w:tr>
        <w:trPr>
          <w:cantSplit/>
        </w:trPr>
        <w:tc>
          <w:tcPr>
            <w:tcW w:w="3182" w:type="dxa"/>
            <w:vAlign w:val="top"/>
          </w:tcPr>
          <w:p w14:paraId="001000A6" w14:textId="001000A7">
            <w:pPr>
              <w:spacing w:after="20" w:line="240" w:lineRule="auto"/>
            </w:pPr>
            <w:r>
              <w:rPr>
                <w:rFonts w:ascii="Times New Roman" w:hAnsi="Times New Roman"/>
                <w:b w:val="0"/>
                <w:i w:val="0"/>
                <w:color w:val="000000"/>
                <w:sz w:val="17"/>
              </w:rPr>
              <w:t>Guardrail approaches</w:t>
            </w:r>
          </w:p>
        </w:tc>
        <w:tc>
          <w:tcPr>
            <w:tcW w:w="3182" w:type="dxa"/>
            <w:vAlign w:val="top"/>
          </w:tcPr>
          <w:p w14:paraId="001000A8" w14:textId="001000A9">
            <w:pPr>
              <w:spacing w:after="20" w:line="240" w:lineRule="auto"/>
            </w:pPr>
            <w:r>
              <w:rPr>
                <w:rFonts w:ascii="Times New Roman" w:hAnsi="Times New Roman"/>
                <w:b w:val="0"/>
                <w:i w:val="0"/>
                <w:color w:val="000000"/>
                <w:sz w:val="17"/>
              </w:rPr>
              <w:t>LLM safeguards and application-flow toolkits use different mechanisms. [5] [6]</w:t>
            </w:r>
          </w:p>
        </w:tc>
        <w:tc>
          <w:tcPr>
            <w:tcW w:w="3182" w:type="dxa"/>
            <w:vAlign w:val="top"/>
          </w:tcPr>
          <w:p w14:paraId="001000AA" w14:textId="001000AB">
            <w:pPr>
              <w:spacing w:after="20" w:line="240" w:lineRule="auto"/>
            </w:pPr>
            <w:r>
              <w:rPr>
                <w:rFonts w:ascii="Times New Roman" w:hAnsi="Times New Roman"/>
                <w:b w:val="0"/>
                <w:i w:val="0"/>
                <w:color w:val="000000"/>
                <w:sz w:val="17"/>
              </w:rPr>
              <w:t>Avoid cross-system ranking without matched protocols.</w:t>
            </w:r>
          </w:p>
        </w:tc>
      </w:tr>
      <w:tr>
        <w:trPr>
          <w:cantSplit/>
        </w:trPr>
        <w:tc>
          <w:tcPr>
            <w:tcW w:w="3182" w:type="dxa"/>
            <w:vAlign w:val="top"/>
          </w:tcPr>
          <w:p w14:paraId="001000AC" w14:textId="001000AD">
            <w:pPr>
              <w:spacing w:after="20" w:line="240" w:lineRule="auto"/>
            </w:pPr>
            <w:r>
              <w:rPr>
                <w:rFonts w:ascii="Times New Roman" w:hAnsi="Times New Roman"/>
                <w:b w:val="0"/>
                <w:i w:val="0"/>
                <w:color w:val="000000"/>
                <w:sz w:val="17"/>
              </w:rPr>
              <w:t>Benign-input behavior</w:t>
            </w:r>
          </w:p>
        </w:tc>
        <w:tc>
          <w:tcPr>
            <w:tcW w:w="3182" w:type="dxa"/>
            <w:vAlign w:val="top"/>
          </w:tcPr>
          <w:p w14:paraId="001000AE" w14:textId="001000AF">
            <w:pPr>
              <w:spacing w:after="20" w:line="240" w:lineRule="auto"/>
            </w:pPr>
            <w:r>
              <w:rPr>
                <w:rFonts w:ascii="Times New Roman" w:hAnsi="Times New Roman"/>
                <w:b w:val="0"/>
                <w:i w:val="0"/>
                <w:color w:val="000000"/>
                <w:sz w:val="17"/>
              </w:rPr>
              <w:t>Prior work studies undesired-content detection and guardrail over-defense. [8] [13]</w:t>
            </w:r>
          </w:p>
        </w:tc>
        <w:tc>
          <w:tcPr>
            <w:tcW w:w="3182" w:type="dxa"/>
            <w:vAlign w:val="top"/>
          </w:tcPr>
          <w:p w14:paraId="001000B0" w14:textId="001000B1">
            <w:pPr>
              <w:spacing w:after="20" w:line="240" w:lineRule="auto"/>
            </w:pPr>
            <w:r>
              <w:rPr>
                <w:rFonts w:ascii="Times New Roman" w:hAnsi="Times New Roman"/>
                <w:b w:val="0"/>
                <w:i w:val="0"/>
                <w:color w:val="000000"/>
                <w:sz w:val="17"/>
              </w:rPr>
              <w:t>Report benign false positives alongside attack detection.</w:t>
            </w:r>
          </w:p>
        </w:tc>
      </w:tr>
      <w:tr>
        <w:trPr>
          <w:cantSplit/>
        </w:trPr>
        <w:tc>
          <w:tcPr>
            <w:tcW w:w="3182" w:type="dxa"/>
            <w:vAlign w:val="top"/>
          </w:tcPr>
          <w:p w14:paraId="001000B2" w14:textId="001000B3">
            <w:pPr>
              <w:spacing w:after="20" w:line="240" w:lineRule="auto"/>
            </w:pPr>
            <w:r>
              <w:rPr>
                <w:rFonts w:ascii="Times New Roman" w:hAnsi="Times New Roman"/>
                <w:b w:val="0"/>
                <w:i w:val="0"/>
                <w:color w:val="000000"/>
                <w:sz w:val="17"/>
              </w:rPr>
              <w:t>Evaluation datasets</w:t>
            </w:r>
          </w:p>
        </w:tc>
        <w:tc>
          <w:tcPr>
            <w:tcW w:w="3182" w:type="dxa"/>
            <w:vAlign w:val="top"/>
          </w:tcPr>
          <w:p w14:paraId="001000B4" w14:textId="001000B5">
            <w:pPr>
              <w:spacing w:after="20" w:line="240" w:lineRule="auto"/>
            </w:pPr>
            <w:r>
              <w:rPr>
                <w:rFonts w:ascii="Times New Roman" w:hAnsi="Times New Roman"/>
                <w:b w:val="0"/>
                <w:i w:val="0"/>
                <w:color w:val="000000"/>
                <w:sz w:val="17"/>
              </w:rPr>
              <w:t>BIPIA and JailbreakBench define source-specific tasks and artifacts. [14] [15]</w:t>
            </w:r>
          </w:p>
        </w:tc>
        <w:tc>
          <w:tcPr>
            <w:tcW w:w="3182" w:type="dxa"/>
            <w:vAlign w:val="top"/>
          </w:tcPr>
          <w:p w14:paraId="001000B6" w14:textId="001000B7">
            <w:r>
              <w:rPr>
                <w:rFonts w:ascii="Times New Roman" w:hAnsi="Times New Roman"/>
                <w:color w:val="000000"/>
              </w:rPr>
              <w:t>Identify the task, source, and outcome being studied.</w:t>
            </w:r>
          </w:p>
        </w:tc>
      </w:tr>
    </w:tbl>
    <w:p w14:paraId="001000B8" w14:textId="001000B9">
      <w:pPr>
        <w:spacing w:after="20"/>
      </w:pPr>
    </w:p>
    <w:p w14:paraId="001000BA" w14:textId="001000BB">
      <w:pPr>
        <w:pStyle w:val="Heading2"/>
        <w:pageBreakBefore w:val="0"/>
      </w:pPr>
      <w:r>
        <w:rPr>
          <w:rFonts w:ascii="Times New Roman" w:hAnsi="Times New Roman"/>
          <w:i w:val="0"/>
          <w:color w:val="000000"/>
        </w:rPr>
        <w:t>2.2. Summary of the Literature Review</w:t>
      </w:r>
    </w:p>
    <w:p w14:paraId="001000BC" w14:textId="001000BD">
      <w:pPr>
        <w:jc w:val="both"/>
      </w:pPr>
      <w:r>
        <w:rPr>
          <w:rFonts w:ascii="Times New Roman" w:hAnsi="Times New Roman"/>
          <w:i w:val="0"/>
          <w:color w:val="000000"/>
        </w:rPr>
        <w:t>The literature supports three conclusions. First, direct injection, indirect injection, and jailbreaks may all appear as text but differ in source, context, and intended outcome. Second, published scores depend on model, labels, input construction, and test protocol; they cannot be transferred to PI-Guard without a matching experiment. Third, when a guardrail can incorrectly flag benign requests, attack detection should be reported alongside benign-input behavior. The literature motivates a source-aware empirical study but does not establish PI-Guard’s classifier quality, robustness, or integration safety. [2] [3] [4] [5] [6] [8] [13] [14] [15]</w:t>
      </w:r>
    </w:p>
    <w:p w14:paraId="001000BE" w14:textId="00100155">
      <w:pPr>
        <w:pStyle w:val="Heading2"/>
        <w:pageBreakBefore w:val="0"/>
      </w:pPr>
      <w:r>
        <w:rPr>
          <w:rFonts w:ascii="Times New Roman" w:hAnsi="Times New Roman"/>
          <w:i w:val="0"/>
          <w:color w:val="000000"/>
        </w:rPr>
        <w:t xml:space="preserve">2.3. Contribution of Research</w:t>
      </w:r>
    </w:p>
    <w:p w14:paraId="001000C0" w14:textId="0010014F">
      <w:pPr>
        <w:jc w:val="both"/>
      </w:pPr>
      <w:r>
        <w:rPr>
          <w:rFonts w:ascii="Times New Roman" w:hAnsi="Times New Roman"/>
          <w:color w:val="000000"/>
        </w:rPr>
        <w:t xml:space="preserve">The intended contribution is an applied empirical evaluation and academic proof of concept, not a new foundational model. A paper-backed binary reference benchmark is now available; it does not replace the project task of evaluating three labels, group-aware splits, and specified transformations.</w:t>
      </w:r>
    </w:p>
    <w:p w14:paraId="001000C2" w14:textId="001000C3">
      <w:pPr>
        <w:pStyle w:val="Heading2"/>
        <w:pageBreakBefore w:val="0"/>
      </w:pPr>
      <w:r>
        <w:rPr>
          <w:rFonts w:ascii="Times New Roman" w:hAnsi="Times New Roman"/>
          <w:i w:val="0"/>
          <w:color w:val="000000"/>
        </w:rPr>
        <w:t>Assessment of the Problem Statement</w:t>
      </w:r>
    </w:p>
    <w:p w14:paraId="001000C4" w14:textId="001000C5">
      <w:pPr>
        <w:jc w:val="both"/>
      </w:pPr>
      <w:r>
        <w:rPr>
          <w:rFonts w:ascii="Times New Roman" w:hAnsi="Times New Roman"/>
          <w:color w:val="000000"/>
        </w:rPr>
        <w:t>The problem is relevant to LLM application security and researchable as a three-class text-classification study with a separately measured benign false-positive burden. Its framing is adequate when it distinguishes direct and indirect prompt injection from jailbreak behavior. Reference systems in the literature provide context but do not establish PI-Guard performance or demonstrate downstream attack success. The Greshake figure in Section 1.2 is a suitable, cited illustration of the indirect attack path.</w:t>
      </w:r>
    </w:p>
    <w:p w14:paraId="001000C6" w14:textId="001000C7">
      <w:pPr>
        <w:pStyle w:val="Heading2"/>
        <w:pageBreakBefore w:val="0"/>
      </w:pPr>
      <w:r>
        <w:rPr>
          <w:rFonts w:ascii="Times New Roman" w:hAnsi="Times New Roman"/>
          <w:i w:val="0"/>
          <w:color w:val="000000"/>
        </w:rPr>
        <w:t>Assessment of the Research Questions</w:t>
      </w:r>
    </w:p>
    <w:tbl>
      <w:tblPr>
        <w:tblStyle w:val="TableGrid"/>
        <w:tblW w:w="0" w:type="auto"/>
        <w:jc w:val="center"/>
        <w:tblLayout w:type="autofit"/>
        <w:tblLook w:val="04A0" w:firstRow="1" w:lastRow="0" w:firstColumn="1" w:lastColumn="0" w:noHBand="0" w:noVBand="1"/>
      </w:tblPr>
      <w:tblGrid>
        <w:gridCol w:w="3182"/>
        <w:gridCol w:w="3182"/>
        <w:gridCol w:w="3182"/>
      </w:tblGrid>
      <w:tr>
        <w:trPr>
          <w:cantSplit/>
        </w:trPr>
        <w:tc>
          <w:tcPr>
            <w:tcW w:w="3182" w:type="dxa"/>
            <w:vAlign w:val="top"/>
          </w:tcPr>
          <w:p w14:paraId="001000C8" w14:textId="001000C9">
            <w:pPr>
              <w:spacing w:after="20" w:line="240" w:lineRule="auto"/>
            </w:pPr>
            <w:r>
              <w:rPr>
                <w:rFonts w:ascii="Times New Roman" w:hAnsi="Times New Roman"/>
                <w:b/>
                <w:i w:val="0"/>
                <w:color w:val="000000"/>
                <w:sz w:val="17"/>
              </w:rPr>
              <w:t>Question</w:t>
            </w:r>
          </w:p>
        </w:tc>
        <w:tc>
          <w:tcPr>
            <w:tcW w:w="3182" w:type="dxa"/>
            <w:vAlign w:val="top"/>
          </w:tcPr>
          <w:p w14:paraId="001000CA" w14:textId="001000CB">
            <w:pPr>
              <w:spacing w:after="20" w:line="240" w:lineRule="auto"/>
            </w:pPr>
            <w:r>
              <w:rPr>
                <w:rFonts w:ascii="Times New Roman" w:hAnsi="Times New Roman"/>
                <w:b/>
                <w:i w:val="0"/>
                <w:color w:val="000000"/>
                <w:sz w:val="17"/>
              </w:rPr>
              <w:t>Review 1 assessment</w:t>
            </w:r>
          </w:p>
        </w:tc>
        <w:tc>
          <w:tcPr>
            <w:tcW w:w="3182" w:type="dxa"/>
            <w:vAlign w:val="top"/>
          </w:tcPr>
          <w:p w14:paraId="001000CC" w14:textId="001000CD">
            <w:pPr>
              <w:spacing w:after="20" w:line="240" w:lineRule="auto"/>
            </w:pPr>
            <w:r>
              <w:rPr>
                <w:rFonts w:ascii="Times New Roman" w:hAnsi="Times New Roman"/>
                <w:b/>
                <w:i w:val="0"/>
                <w:color w:val="000000"/>
                <w:sz w:val="17"/>
              </w:rPr>
              <w:t>Evidence status at 30 September 2026</w:t>
            </w:r>
          </w:p>
        </w:tc>
      </w:tr>
      <w:tr>
        <w:trPr>
          <w:cantSplit/>
        </w:trPr>
        <w:tc>
          <w:tcPr>
            <w:tcW w:w="3182" w:type="dxa"/>
            <w:vAlign w:val="top"/>
          </w:tcPr>
          <w:p w14:paraId="001000CE" w14:textId="001000CF">
            <w:pPr>
              <w:spacing w:after="20" w:line="240" w:lineRule="auto"/>
            </w:pPr>
            <w:r>
              <w:rPr>
                <w:rFonts w:ascii="Times New Roman" w:hAnsi="Times New Roman"/>
                <w:b w:val="0"/>
                <w:i w:val="0"/>
                <w:color w:val="000000"/>
                <w:sz w:val="17"/>
              </w:rPr>
              <w:t>RQ1 — Generalization under data partitioning</w:t>
            </w:r>
          </w:p>
        </w:tc>
        <w:tc>
          <w:tcPr>
            <w:tcW w:w="3182" w:type="dxa"/>
            <w:vAlign w:val="top"/>
          </w:tcPr>
          <w:p w14:paraId="001000D0" w14:textId="001000D1">
            <w:pPr>
              <w:spacing w:after="20" w:line="240" w:lineRule="auto"/>
            </w:pPr>
            <w:r>
              <w:rPr>
                <w:rFonts w:ascii="Times New Roman" w:hAnsi="Times New Roman"/>
                <w:b w:val="0"/>
                <w:i w:val="0"/>
                <w:color w:val="000000"/>
                <w:sz w:val="17"/>
              </w:rPr>
              <w:t>Compare the same data and classifier under record-random and group-aware splits; define grouping before the comparison.</w:t>
            </w:r>
          </w:p>
        </w:tc>
        <w:tc>
          <w:tcPr>
            <w:tcW w:w="3182" w:type="dxa"/>
            <w:vAlign w:val="top"/>
          </w:tcPr>
          <w:p w14:paraId="001000D2" w14:textId="001000D3">
            <w:r>
              <w:rPr>
                <w:rFonts w:ascii="Times New Roman" w:hAnsi="Times New Roman"/>
                <w:color w:val="000000"/>
              </w:rPr>
              <w:t>Not yet evaluated with a PI-Guard classifier at Review 1.</w:t>
            </w:r>
          </w:p>
        </w:tc>
      </w:tr>
      <w:tr>
        <w:trPr>
          <w:cantSplit/>
        </w:trPr>
        <w:tc>
          <w:tcPr>
            <w:tcW w:w="3182" w:type="dxa"/>
            <w:vAlign w:val="top"/>
          </w:tcPr>
          <w:p w14:paraId="001000D4" w14:textId="001000D5">
            <w:r>
              <w:rPr>
                <w:rFonts w:ascii="Times New Roman" w:hAnsi="Times New Roman"/>
                <w:color w:val="000000"/>
              </w:rPr>
              <w:t>RQ2 — Robustness to prompt obfuscation</w:t>
            </w:r>
          </w:p>
        </w:tc>
        <w:tc>
          <w:tcPr>
            <w:tcW w:w="3182" w:type="dxa"/>
            <w:vAlign w:val="top"/>
          </w:tcPr>
          <w:p w14:paraId="001000D6" w14:textId="001000D7">
            <w:r>
              <w:rPr>
                <w:rFonts w:ascii="Times New Roman" w:hAnsi="Times New Roman"/>
                <w:color w:val="000000"/>
              </w:rPr>
              <w:t>Specify obfuscations such as leetspeak, Base64, and spacing, then compare detection by source and class.</w:t>
            </w:r>
          </w:p>
        </w:tc>
        <w:tc>
          <w:tcPr>
            <w:tcW w:w="3182" w:type="dxa"/>
            <w:vAlign w:val="top"/>
          </w:tcPr>
          <w:p w14:paraId="001000D8" w14:textId="001000D9">
            <w:r>
              <w:rPr>
                <w:rFonts w:ascii="Times New Roman" w:hAnsi="Times New Roman"/>
                <w:color w:val="000000"/>
              </w:rPr>
              <w:t>No project obfuscation experiment is established in the Review 1 artifacts.</w:t>
            </w:r>
          </w:p>
        </w:tc>
      </w:tr>
      <w:tr>
        <w:trPr>
          <w:cantSplit/>
        </w:trPr>
        <w:tc>
          <w:tcPr>
            <w:tcW w:w="3182" w:type="dxa"/>
            <w:vAlign w:val="top"/>
          </w:tcPr>
          <w:p w14:paraId="001000DA" w14:textId="001000DB">
            <w:pPr>
              <w:spacing w:after="20" w:line="240" w:lineRule="auto"/>
            </w:pPr>
            <w:r>
              <w:rPr>
                <w:rFonts w:ascii="Times New Roman" w:hAnsi="Times New Roman"/>
                <w:b w:val="0"/>
                <w:i w:val="0"/>
                <w:color w:val="000000"/>
                <w:sz w:val="17"/>
              </w:rPr>
              <w:t>RQ3 — Three-class detection and benign false positives</w:t>
            </w:r>
          </w:p>
        </w:tc>
        <w:tc>
          <w:tcPr>
            <w:tcW w:w="3182" w:type="dxa"/>
            <w:vAlign w:val="top"/>
          </w:tcPr>
          <w:p w14:paraId="001000DC" w14:textId="001000DD">
            <w:pPr>
              <w:spacing w:after="20" w:line="240" w:lineRule="auto"/>
            </w:pPr>
            <w:r>
              <w:rPr>
                <w:rFonts w:ascii="Times New Roman" w:hAnsi="Times New Roman"/>
                <w:b w:val="0"/>
                <w:i w:val="0"/>
                <w:color w:val="000000"/>
                <w:sz w:val="17"/>
              </w:rPr>
              <w:t>Evaluate the three labels on held-out data and report class-wise detection with benign false positives.</w:t>
            </w:r>
          </w:p>
        </w:tc>
        <w:tc>
          <w:tcPr>
            <w:tcW w:w="3182" w:type="dxa"/>
            <w:vAlign w:val="top"/>
          </w:tcPr>
          <w:p w14:paraId="001000DE" w14:textId="001000DF">
            <w:r>
              <w:rPr>
                <w:rFonts w:ascii="Times New Roman" w:hAnsi="Times New Roman"/>
                <w:color w:val="000000"/>
              </w:rPr>
              <w:t>Not yet evaluated with a PI-Guard-trained three-class classifier; cited models are literature context only.</w:t>
            </w:r>
          </w:p>
        </w:tc>
      </w:tr>
    </w:tbl>
    <w:p w14:paraId="001000E0" w14:textId="001000E1">
      <w:pPr>
        <w:spacing w:after="20"/>
      </w:pPr>
    </w:p>
    <w:p w14:paraId="001000E2" w14:textId="001000E3">
      <w:pPr>
        <w:jc w:val="both"/>
      </w:pPr>
      <w:r>
        <w:rPr>
          <w:rFonts w:ascii="Times New Roman" w:hAnsi="Times New Roman"/>
          <w:i w:val="0"/>
          <w:color w:val="000000"/>
        </w:rPr>
        <w:t>The questions address distinct outcomes: split sensitivity, robustness to specified prompt obfuscations, and the target classification/false-positive trade-off. Each requires a specified data protocol before results can answer it.</w:t>
      </w:r>
    </w:p>
    <w:p w14:paraId="001000E4" w14:textId="001000E5">
      <w:pPr>
        <w:pStyle w:val="Heading2"/>
        <w:pageBreakBefore w:val="0"/>
      </w:pPr>
      <w:r>
        <w:rPr>
          <w:rFonts w:ascii="Times New Roman" w:hAnsi="Times New Roman"/>
          <w:i w:val="0"/>
          <w:color w:val="000000"/>
        </w:rPr>
        <w:t>Assessment of the Research Objectives</w:t>
      </w:r>
    </w:p>
    <w:p w14:paraId="001000E6" w14:textId="00100150">
      <w:pPr>
        <w:jc w:val="both"/>
      </w:pPr>
      <w:r>
        <w:rPr>
          <w:rFonts w:ascii="Times New Roman" w:hAnsi="Times New Roman"/>
          <w:color w:val="000000"/>
        </w:rPr>
        <w:t xml:space="preserve">The objectives align with the three questions and form a feasible sequence: define labels and provenance, establish the project evaluation split, train the planned three-class classifier, evaluate registered obfuscations and benign-input behavior, and integrate only after those results are available. The PIDS-Bench binary reference run is separate from this project-model work.</w:t>
      </w:r>
    </w:p>
    <w:p w14:paraId="001000E8" w14:textId="001000E9">
      <w:pPr>
        <w:pStyle w:val="Heading2"/>
        <w:pageBreakBefore w:val="0"/>
      </w:pPr>
      <w:r>
        <w:rPr>
          <w:rFonts w:ascii="Times New Roman" w:hAnsi="Times New Roman"/>
          <w:i w:val="0"/>
          <w:color w:val="000000"/>
        </w:rPr>
        <w:t>Assessment of the Proposed Solution</w:t>
      </w:r>
    </w:p>
    <w:p w14:paraId="001000EA" w14:textId="0010015C">
      <w:pPr>
        <w:jc w:val="both"/>
      </w:pPr>
      <w:r>
        <w:rPr>
          <w:rFonts w:ascii="Times New Roman" w:hAnsi="Times New Roman"/>
          <w:i w:val="0"/>
          <w:color w:val="000000"/>
        </w:rPr>
        <w:t xml:space="preserve">The proposed design may evaluate lexical and contextual components before a downstream LLM application, but no current result measures a chained system. The retained PIDS-Bench TF-IDF run was recomputed from 3,918 source-matched test predictions at threshold 0.5: accuracy 96.4012%, macro-F1 0.9638, injection F1 0.9663, recall 97.6812%, benign FPR 5.0325%, and confusion matrix [[1755,93],[48,2022]]. This is a binary, single-seed same-paper baseline on the PIDS-Bench protocol [16]. ProtectAI-on-PIDS-Bench metrics and dependent comparisons are withdrawn under the paper-origin rule.</w:t>
      </w:r>
    </w:p>
    <w:tbl>
      <w:tblPr>
        <w:tblStyle w:val="TableGrid"/>
        <w:tblW w:w="0" w:type="auto"/>
        <w:jc w:val="center"/>
        <w:tblLayout w:type="autofit"/>
        <w:tblLook w:val="04A0" w:firstRow="1" w:lastRow="0" w:firstColumn="1" w:lastColumn="0" w:noHBand="0" w:noVBand="1"/>
      </w:tblPr>
      <w:tblGrid>
        <w:gridCol w:w="3182"/>
        <w:gridCol w:w="3182"/>
        <w:gridCol w:w="3182"/>
      </w:tblGrid>
      <w:tr>
        <w:trPr>
          <w:cantSplit/>
        </w:trPr>
        <w:tc>
          <w:tcPr>
            <w:tcW w:w="3182" w:type="dxa"/>
            <w:vAlign w:val="top"/>
          </w:tcPr>
          <w:p w14:paraId="001000EC" w14:textId="001000ED">
            <w:pPr>
              <w:spacing w:after="20" w:line="240" w:lineRule="auto"/>
            </w:pPr>
            <w:r>
              <w:rPr>
                <w:rFonts w:ascii="Times New Roman" w:hAnsi="Times New Roman"/>
                <w:b/>
                <w:i w:val="0"/>
                <w:color w:val="000000"/>
                <w:sz w:val="17"/>
              </w:rPr>
              <w:t>Component</w:t>
            </w:r>
          </w:p>
        </w:tc>
        <w:tc>
          <w:tcPr>
            <w:tcW w:w="3182" w:type="dxa"/>
            <w:vAlign w:val="top"/>
          </w:tcPr>
          <w:p w14:paraId="001000EE" w14:textId="001000EF">
            <w:pPr>
              <w:spacing w:after="20" w:line="240" w:lineRule="auto"/>
            </w:pPr>
            <w:r>
              <w:rPr>
                <w:rFonts w:ascii="Times New Roman" w:hAnsi="Times New Roman"/>
                <w:b/>
                <w:i w:val="0"/>
                <w:color w:val="000000"/>
                <w:sz w:val="17"/>
              </w:rPr>
              <w:t>Proposed role</w:t>
            </w:r>
          </w:p>
        </w:tc>
        <w:tc>
          <w:tcPr>
            <w:tcW w:w="3182" w:type="dxa"/>
            <w:vAlign w:val="top"/>
          </w:tcPr>
          <w:p w14:paraId="001000F0" w14:textId="001000F1">
            <w:pPr>
              <w:spacing w:after="20" w:line="240" w:lineRule="auto"/>
            </w:pPr>
            <w:r>
              <w:rPr>
                <w:rFonts w:ascii="Times New Roman" w:hAnsi="Times New Roman"/>
                <w:b/>
                <w:i w:val="0"/>
                <w:color w:val="000000"/>
                <w:sz w:val="17"/>
              </w:rPr>
              <w:t>Review 1 status</w:t>
            </w:r>
          </w:p>
        </w:tc>
      </w:tr>
      <w:tr>
        <w:trPr>
          <w:cantSplit/>
        </w:trPr>
        <w:tc>
          <w:tcPr>
            <w:tcW w:w="3182" w:type="dxa"/>
            <w:vAlign w:val="top"/>
          </w:tcPr>
          <w:p w14:paraId="001000F2" w14:textId="00100149">
            <w:pPr>
              <w:spacing w:after="20" w:line="240" w:lineRule="auto"/>
            </w:pPr>
            <w:r>
              <w:rPr>
                <w:rFonts w:ascii="Times New Roman" w:hAnsi="Times New Roman"/>
                <w:b w:val="0"/>
                <w:i w:val="0"/>
                <w:color w:val="000000"/>
                <w:sz w:val="17"/>
              </w:rPr>
              <w:t xml:space="preserve">TF-IDF reference</w:t>
            </w:r>
          </w:p>
        </w:tc>
        <w:tc>
          <w:tcPr>
            <w:tcW w:w="3182" w:type="dxa"/>
            <w:vAlign w:val="top"/>
          </w:tcPr>
          <w:p w14:paraId="001000F4" w14:textId="0010014A">
            <w:pPr>
              <w:spacing w:after="20" w:line="240" w:lineRule="auto"/>
            </w:pPr>
            <w:r>
              <w:rPr>
                <w:rFonts w:ascii="Times New Roman" w:hAnsi="Times New Roman"/>
                <w:b w:val="0"/>
                <w:i w:val="0"/>
                <w:color w:val="000000"/>
                <w:sz w:val="17"/>
              </w:rPr>
              <w:t xml:space="preserve">PIDS-Bench word unigram/bigram TF-IDF + Logistic Regression.</w:t>
            </w:r>
          </w:p>
        </w:tc>
        <w:tc>
          <w:tcPr>
            <w:tcW w:w="3182" w:type="dxa"/>
            <w:vAlign w:val="top"/>
          </w:tcPr>
          <w:p w14:paraId="001000F6" w14:textId="0010014B">
            <w:pPr/>
            <w:r>
              <w:rPr>
                <w:rFonts w:ascii="Times New Roman" w:hAnsi="Times New Roman"/>
                <w:color w:val="000000"/>
              </w:rPr>
              <w:t xml:space="preserve">Locally fit on the paper binary train split; not the PI-Guard three-class model.</w:t>
            </w:r>
          </w:p>
        </w:tc>
      </w:tr>
      <w:tr>
        <w:trPr>
          <w:cantSplit/>
        </w:trPr>
        <w:tc>
          <w:tcPr>
            <w:tcW w:w="3182" w:type="dxa"/>
            <w:vAlign w:val="top"/>
          </w:tcPr>
          <w:p w14:paraId="001000FE" w14:textId="001000FF">
            <w:pPr>
              <w:spacing w:after="20" w:line="240" w:lineRule="auto"/>
            </w:pPr>
            <w:r>
              <w:rPr>
                <w:rFonts w:ascii="Times New Roman" w:hAnsi="Times New Roman"/>
                <w:b w:val="0"/>
                <w:i w:val="0"/>
                <w:color w:val="000000"/>
                <w:sz w:val="17"/>
              </w:rPr>
              <w:t>Policy and API</w:t>
            </w:r>
          </w:p>
        </w:tc>
        <w:tc>
          <w:tcPr>
            <w:tcW w:w="3182" w:type="dxa"/>
            <w:vAlign w:val="top"/>
          </w:tcPr>
          <w:p w14:paraId="00100100" w14:textId="00100101">
            <w:pPr>
              <w:spacing w:after="20" w:line="240" w:lineRule="auto"/>
            </w:pPr>
            <w:r>
              <w:rPr>
                <w:rFonts w:ascii="Times New Roman" w:hAnsi="Times New Roman"/>
                <w:b w:val="0"/>
                <w:i w:val="0"/>
                <w:color w:val="000000"/>
                <w:sz w:val="17"/>
              </w:rPr>
              <w:t>Apply an allow/block/flag decision and record status.</w:t>
            </w:r>
          </w:p>
        </w:tc>
        <w:tc>
          <w:tcPr>
            <w:tcW w:w="3182" w:type="dxa"/>
            <w:vAlign w:val="top"/>
          </w:tcPr>
          <w:p w14:paraId="00100102" w14:textId="00100103">
            <w:pPr>
              <w:spacing w:after="20" w:line="240" w:lineRule="auto"/>
            </w:pPr>
            <w:r>
              <w:rPr>
                <w:rFonts w:ascii="Times New Roman" w:hAnsi="Times New Roman"/>
                <w:b w:val="0"/>
                <w:i w:val="0"/>
                <w:color w:val="000000"/>
                <w:sz w:val="17"/>
              </w:rPr>
              <w:t>Scaffolding exists, but mock provider and classifier fallback paths prevent treating route presence as verified security behavior.</w:t>
            </w:r>
          </w:p>
        </w:tc>
      </w:tr>
    </w:tbl>
    <w:p w14:paraId="00100104" w14:textId="00100105">
      <w:pPr>
        <w:spacing w:after="20"/>
      </w:pPr>
    </w:p>
    <w:p w14:paraId="00100106" w14:textId="00100107">
      <w:pPr>
        <w:jc w:val="both"/>
      </w:pPr>
      <w:r>
        <w:rPr>
          <w:rFonts w:ascii="Times New Roman" w:hAnsi="Times New Roman"/>
          <w:color w:val="000000"/>
        </w:rPr>
        <w:t>The NeMo figure in Section 2.1 is a literature reference, not evidence that PI-Guard uses the same architecture. The proposed PI-Guard arrangement remains a design proposal at Review 1.</w:t>
      </w:r>
    </w:p>
    <w:p w14:paraId="00100108" w14:textId="00100109">
      <w:pPr>
        <w:pStyle w:val="Heading2"/>
        <w:pageBreakBefore w:val="0"/>
      </w:pPr>
      <w:r>
        <w:rPr>
          <w:rFonts w:ascii="Times New Roman" w:hAnsi="Times New Roman"/>
          <w:i w:val="0"/>
          <w:color w:val="000000"/>
        </w:rPr>
        <w:t>Assessment of the Project Boundary</w:t>
      </w:r>
    </w:p>
    <w:p w14:paraId="0010010A" w14:textId="0010010B">
      <w:pPr>
        <w:jc w:val="both"/>
      </w:pPr>
      <w:r>
        <w:rPr>
          <w:rFonts w:ascii="Times New Roman" w:hAnsi="Times New Roman"/>
          <w:i w:val="0"/>
          <w:color w:val="000000"/>
        </w:rPr>
        <w:t>An English-text, ingress-focused academic prototype is a manageable project boundary. The boundary is clear when it excludes systematic Vietnamese or multimodal evaluation, stateful multi-turn protection, downstream model internals, universal attack coverage, production readiness, and security guarantees. Source-specific prompt-injection and jailbreak labels should remain distinct where the originating benchmark distinguishes them.</w:t>
      </w:r>
    </w:p>
    <w:p w14:paraId="0010010C" w14:textId="0010010D">
      <w:pPr>
        <w:pStyle w:val="Heading2"/>
        <w:pageBreakBefore w:val="0"/>
      </w:pPr>
      <w:r>
        <w:rPr>
          <w:rFonts w:ascii="Times New Roman" w:hAnsi="Times New Roman"/>
          <w:i w:val="0"/>
          <w:color w:val="000000"/>
        </w:rPr>
        <w:t>Assessment of Feasibility Based on Work Completed to Date</w:t>
      </w:r>
    </w:p>
    <w:p w14:paraId="0010010E" w14:textId="00100146">
      <w:pPr>
        <w:jc w:val="both"/>
      </w:pPr>
      <w:r>
        <w:rPr>
          <w:rFonts w:ascii="Times New Roman" w:hAnsi="Times New Roman"/>
          <w:color w:val="000000"/>
        </w:rPr>
        <w:t xml:space="preserve">The process workbook records project-model fine-tuning and API/dashboard integration as not started at its cut-off. A separate PIDS-Bench reference benchmark is now available; it does not change the status of project-model training or establish validated PI-Guard behavior. The API scaffolding and mock/fallback paths are not empirical security evidence.</w:t>
      </w:r>
    </w:p>
    <w:p w14:paraId="00100110" w14:textId="00100111">
      <w:pPr>
        <w:spacing w:after="20"/>
      </w:pPr>
    </w:p>
    <w:p w14:paraId="00100112" w14:textId="00100113">
      <w:pPr>
        <w:jc w:val="both"/>
      </w:pPr>
      <w:r>
        <w:rPr>
          <w:rFonts w:ascii="Times New Roman" w:hAnsi="Times New Roman"/>
          <w:i w:val="0"/>
          <w:color w:val="000000"/>
        </w:rPr>
        <w:t xml:space="preserve">The repository also contains API and classifier scaffolding. The reviewed API startup uses a mock downstream provider and can fall back to a dummy classifier when a model artifact is unavailable; the transformer module contains a score-simulation fallback. These paths are not empirical security evidence. </w:t>
      </w:r>
      <w:r>
        <w:rPr>
          <w:rFonts w:ascii="Times New Roman" w:hAnsi="Times New Roman"/>
          <w:i w:val="0"/>
          <w:color w:val="000000"/>
        </w:rPr>
        <w:t>API initialization</w:t>
      </w:r>
      <w:r>
        <w:rPr>
          <w:rFonts w:ascii="Times New Roman" w:hAnsi="Times New Roman"/>
          <w:i w:val="0"/>
          <w:color w:val="000000"/>
        </w:rPr>
        <w:t xml:space="preserve"> </w:t>
      </w:r>
      <w:r>
        <w:rPr>
          <w:rFonts w:ascii="Times New Roman" w:hAnsi="Times New Roman"/>
          <w:i w:val="0"/>
          <w:color w:val="000000"/>
        </w:rPr>
        <w:t>API provider</w:t>
      </w:r>
      <w:r>
        <w:rPr>
          <w:rFonts w:ascii="Times New Roman" w:hAnsi="Times New Roman"/>
          <w:i w:val="0"/>
          <w:color w:val="000000"/>
        </w:rPr>
        <w:t xml:space="preserve"> </w:t>
      </w:r>
      <w:r>
        <w:rPr>
          <w:rFonts w:ascii="Times New Roman" w:hAnsi="Times New Roman"/>
          <w:i w:val="0"/>
          <w:color w:val="000000"/>
        </w:rPr>
        <w:t>Transformer fallback</w:t>
      </w:r>
    </w:p>
    <w:p w14:paraId="00100114" w14:textId="0010015D">
      <w:pPr>
        <w:jc w:val="both"/>
      </w:pPr>
      <w:r>
        <w:rPr>
          <w:rFonts w:ascii="Times New Roman" w:hAnsi="Times New Roman"/>
          <w:i w:val="0"/>
          <w:color w:val="000000"/>
        </w:rPr>
        <w:t xml:space="preserve">The current local evidence consists of the source-matched PIDS-Bench TF-IDF baseline and a separate PIGuard checkpoint run on assets released with the PIGuard paper [17]. They use different data and protocols and are not compared as a model ranking. The process workbook records PI-Guard fine-tuning and API/dashboard integration as not started; no formal acceptance record was found.</w:t>
      </w:r>
    </w:p>
    <w:p w14:paraId="00100116" w14:textId="00100117">
      <w:pPr>
        <w:pStyle w:val="Heading2"/>
        <w:pageBreakBefore w:val="0"/>
      </w:pPr>
      <w:r>
        <w:rPr>
          <w:rFonts w:ascii="Times New Roman" w:hAnsi="Times New Roman"/>
          <w:i w:val="0"/>
          <w:color w:val="000000"/>
        </w:rPr>
        <w:t>Implementation Progress as a Share of Scheduled Time</w:t>
      </w:r>
    </w:p>
    <w:p w14:paraId="00100118" w14:textId="00100119">
      <w:pPr>
        <w:jc w:val="both"/>
      </w:pPr>
      <w:r>
        <w:rPr>
          <w:rFonts w:ascii="Times New Roman" w:hAnsi="Times New Roman"/>
          <w:i w:val="0"/>
          <w:color w:val="000000"/>
        </w:rPr>
        <w:t xml:space="preserve">The process workbook gives the project period as 7 September–20 December 2026. From 7 September to the Review 1 cut-off of 30 September, </w:t>
      </w:r>
      <w:r>
        <w:rPr>
          <w:rFonts w:ascii="Times New Roman" w:hAnsi="Times New Roman"/>
          <w:b/>
          <w:i w:val="0"/>
          <w:color w:val="000000"/>
        </w:rPr>
        <w:t>23 of 104 calendar days had elapsed, or 22.1% of scheduled time</w:t>
      </w:r>
      <w:r>
        <w:rPr>
          <w:rFonts w:ascii="Times New Roman" w:hAnsi="Times New Roman"/>
          <w:i w:val="0"/>
          <w:color w:val="000000"/>
        </w:rPr>
        <w:t>. This is elapsed schedule time, not a verified percentage of implementation completed.</w:t>
      </w:r>
    </w:p>
    <w:p w14:paraId="0010011A" w14:textId="0010015A">
      <w:pPr>
        <w:jc w:val="both"/>
      </w:pPr>
      <w:r>
        <w:rPr>
          <w:rFonts w:ascii="Times New Roman" w:hAnsi="Times New Roman"/>
          <w:i w:val="0"/>
          <w:color w:val="000000"/>
        </w:rPr>
        <w:t xml:space="preserve">The workbook snapshot lists T14 and T16 as in progress, and T17 project dataset splitting/training, T20 project DeBERTa fine-tuning, and T21 API/dashboard integration as not started. The PIDS-Bench TF-IDF and PIGuard-only runs do not measure the proposed three-class PI-Guard model or a cascade.</w:t>
      </w:r>
    </w:p>
    <w:p w14:paraId="0010011C" w14:textId="0010011D">
      <w:pPr>
        <w:pStyle w:val="Heading2"/>
        <w:pageBreakBefore/>
      </w:pPr>
      <w:r>
        <w:rPr>
          <w:rFonts w:ascii="Times New Roman" w:hAnsi="Times New Roman"/>
          <w:i w:val="0"/>
          <w:color w:val="000000"/>
        </w:rPr>
        <w:t>References</w:t>
      </w:r>
    </w:p>
    <w:p w14:paraId="0010011E" w14:textId="0010011F">
      <w:pPr>
        <w:jc w:val="both"/>
      </w:pPr>
      <w:r>
        <w:rPr>
          <w:rFonts w:ascii="Times New Roman" w:hAnsi="Times New Roman"/>
          <w:b/>
          <w:i w:val="0"/>
          <w:color w:val="000000"/>
        </w:rPr>
        <w:t>[1]</w:t>
      </w:r>
      <w:r>
        <w:rPr>
          <w:rFonts w:ascii="Times New Roman" w:hAnsi="Times New Roman"/>
          <w:i w:val="0"/>
          <w:color w:val="000000"/>
        </w:rPr>
        <w:t xml:space="preserve"> L. Ouyang et al., “Training Language Models to Follow Instructions with Human Feedback,” </w:t>
      </w:r>
      <w:r>
        <w:rPr>
          <w:rFonts w:ascii="Times New Roman" w:hAnsi="Times New Roman"/>
          <w:i/>
          <w:color w:val="000000"/>
        </w:rPr>
        <w:t>NeurIPS</w:t>
      </w:r>
      <w:r>
        <w:rPr>
          <w:rFonts w:ascii="Times New Roman" w:hAnsi="Times New Roman"/>
          <w:i w:val="0"/>
          <w:color w:val="000000"/>
        </w:rPr>
        <w:t xml:space="preserve">, 2022. </w:t>
      </w:r>
    </w:p>
    <w:p w14:paraId="00100120" w14:textId="00100121">
      <w:pPr>
        <w:jc w:val="both"/>
      </w:pPr>
      <w:r>
        <w:rPr>
          <w:rFonts w:ascii="Times New Roman" w:hAnsi="Times New Roman"/>
          <w:b/>
          <w:i w:val="0"/>
          <w:color w:val="000000"/>
        </w:rPr>
        <w:t>[2]</w:t>
      </w:r>
      <w:r>
        <w:rPr>
          <w:rFonts w:ascii="Times New Roman" w:hAnsi="Times New Roman"/>
          <w:i w:val="0"/>
          <w:color w:val="000000"/>
        </w:rPr>
        <w:t xml:space="preserve"> F. Perez and I. Ribeiro, “Ignore Previous Prompt: Attack Techniques For Language Models,” </w:t>
      </w:r>
      <w:r>
        <w:rPr>
          <w:rFonts w:ascii="Times New Roman" w:hAnsi="Times New Roman"/>
          <w:i/>
          <w:color w:val="000000"/>
        </w:rPr>
        <w:t>NeurIPS ML Safety Workshop</w:t>
      </w:r>
      <w:r>
        <w:rPr>
          <w:rFonts w:ascii="Times New Roman" w:hAnsi="Times New Roman"/>
          <w:i w:val="0"/>
          <w:color w:val="000000"/>
        </w:rPr>
        <w:t xml:space="preserve">, 2022. </w:t>
      </w:r>
    </w:p>
    <w:p w14:paraId="00100122" w14:textId="00100123">
      <w:pPr>
        <w:jc w:val="both"/>
      </w:pPr>
      <w:r>
        <w:rPr>
          <w:rFonts w:ascii="Times New Roman" w:hAnsi="Times New Roman"/>
          <w:b/>
          <w:i w:val="0"/>
          <w:color w:val="000000"/>
        </w:rPr>
        <w:t>[3]</w:t>
      </w:r>
      <w:r>
        <w:rPr>
          <w:rFonts w:ascii="Times New Roman" w:hAnsi="Times New Roman"/>
          <w:i w:val="0"/>
          <w:color w:val="000000"/>
        </w:rPr>
        <w:t xml:space="preserve"> K. Greshake et al., “Not What You’ve Signed Up For: Compromising Real-World LLM-Integrated Applications with Indirect Prompt Injection,” </w:t>
      </w:r>
      <w:r>
        <w:rPr>
          <w:rFonts w:ascii="Times New Roman" w:hAnsi="Times New Roman"/>
          <w:i/>
          <w:color w:val="000000"/>
        </w:rPr>
        <w:t>ACM AISec</w:t>
      </w:r>
      <w:r>
        <w:rPr>
          <w:rFonts w:ascii="Times New Roman" w:hAnsi="Times New Roman"/>
          <w:i w:val="0"/>
          <w:color w:val="000000"/>
        </w:rPr>
        <w:t xml:space="preserve">, 2023. </w:t>
      </w:r>
    </w:p>
    <w:p w14:paraId="00100124" w14:textId="00100125">
      <w:pPr>
        <w:jc w:val="both"/>
      </w:pPr>
      <w:r>
        <w:rPr>
          <w:rFonts w:ascii="Times New Roman" w:hAnsi="Times New Roman"/>
          <w:b/>
          <w:i w:val="0"/>
          <w:color w:val="000000"/>
        </w:rPr>
        <w:t>[4]</w:t>
      </w:r>
      <w:r>
        <w:rPr>
          <w:rFonts w:ascii="Times New Roman" w:hAnsi="Times New Roman"/>
          <w:i w:val="0"/>
          <w:color w:val="000000"/>
        </w:rPr>
        <w:t xml:space="preserve"> A. Wei et al., “Jailbroken: How Does LLM Safety Training Fail?” </w:t>
      </w:r>
      <w:r>
        <w:rPr>
          <w:rFonts w:ascii="Times New Roman" w:hAnsi="Times New Roman"/>
          <w:i/>
          <w:color w:val="000000"/>
        </w:rPr>
        <w:t>NeurIPS</w:t>
      </w:r>
      <w:r>
        <w:rPr>
          <w:rFonts w:ascii="Times New Roman" w:hAnsi="Times New Roman"/>
          <w:i w:val="0"/>
          <w:color w:val="000000"/>
        </w:rPr>
        <w:t xml:space="preserve">, 2023. </w:t>
      </w:r>
    </w:p>
    <w:p w14:paraId="00100126" w14:textId="00100127">
      <w:pPr>
        <w:jc w:val="both"/>
      </w:pPr>
      <w:r>
        <w:rPr>
          <w:rFonts w:ascii="Times New Roman" w:hAnsi="Times New Roman"/>
          <w:b/>
          <w:i w:val="0"/>
          <w:color w:val="000000"/>
        </w:rPr>
        <w:t>[5]</w:t>
      </w:r>
      <w:r>
        <w:rPr>
          <w:rFonts w:ascii="Times New Roman" w:hAnsi="Times New Roman"/>
          <w:i w:val="0"/>
          <w:color w:val="000000"/>
        </w:rPr>
        <w:t xml:space="preserve"> H. Inan et al., “Llama Guard: LLM-Based Input-Output Safeguard for Human-AI Conversations,” 2023. </w:t>
      </w:r>
    </w:p>
    <w:p w14:paraId="00100128" w14:textId="00100129">
      <w:pPr>
        <w:jc w:val="both"/>
      </w:pPr>
      <w:r>
        <w:rPr>
          <w:rFonts w:ascii="Times New Roman" w:hAnsi="Times New Roman"/>
          <w:b/>
          <w:i w:val="0"/>
          <w:color w:val="000000"/>
        </w:rPr>
        <w:t>[6]</w:t>
      </w:r>
      <w:r>
        <w:rPr>
          <w:rFonts w:ascii="Times New Roman" w:hAnsi="Times New Roman"/>
          <w:i w:val="0"/>
          <w:color w:val="000000"/>
        </w:rPr>
        <w:t xml:space="preserve"> T. Rebedea et al., “NeMo Guardrails: A Toolkit for Controllable and Safe LLM Applications with Programmable Rails,” </w:t>
      </w:r>
      <w:r>
        <w:rPr>
          <w:rFonts w:ascii="Times New Roman" w:hAnsi="Times New Roman"/>
          <w:i/>
          <w:color w:val="000000"/>
        </w:rPr>
        <w:t>EMNLP System Demonstrations</w:t>
      </w:r>
      <w:r>
        <w:rPr>
          <w:rFonts w:ascii="Times New Roman" w:hAnsi="Times New Roman"/>
          <w:i w:val="0"/>
          <w:color w:val="000000"/>
        </w:rPr>
        <w:t xml:space="preserve">, 2023. </w:t>
      </w:r>
    </w:p>
    <w:p w14:paraId="0010012A" w14:textId="0010012B">
      <w:pPr>
        <w:jc w:val="both"/>
      </w:pPr>
      <w:r>
        <w:rPr>
          <w:rFonts w:ascii="Times New Roman" w:hAnsi="Times New Roman"/>
          <w:b/>
          <w:i w:val="0"/>
          <w:color w:val="000000"/>
        </w:rPr>
        <w:t>[7]</w:t>
      </w:r>
      <w:r>
        <w:rPr>
          <w:rFonts w:ascii="Times New Roman" w:hAnsi="Times New Roman"/>
          <w:i w:val="0"/>
          <w:color w:val="000000"/>
        </w:rPr>
        <w:t xml:space="preserve"> P. He, J. Gao, and W. Chen, “DeBERTaV3: Improving DeBERTa using ELECTRA-Style Pre-Training with Gradient-Disentangled Embedding Sharing,” </w:t>
      </w:r>
      <w:r>
        <w:rPr>
          <w:rFonts w:ascii="Times New Roman" w:hAnsi="Times New Roman"/>
          <w:i/>
          <w:color w:val="000000"/>
        </w:rPr>
        <w:t>ICLR</w:t>
      </w:r>
      <w:r>
        <w:rPr>
          <w:rFonts w:ascii="Times New Roman" w:hAnsi="Times New Roman"/>
          <w:i w:val="0"/>
          <w:color w:val="000000"/>
        </w:rPr>
        <w:t xml:space="preserve">, 2023. </w:t>
      </w:r>
    </w:p>
    <w:p w14:paraId="0010012C" w14:textId="0010012D">
      <w:pPr>
        <w:jc w:val="both"/>
      </w:pPr>
      <w:r>
        <w:rPr>
          <w:rFonts w:ascii="Times New Roman" w:hAnsi="Times New Roman"/>
          <w:b/>
          <w:i w:val="0"/>
          <w:color w:val="000000"/>
        </w:rPr>
        <w:t>[8]</w:t>
      </w:r>
      <w:r>
        <w:rPr>
          <w:rFonts w:ascii="Times New Roman" w:hAnsi="Times New Roman"/>
          <w:i w:val="0"/>
          <w:color w:val="000000"/>
        </w:rPr>
        <w:t xml:space="preserve"> T. Markov et al., “A Holistic Approach to Undesired Content Detection in the Real World,” </w:t>
      </w:r>
      <w:r>
        <w:rPr>
          <w:rFonts w:ascii="Times New Roman" w:hAnsi="Times New Roman"/>
          <w:i/>
          <w:color w:val="000000"/>
        </w:rPr>
        <w:t>AAAI HCOMP</w:t>
      </w:r>
      <w:r>
        <w:rPr>
          <w:rFonts w:ascii="Times New Roman" w:hAnsi="Times New Roman"/>
          <w:i w:val="0"/>
          <w:color w:val="000000"/>
        </w:rPr>
        <w:t xml:space="preserve">, 2023. </w:t>
      </w:r>
    </w:p>
    <w:p w14:paraId="0010012E" w14:textId="0010012F">
      <w:pPr>
        <w:jc w:val="both"/>
      </w:pPr>
      <w:r>
        <w:rPr>
          <w:rFonts w:ascii="Times New Roman" w:hAnsi="Times New Roman"/>
          <w:b/>
          <w:i w:val="0"/>
          <w:color w:val="000000"/>
        </w:rPr>
        <w:t>[9]</w:t>
      </w:r>
      <w:r>
        <w:rPr>
          <w:rFonts w:ascii="Times New Roman" w:hAnsi="Times New Roman"/>
          <w:i w:val="0"/>
          <w:color w:val="000000"/>
        </w:rPr>
        <w:t xml:space="preserve"> X. Shen et al., “‘Do Anything Now’: Characterizing and Evaluating In-The-Wild Jailbreak Prompts on Large Language Models,” </w:t>
      </w:r>
      <w:r>
        <w:rPr>
          <w:rFonts w:ascii="Times New Roman" w:hAnsi="Times New Roman"/>
          <w:i/>
          <w:color w:val="000000"/>
        </w:rPr>
        <w:t>ACM CCS</w:t>
      </w:r>
      <w:r>
        <w:rPr>
          <w:rFonts w:ascii="Times New Roman" w:hAnsi="Times New Roman"/>
          <w:i w:val="0"/>
          <w:color w:val="000000"/>
        </w:rPr>
        <w:t xml:space="preserve">, 2024. </w:t>
      </w:r>
    </w:p>
    <w:p w14:paraId="00100130" w14:textId="00100131">
      <w:pPr>
        <w:jc w:val="both"/>
      </w:pPr>
      <w:r>
        <w:rPr>
          <w:rFonts w:ascii="Times New Roman" w:hAnsi="Times New Roman"/>
          <w:b/>
          <w:i w:val="0"/>
          <w:color w:val="000000"/>
        </w:rPr>
        <w:t>[10]</w:t>
      </w:r>
      <w:r>
        <w:rPr>
          <w:rFonts w:ascii="Times New Roman" w:hAnsi="Times New Roman"/>
          <w:i w:val="0"/>
          <w:color w:val="000000"/>
        </w:rPr>
        <w:t xml:space="preserve"> N. Jain et al., “Baseline Defenses for Adversarial Attacks Against Aligned Language Models,” arXiv:2309.00614, 2023. </w:t>
      </w:r>
    </w:p>
    <w:p w14:paraId="00100132" w14:textId="00100133">
      <w:pPr>
        <w:jc w:val="both"/>
      </w:pPr>
      <w:r>
        <w:rPr>
          <w:rFonts w:ascii="Times New Roman" w:hAnsi="Times New Roman"/>
          <w:b/>
          <w:i w:val="0"/>
          <w:color w:val="000000"/>
        </w:rPr>
        <w:t>[11]</w:t>
      </w:r>
      <w:r>
        <w:rPr>
          <w:rFonts w:ascii="Times New Roman" w:hAnsi="Times New Roman"/>
          <w:i w:val="0"/>
          <w:color w:val="000000"/>
        </w:rPr>
        <w:t xml:space="preserve"> J. H. Saltzer and M. D. Schroeder, “The Protection of Information in Computer Systems,” </w:t>
      </w:r>
      <w:r>
        <w:rPr>
          <w:rFonts w:ascii="Times New Roman" w:hAnsi="Times New Roman"/>
          <w:i/>
          <w:color w:val="000000"/>
        </w:rPr>
        <w:t>Proceedings of the IEEE</w:t>
      </w:r>
      <w:r>
        <w:rPr>
          <w:rFonts w:ascii="Times New Roman" w:hAnsi="Times New Roman"/>
          <w:i w:val="0"/>
          <w:color w:val="000000"/>
        </w:rPr>
        <w:t xml:space="preserve">, 1975. </w:t>
      </w:r>
    </w:p>
    <w:p w14:paraId="00100134" w14:textId="00100135">
      <w:pPr>
        <w:jc w:val="both"/>
      </w:pPr>
      <w:r>
        <w:rPr>
          <w:rFonts w:ascii="Times New Roman" w:hAnsi="Times New Roman"/>
          <w:b/>
          <w:i w:val="0"/>
          <w:color w:val="000000"/>
        </w:rPr>
        <w:t>[12]</w:t>
      </w:r>
      <w:r>
        <w:rPr>
          <w:rFonts w:ascii="Times New Roman" w:hAnsi="Times New Roman"/>
          <w:i w:val="0"/>
          <w:color w:val="000000"/>
        </w:rPr>
        <w:t xml:space="preserve"> Y. Yuan et al., “GPT-4 Is Too Smart To Be Safe: Stealthy Chat with LLMs via Cipher,” </w:t>
      </w:r>
      <w:r>
        <w:rPr>
          <w:rFonts w:ascii="Times New Roman" w:hAnsi="Times New Roman"/>
          <w:i/>
          <w:color w:val="000000"/>
        </w:rPr>
        <w:t>ICLR</w:t>
      </w:r>
      <w:r>
        <w:rPr>
          <w:rFonts w:ascii="Times New Roman" w:hAnsi="Times New Roman"/>
          <w:i w:val="0"/>
          <w:color w:val="000000"/>
        </w:rPr>
        <w:t xml:space="preserve">, 2024. </w:t>
      </w:r>
    </w:p>
    <w:p w14:paraId="00100136" w14:textId="00100137">
      <w:pPr>
        <w:jc w:val="both"/>
      </w:pPr>
      <w:r>
        <w:rPr>
          <w:rFonts w:ascii="Times New Roman" w:hAnsi="Times New Roman"/>
          <w:b/>
          <w:i w:val="0"/>
          <w:color w:val="000000"/>
        </w:rPr>
        <w:t>[13]</w:t>
      </w:r>
      <w:r>
        <w:rPr>
          <w:rFonts w:ascii="Times New Roman" w:hAnsi="Times New Roman"/>
          <w:i w:val="0"/>
          <w:color w:val="000000"/>
        </w:rPr>
        <w:t xml:space="preserve"> H. Li, X. Liu, N. Zhang, and C. Xiao, “InjecGuard: Benchmarking and Mitigating Over-defense in Prompt Injection Guardrail Models,” </w:t>
      </w:r>
      <w:r>
        <w:rPr>
          <w:rFonts w:ascii="Times New Roman" w:hAnsi="Times New Roman"/>
          <w:i/>
          <w:color w:val="000000"/>
        </w:rPr>
        <w:t>ACL</w:t>
      </w:r>
      <w:r>
        <w:rPr>
          <w:rFonts w:ascii="Times New Roman" w:hAnsi="Times New Roman"/>
          <w:i w:val="0"/>
          <w:color w:val="000000"/>
        </w:rPr>
        <w:t xml:space="preserve">, 2025. </w:t>
      </w:r>
    </w:p>
    <w:p w14:paraId="00100138" w14:textId="00100139">
      <w:pPr>
        <w:jc w:val="both"/>
      </w:pPr>
      <w:r>
        <w:rPr>
          <w:rFonts w:ascii="Times New Roman" w:hAnsi="Times New Roman"/>
          <w:b/>
          <w:i w:val="0"/>
          <w:color w:val="000000"/>
        </w:rPr>
        <w:t>[14]</w:t>
      </w:r>
      <w:r>
        <w:rPr>
          <w:rFonts w:ascii="Times New Roman" w:hAnsi="Times New Roman"/>
          <w:i w:val="0"/>
          <w:color w:val="000000"/>
        </w:rPr>
        <w:t xml:space="preserve"> J. Yi et al., “Benchmarking and Defending Against Indirect Prompt Injection Attacks on Large Language Models,” </w:t>
      </w:r>
      <w:r>
        <w:rPr>
          <w:rFonts w:ascii="Times New Roman" w:hAnsi="Times New Roman"/>
          <w:i/>
          <w:color w:val="000000"/>
        </w:rPr>
        <w:t>NAACL</w:t>
      </w:r>
      <w:r>
        <w:rPr>
          <w:rFonts w:ascii="Times New Roman" w:hAnsi="Times New Roman"/>
          <w:i w:val="0"/>
          <w:color w:val="000000"/>
        </w:rPr>
        <w:t xml:space="preserve">, 2024. </w:t>
      </w:r>
    </w:p>
    <w:p w14:paraId="0010013A" w14:textId="0010013B">
      <w:pPr>
        <w:jc w:val="both"/>
      </w:pPr>
      <w:r>
        <w:rPr>
          <w:rFonts w:ascii="Times New Roman" w:hAnsi="Times New Roman"/>
          <w:b/>
          <w:i w:val="0"/>
          <w:color w:val="000000"/>
        </w:rPr>
        <w:t>[15]</w:t>
      </w:r>
      <w:r>
        <w:rPr>
          <w:rFonts w:ascii="Times New Roman" w:hAnsi="Times New Roman"/>
          <w:i w:val="0"/>
          <w:color w:val="000000"/>
        </w:rPr>
        <w:t xml:space="preserve"> P. Chao et al., “JailbreakBench: An Open Robustness Benchmark for Jailbreaking Large Language Models,” </w:t>
      </w:r>
      <w:r>
        <w:rPr>
          <w:rFonts w:ascii="Times New Roman" w:hAnsi="Times New Roman"/>
          <w:i/>
          <w:color w:val="000000"/>
        </w:rPr>
        <w:t>NeurIPS</w:t>
      </w:r>
      <w:r>
        <w:rPr>
          <w:rFonts w:ascii="Times New Roman" w:hAnsi="Times New Roman"/>
          <w:i w:val="0"/>
          <w:color w:val="000000"/>
        </w:rPr>
        <w:t xml:space="preserve">, 2024. </w:t>
      </w:r>
    </w:p>
    <w:p w14:paraId="00100153" w14:textId="00100154">
      <w:pPr>
        <w:pStyle w:val="Normal"/>
      </w:pPr>
      <w:r>
        <w:rPr/>
        <w:t xml:space="preserve">[16] Y. K. Shire and S.-C. Kim, PIDS-Bench: A Benchmark for Prompt Injection Detection Systems, IEEE Access, 2026. DOI 10.1109/ACCESS.2026.3728186. Author code: github.com/ShirePyDev/Prompt-Injection-Detection-System, tag v1.0-pids-bench.</w:t>
      </w:r>
    </w:p>
    <w:p w14:paraId="0010015E" w14:textId="0010015F">
      <w:pPr/>
      <w:r>
        <w:rPr/>
        <w:t xml:space="preserve">[17] H. Li et al., “PIGuard: Prompt Injection Guardrail via Mitigating Overdefense for Free,” ACL, 2025. https://aclanthology.org/2025.acl-long.1468/.</w:t>
      </w:r>
    </w:p>
    <w:sectPr w:rsidRPr="0006063C" w:rsidR="00FC693F" w:rsidSect="00034616">
      <w:headerReference w:type="default" r:id="rId11"/>
      <w:footerReference w:type="default" r:id="rId12"/>
      <w:pgSz w:w="11909" w:h="16834"/>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13E" w14:textId="0010013F">
    <w:pPr>
      <w:pStyle w:val="Footer"/>
      <w:jc w:val="center"/>
    </w:pPr>
    <w:r>
      <w:rPr>
        <w:rFonts w:ascii="Times New Roman" w:hAnsi="Times New Roman"/>
        <w:color w:val="000000"/>
        <w:sz w:val="16"/>
      </w:rPr>
      <w:t xml:space="preserve">PI-Guard  |  Page </w:t>
    </w:r>
    <w:fldSimple w:instr="PAGE">
      <w:r>
        <w:rPr>
          <w:color w:val="00000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13C" w14:textId="0010013D">
    <w:pPr>
      <w:pStyle w:val="Header"/>
      <w:jc w:val="right"/>
    </w:pPr>
    <w:r>
      <w:rPr>
        <w:rFonts w:ascii="Times New Roman" w:hAnsi="Times New Roman"/>
        <w:color w:val="000000"/>
        <w:sz w:val="16"/>
      </w:rPr>
      <w:t>PI-Guard  |  Review 1 Council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0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imes New Roman" w:hAnsi="Times New Roman" w:asciiTheme="majorHAnsi" w:hAnsiTheme="majorHAnsi" w:eastAsiaTheme="majorEastAsia"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imes New Roman" w:hAnsi="Times New Roman" w:asciiTheme="majorHAnsi" w:hAnsiTheme="majorHAnsi" w:eastAsiaTheme="majorEastAsia"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imes New Roman" w:hAnsi="Times New Roman" w:asciiTheme="majorHAnsi" w:hAnsiTheme="majorHAnsi" w:eastAsiaTheme="majorEastAsia"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imes New Roman" w:hAnsi="Times New Roman" w:asciiTheme="majorHAnsi" w:hAnsiTheme="majorHAnsi" w:eastAsiaTheme="majorEastAsia" w:cstheme="majorBidi"/>
      <w:b/>
      <w:color w:val="000000"/>
      <w:spacing w:val="5"/>
      <w:kern w:val="28"/>
      <w:sz w:val="4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asciiTheme="majorHAnsi" w:hAnsiTheme="majorHAnsi" w:eastAsiaTheme="majorEastAsia" w:cstheme="majorBidi"/>
      <w:i/>
      <w:iCs/>
      <w:color w:val="000000"/>
      <w:spacing w:val="15"/>
      <w:sz w:val="28"/>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header" Target="header1.xml" Id="rId11" /><Relationship Type="http://schemas.openxmlformats.org/officeDocument/2006/relationships/footer" Target="footer1.xml" Id="rId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0</ap:Characters>
  <ap:Application>Microsoft Macintosh Word</ap:Application>
  <ap:DocSecurity>0</ap:DocSecurity>
  <ap:Lines>0</ap:Lines>
  <ap:Paragraphs>0</ap:Paragraphs>
  <ap:ScaleCrop>false</ap:ScaleCrop>
  <ap:HeadingPairs>
    <vt:vector baseType="variant" size="2">
      <vt:variant>
        <vt:lpstr>Title</vt:lpstr>
      </vt:variant>
      <vt:variant>
        <vt:i4>1</vt:i4>
      </vt:variant>
    </vt:vector>
  </ap:HeadingPairs>
  <ap:TitlesOfParts>
    <vt:vector baseType="lpstr" size="1">
      <vt:lpstr/>
    </vt:vector>
  </ap:TitlesOfParts>
  <ap:Manager/>
  <ap:Company/>
  <ap:LinksUpToDate>false</ap:LinksUpToDate>
  <ap:CharactersWithSpaces>0</ap:CharactersWithSpaces>
  <ap:SharedDoc>false</ap:SharedDoc>
  <ap:HyperlinkBase/>
  <ap:HyperlinksChanged>false</ap:HyperlinksChanged>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PI-Guard — Review 1 Council Report</dc:title>
  <dc:subject>Chapters 1–2 and Review 1 assessment</dc:subject>
  <dc:creator>PI-Guard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2026-09-30T10:42:00Z</vt:lpwstr>
  </op:property>
</op:Properties>
</file>