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3042621710c04d2c" /><Relationship Type="http://schemas.openxmlformats.org/package/2006/relationships/metadata/core-properties" Target="/docProps/core.xml" Id="R9e13244140cc4b07" /><Relationship Type="http://schemas.openxmlformats.org/officeDocument/2006/relationships/extended-properties" Target="/docProps/app.xml" Id="Rd0adfe6d539e498f" /><Relationship Type="http://schemas.openxmlformats.org/officeDocument/2006/relationships/custom-properties" Target="/docProps/custom.xml" Id="R9bb7af7fe3c543b1"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before="240" w:after="80"/>
      </w:pPr>
      <w:r>
        <w:rPr>
          <w:b/>
          <w:sz w:val="44"/>
        </w:rPr>
        <w:t xml:space="preserve">CAPSTONE THESIS REPORT: CHAPTER 1 &amp; CHAPTER 2</w:t>
      </w:r>
    </w:p>
    <w:p w14:paraId="00100002" w14:textId="00100003">
      <w:pPr>
        <w:spacing w:after="120"/>
      </w:pPr>
      <w:r>
        <w:rPr>
          <w:b/>
          <w:sz w:val="26"/>
        </w:rPr>
        <w:t xml:space="preserve">PROJECT PI-GUARD: A MACHINE-LEARNING GUARDRAIL FOR DETECTING PROMPT INJECTION AND JAILBREAK ATTACKS ON LLM APPLICATIONS</w:t>
      </w:r>
    </w:p>
    <w:p w14:paraId="00100004" w14:textId="00100005">
      <w:pPr>
        <w:spacing w:after="320"/>
      </w:pPr>
      <w:r>
        <w:rPr>
          <w:i/>
          <w:sz w:val="21"/>
        </w:rPr>
        <w:t xml:space="preserve">Bachelor of Science in Information Assurance (IA) - Course Code: IAP491 | FPT University</w:t>
      </w:r>
    </w:p>
    <w:p w14:paraId="00100006" w14:textId="00100007">
      <w:pPr>
        <w:pStyle w:val="Heading1"/>
        <w:spacing w:before="360" w:after="120"/>
      </w:pPr>
      <w:r>
        <w:rPr>
          <w:b/>
          <w:sz w:val="36"/>
        </w:rPr>
        <w:t xml:space="preserve">CHAPTER 1 INTRODUCTION</w:t>
      </w:r>
    </w:p>
    <w:p w14:paraId="00100008" w14:textId="00100009">
      <w:pPr>
        <w:pStyle w:val="Heading2"/>
        <w:spacing w:before="240" w:after="80"/>
      </w:pPr>
      <w:r>
        <w:rPr>
          <w:b/>
          <w:sz w:val="28"/>
        </w:rPr>
        <w:t xml:space="preserve">1.1. Background</w:t>
      </w:r>
    </w:p>
    <w:p w14:paraId="0010000A" w14:textId="0010000B">
      <w:pPr>
        <w:spacing w:after="100"/>
      </w:pPr>
      <w:r>
        <w:rPr>
          <w:sz w:val="22"/>
        </w:rPr>
        <w:t xml:space="preserve">The paradigm shift driven by Transformer-based Large Language Models (LLMs)—including GPT-4, LLaMA-3, Claude, and Gemini—has fundamentally reorganized modern software engineering [47]. LLMs are no longer deployed merely as standalone generative endpoints; they increasingly operate as the cognitive operating engine within complex enterprise ecosystems. These systems range from customer-facing conversational agents and Retrieval-Augmented Generation (RAG) pipelines to fully autonomous AI agents endowed with tool execution capabilities, dynamic API invocation, and access to internal corporate databases [26], [38].</w:t>
      </w:r>
    </w:p>
    <w:p w14:paraId="0010000C" w14:textId="0010000D">
      <w:pPr>
        <w:spacing w:after="100"/>
      </w:pPr>
      <w:r>
        <w:rPr>
          <w:sz w:val="22"/>
        </w:rPr>
        <w:t xml:space="preserve">However, incorporating LLMs into mission-critical workflows introduces an entirely novel attack surface that legacy security mechanisms—such as traditional Web Application Firewalls (WAF) and Network Intrusion Detection/Prevention Systems (IDS/IPS)—are fundamentally incapable of intercepting. Because LLMs interpret free-form natural language as their computational interface, adversarial payloads are inherently indistinguishable from legitimate user intent. In both the National Institute of Standards and Technology (NIST) adversarial machine learning taxonomy NIST AI 100-2e2025 [53] and the OWASP Top 10 for Large Language Model Applications (2025) [54], Prompt Injection and Jailbreak (cataloged as LLM01:2025) is ranked as the paramount security vulnerability facing modern AI deployments.</w:t>
      </w:r>
    </w:p>
    <w:p w14:paraId="0010000E" w14:textId="0010000F">
      <w:pPr>
        <w:spacing w:after="100"/>
      </w:pPr>
      <w:r>
        <w:rPr>
          <w:sz w:val="22"/>
        </w:rPr>
        <w:t xml:space="preserve">Adversaries exploit this vulnerability by injecting adversarial sequences into the model's context window. Such attacks systematically derail the model's internal reasoning chain, resulting in the exfiltration of confidential intellectual property and credentials embedded within the system prompt (System Prompt Extraction), the subversion of execution privileges (Goal Hijacking), unauthorized database transactions, or the deliberate evasion of safety alignment safeguards to synthesize harmful materials [27], [13], [44]. In response, international cybersecurity frameworks and academic literature universally advocate for an external, decoupled, model-agnostic Ingress Guardrail Proxy positioned immediately before the downstream LLM to sanitize and classify all incoming queries prior to inference [1], [37], [53].</w:t>
      </w:r>
    </w:p>
    <w:p w14:paraId="00100010" w14:textId="00100011">
      <w:pPr>
        <w:pStyle w:val="Heading2"/>
        <w:spacing w:before="240" w:after="80"/>
      </w:pPr>
      <w:r>
        <w:rPr>
          <w:b/>
          <w:sz w:val="28"/>
        </w:rPr>
        <w:t xml:space="preserve">1.2. Problem Statement</w:t>
      </w:r>
    </w:p>
    <w:p w14:paraId="00100012" w14:textId="00100013">
      <w:pPr>
        <w:spacing w:after="100"/>
      </w:pPr>
      <w:r>
        <w:rPr>
          <w:sz w:val="22"/>
        </w:rPr>
        <w:t xml:space="preserve">The fundamental root cause of prompt vulnerability in Transformer-based architectures stems from a direct conceptual analog to the Von Neumann Architecture Vulnerability in Natural Language Processing (Instruction/Data Ambiguity):</w:t>
      </w:r>
    </w:p>
    <w:p w14:paraId="00100014" w14:textId="00100015">
      <w:pPr>
        <w:spacing w:after="60"/>
      </w:pPr>
      <w:r>
        <w:rPr>
          <w:sz w:val="22"/>
        </w:rPr>
        <w:t xml:space="preserve">•  Instruction/Data Ambiguity in a Flat Token Space (X = S || U) [TN1], [TN2]: Within the modeling scope of PI-Guard (inheriting foundational observations from Perez &amp; Ribeiro 2022 [27], Greshake et al. 2023 [13], and Wallace et al. 2024 [41]), modern Transformer models concatenate privileged system instructions (S) and unverified user inputs (U) into a singular, flattened token sequence: X = S || U. Within this homogenous representation, the Self-Attention mechanism computes pairwise token associations across the entire sequence without hardware-level or architectural privilege separation—strictly analogous to early Von Neumann computing architectures storing executable machine code and untrusted user data in the identical address space without a hardware No-Execute (NX-Bit) enforcement [34]. Consequently, an attacker can format untrusted data with imperative linguistic syntax, effectively overriding developer instructions and hijacking the control flow.</w:t>
      </w:r>
    </w:p>
    <w:p w14:paraId="00100016" w14:textId="00100017">
      <w:pPr>
        <w:spacing w:after="60"/>
      </w:pPr>
      <w:r>
        <w:rPr>
          <w:sz w:val="22"/>
        </w:rPr>
        <w:t xml:space="preserve">•  Competing Alignment Objectives in Jailbreak Evasion [TN3]: As mathematically demonstrated by Wei et al. (NeurIPS 2023) [44], Reinforcement Learning from Human Feedback (RLHF) and Direct Preference Optimization (DPO) [26] introduce an intrinsic structural tension between two contradictory optimization goals: Helpfulness (maximizing compliance with user requests) versus Harmlessness (refusing dangerous or unethical prompts). Adversaries exploit this asymmetry via adversarial roleplay (e.g., DAN personas) [35], hypothetical framing, or cognitive overload (cipher obfuscation) [46], forcing the model to prioritize helpfulness while circumventing safety alignment [43].</w:t>
      </w:r>
    </w:p>
    <w:p w14:paraId="00100018" w14:textId="00100019">
      <w:pPr>
        <w:spacing w:after="60"/>
      </w:pPr>
      <w:r>
        <w:rPr>
          <w:sz w:val="22"/>
        </w:rPr>
        <w:t xml:space="preserve">•  The Operational Guardrail Trilemma: Existing protective paradigms exhibit severe operational trade-offs: Static regex filters are excessively brittle and fail catastrophically against syntactic mutations such as Leetspeak ('1gn0r3'), intra-word spacing ('i g n o r e'), zero-width Unicode injection, and Base64 cipher smuggling [11], [46]. LLM-as-a-Judge paradigms (Llama Guard 3 [20], NeMo Guardrails [24]) introduce prohibitive inference latency (&gt;500ms to 1.5s), require dedicated GPU infrastructure (&gt;16GB VRAM), and create a critical Denial-of-Service (DoS) bottleneck. Concurrently, existing guardrails frequently suffer from severe over-defense (20%-45% False Positive Rate) on benign business queries that incorporate programming syntax or technical terminology [32].</w:t>
      </w:r>
    </w:p>
    <w:p w14:paraId="0010001A" w14:textId="0010001B">
      <w:pPr>
        <w:spacing w:after="100"/>
      </w:pPr>
      <w:r>
        <w:rPr>
          <w:sz w:val="22"/>
        </w:rPr>
        <w:t xml:space="preserve">Formal Problem Statement: To design, implement, and benchmark an external, lightweight, Machine-Learning and Transformer-based Ingress Guardrail Proxy that performs deep semantic prompt classification with low latency (P95 &lt; 30ms on commodity CPU), strictly constrains benign over-defense (FPR &lt; 1.5%), and exhibits high adversarial robustness against syntactic perturbations and obfuscation.</w:t>
      </w:r>
    </w:p>
    <w:p w14:paraId="0010001C" w14:textId="0010001D">
      <w:pPr>
        <w:pStyle w:val="Heading2"/>
        <w:spacing w:before="240" w:after="80"/>
      </w:pPr>
      <w:r>
        <w:rPr>
          <w:b/>
          <w:sz w:val="28"/>
        </w:rPr>
        <w:t xml:space="preserve">1.3. Research Objectives</w:t>
      </w:r>
    </w:p>
    <w:p w14:paraId="0010001E" w14:textId="0010001F">
      <w:pPr>
        <w:spacing w:after="100"/>
      </w:pPr>
      <w:r>
        <w:rPr>
          <w:sz w:val="22"/>
        </w:rPr>
        <w:t xml:space="preserve">The investigation is structured around a general objective, five technical deliverables, and three core research questions:</w:t>
      </w:r>
    </w:p>
    <w:p w14:paraId="00100020" w14:textId="00100021">
      <w:pPr>
        <w:pStyle w:val="Heading3"/>
        <w:spacing w:before="160" w:after="40"/>
      </w:pPr>
      <w:r>
        <w:rPr>
          <w:b/>
          <w:sz w:val="24"/>
        </w:rPr>
        <w:t xml:space="preserve">1.3.1. General Objective</w:t>
      </w:r>
    </w:p>
    <w:p w14:paraId="00100022" w14:textId="00100023">
      <w:pPr>
        <w:spacing w:after="100"/>
      </w:pPr>
      <w:r>
        <w:rPr>
          <w:sz w:val="22"/>
        </w:rPr>
        <w:t xml:space="preserve">To engineer and empirically validate PI-Guard—an external, decoupled, model-agnostic guardrail middleware placed in front of downstream LLM applications to accurately classify incoming user prompts (Benign vs. Prompt Injection vs. Jailbreak) with low latency and low false-positive rates.</w:t>
      </w:r>
    </w:p>
    <w:p w14:paraId="00100024" w14:textId="00100025">
      <w:pPr>
        <w:pStyle w:val="Heading3"/>
        <w:spacing w:before="160" w:after="40"/>
      </w:pPr>
      <w:r>
        <w:rPr>
          <w:b/>
          <w:sz w:val="24"/>
        </w:rPr>
        <w:t xml:space="preserve">1.3.2. Specific Technical Deliverables</w:t>
      </w:r>
    </w:p>
    <w:p w14:paraId="00100026" w14:textId="00100027">
      <w:pPr>
        <w:spacing w:after="60"/>
      </w:pPr>
      <w:r>
        <w:rPr>
          <w:sz w:val="22"/>
        </w:rPr>
        <w:t xml:space="preserve">•  1. Curated &amp; Anti-Leakage Dataset: Aggregate a standardized, multi-source prompt security benchmark (Deepset, Gandalf, In-The-Wild DAN, NotInject, Benign) governed by a Group-Aware Splitting methodology [TN8] to eliminate data contamination across prompt paraphrase clusters.</w:t>
      </w:r>
    </w:p>
    <w:p w14:paraId="00100028" w14:textId="00100029">
      <w:pPr>
        <w:spacing w:after="60"/>
      </w:pPr>
      <w:r>
        <w:rPr>
          <w:sz w:val="22"/>
        </w:rPr>
        <w:t xml:space="preserve">•  2. Dual-Tier Hybrid Classification Engine: Construct a multi-tier pipeline integrating Tier 1 Fast-Filter Baseline (Word n-grams 1-2 + Character n-grams 3-5 TF-IDF with LinearSVC / Logistic Regression achieving &lt;3ms inference) and Tier 2 Deep Semantic Classifier (microsoft/deberta-v3-base utilizing Disentangled Attention [15]).</w:t>
      </w:r>
    </w:p>
    <w:p w14:paraId="0010002A" w14:textId="0010002B">
      <w:pPr>
        <w:spacing w:after="60"/>
      </w:pPr>
      <w:r>
        <w:rPr>
          <w:sz w:val="22"/>
        </w:rPr>
        <w:t xml:space="preserve">•  3. Targeted Adversarial Robustness Suite: Implement targeted evasion mutators adapted from the JailGuard framework (ACM TOSEM 2025) [11] (Spacing, Leetspeak, Zero-Width, Base64 Smuggling) to benchmark classifier resilience, targeting an adversarial performance degradation Delta F1 &lt; 5%.</w:t>
      </w:r>
    </w:p>
    <w:p w14:paraId="0010002C" w14:textId="0010002D">
      <w:pPr>
        <w:spacing w:after="60"/>
      </w:pPr>
      <w:r>
        <w:rPr>
          <w:sz w:val="22"/>
        </w:rPr>
        <w:t xml:space="preserve">•  4. Calibrated Decision Boundary &amp; FPR Control: Establish a Tri-State Policy Routing engine calibrated against the NotInject benchmark [32] to enforce FPR &lt; 1.5% on legitimate business queries while preserving Recall &gt;= 95%.</w:t>
      </w:r>
    </w:p>
    <w:p w14:paraId="0010002E" w14:textId="0010002F">
      <w:pPr>
        <w:spacing w:after="60"/>
      </w:pPr>
      <w:r>
        <w:rPr>
          <w:sz w:val="22"/>
        </w:rPr>
        <w:t xml:space="preserve">•  5. Academic PoC Prototype &amp; Verification Testbed: Deploy an asynchronous FastAPI proxy middleware and interactive Streamlit security dashboard providing verified model-agnostic protection across 5 standard commercial/open LLM APIs.</w:t>
      </w:r>
    </w:p>
    <w:p w14:paraId="00100030" w14:textId="00100031">
      <w:pPr>
        <w:pStyle w:val="Heading3"/>
        <w:spacing w:before="160" w:after="40"/>
      </w:pPr>
      <w:r>
        <w:rPr>
          <w:b/>
          <w:sz w:val="24"/>
        </w:rPr>
        <w:t xml:space="preserve">1.3.3. Core Research Questions (RQ1 - RQ3)</w:t>
      </w:r>
    </w:p>
    <w:p w14:paraId="00100032" w14:textId="00100033">
      <w:pPr>
        <w:spacing w:after="60"/>
      </w:pPr>
      <w:r>
        <w:rPr>
          <w:sz w:val="22"/>
        </w:rPr>
        <w:t xml:space="preserve">•  RQ1 (Data Leakage &amp; OOD Generalization): 'To what extent does group-aware data splitting mitigate benchmark optimism and reveal the true out-of-distribution (OOD) generalization of guardrail classifiers?' (Evaluation Criteria: Inter-cluster Jaccard &lt; 0.15, Macro F1 OOD &gt;= 0.92, Macro F1 &gt;= 0.95, PR-AUC &gt;= 0.98).</w:t>
      </w:r>
    </w:p>
    <w:p w14:paraId="00100034" w14:textId="00100035">
      <w:pPr>
        <w:spacing w:after="60"/>
      </w:pPr>
      <w:r>
        <w:rPr>
          <w:sz w:val="22"/>
        </w:rPr>
        <w:t xml:space="preserve">•  RQ2 (Adversarial Evasion Robustness): 'Does a multi-layer defense architecture provide superior robustness against diverse prompt injection and jailbreak attacks compared to individual single-layer mechanisms?' (Evaluation Criteria: ARR = F1_Adv / F1_Clean &gt;= 0.95, ASR &lt; 5%, Delta F1 &lt; 5%, evaluated across Leetspeak, Spacing, Zero-Width, and Base64 mutations [17]).</w:t>
      </w:r>
    </w:p>
    <w:p w14:paraId="00100036" w14:textId="00100037">
      <w:pPr>
        <w:spacing w:after="60"/>
      </w:pPr>
      <w:r>
        <w:rPr>
          <w:sz w:val="22"/>
        </w:rPr>
        <w:t xml:space="preserve">•  RQ3 (Deployment Latency &amp; Over-Defense / FPR): 'Can the proposed guardrail satisfy the operational triad of low evasion rate, negligible benign over-defense, and low-latency inference for inline deployment?' (Evaluation Criteria: FPR &lt; 1.5%, Recall (TPR) &gt;= 95%, P95 Latency &lt; 30ms on commodity CPU, Throughput &gt;= 100 RPS).</w:t>
      </w:r>
    </w:p>
    <w:p w14:paraId="00100038" w14:textId="00100039">
      <w:pPr>
        <w:pStyle w:val="Heading2"/>
        <w:spacing w:before="240" w:after="80"/>
      </w:pPr>
      <w:r>
        <w:rPr>
          <w:b/>
          <w:sz w:val="28"/>
        </w:rPr>
        <w:t xml:space="preserve">1.4. Significance of the Study</w:t>
      </w:r>
    </w:p>
    <w:p w14:paraId="0010003A" w14:textId="0010003B">
      <w:pPr>
        <w:spacing w:after="100"/>
      </w:pPr>
      <w:r>
        <w:rPr>
          <w:sz w:val="22"/>
        </w:rPr>
        <w:t xml:space="preserve">The research holds substantial value across both economic enterprise operations and scientific academic domains:</w:t>
      </w:r>
    </w:p>
    <w:p w14:paraId="0010003C" w14:textId="0010003D">
      <w:pPr>
        <w:pStyle w:val="Heading3"/>
        <w:spacing w:before="160" w:after="40"/>
      </w:pPr>
      <w:r>
        <w:rPr>
          <w:b/>
          <w:sz w:val="24"/>
        </w:rPr>
        <w:t xml:space="preserve">1.4.1. Four Tiers of Real-World Enterprise Threat Impact</w:t>
      </w:r>
    </w:p>
    <w:p w14:paraId="0010003E" w14:textId="0010003F">
      <w:pPr>
        <w:spacing w:after="60"/>
      </w:pPr>
      <w:r>
        <w:rPr>
          <w:sz w:val="22"/>
        </w:rPr>
        <w:t xml:space="preserve">•  Tier 1 Impact: Intellectual Property Exfiltration &amp; Credential Compromise: System prompts embed proprietary business logic, instructions, and internal API master credentials. System prompt extraction entirely strips enterprise competitive advantage and exposes infrastructure to credential reuse [27], [12].</w:t>
      </w:r>
    </w:p>
    <w:p w14:paraId="00100040" w14:textId="00100041">
      <w:pPr>
        <w:spacing w:after="60"/>
      </w:pPr>
      <w:r>
        <w:rPr>
          <w:sz w:val="22"/>
        </w:rPr>
        <w:t xml:space="preserve">•  Tier 2 Impact: Autonomous Agent Subversion (Goal Hijacking &amp; Tool Abuse): In autonomous agentic setups (RAG, Web Browsing, SQL connectors), an indirect prompt injection concealed within a passive document can hijack execution flow, triggering unauthorized fund transfers or catastrophic data deletion [13], [38].</w:t>
      </w:r>
    </w:p>
    <w:p w14:paraId="00100042" w14:textId="00100043">
      <w:pPr>
        <w:spacing w:after="60"/>
      </w:pPr>
      <w:r>
        <w:rPr>
          <w:sz w:val="22"/>
        </w:rPr>
        <w:t xml:space="preserve">•  Tier 3 Impact: Compute Exhaustion &amp; Financial Sabotage (Denial-of-Wallet): By manipulating models into recursive, compute-heavy token generation loops, attackers deplete enterprise compute quotas and generate thousands of dollars in illicit API billing [22].</w:t>
      </w:r>
    </w:p>
    <w:p w14:paraId="00100044" w14:textId="00100045">
      <w:pPr>
        <w:spacing w:after="60"/>
      </w:pPr>
      <w:r>
        <w:rPr>
          <w:sz w:val="22"/>
        </w:rPr>
        <w:t xml:space="preserve">•  Tier 4 Impact: Regulatory Fines &amp; Brand Disrepute: Forcing LLMs to produce hazardous instructions (explosive synthesis, malware generation) directly violates the EU AI Act, national cybersecurity mandates, and permanently erodes consumer trust [54], [3].</w:t>
      </w:r>
    </w:p>
    <w:p w14:paraId="00100046" w14:textId="00100047">
      <w:pPr>
        <w:pStyle w:val="Heading3"/>
        <w:spacing w:before="160" w:after="40"/>
      </w:pPr>
      <w:r>
        <w:rPr>
          <w:b/>
          <w:sz w:val="24"/>
        </w:rPr>
        <w:t xml:space="preserve">1.4.2. Scientific and Practical Contributions</w:t>
      </w:r>
    </w:p>
    <w:p w14:paraId="00100048" w14:textId="00100049">
      <w:pPr>
        <w:spacing w:after="100"/>
      </w:pPr>
      <w:r>
        <w:rPr>
          <w:sz w:val="22"/>
        </w:rPr>
        <w:t xml:space="preserve">Scientific Significance: Provides empirical evidence validating the superiority of Disentangled Attention in capturing positional-semantic decoupling, establishes a rigorous benchmark methodology preventing data leakage, and formalizes the effectiveness of Character n-grams for subword perturbation defense.</w:t>
      </w:r>
    </w:p>
    <w:p w14:paraId="0010004A" w14:textId="0010004B">
      <w:pPr>
        <w:spacing w:after="100"/>
      </w:pPr>
      <w:r>
        <w:rPr>
          <w:sz w:val="22"/>
        </w:rPr>
        <w:t xml:space="preserve">Practical Significance: Delivers a ready-to-integrate, zero-license-cost Ingress Proxy middleware operating on standard commodity CPU hardware without demanding prohibitive GPU resources, enabling small and medium enterprises to securely adopt LLM technologies.</w:t>
      </w:r>
    </w:p>
    <w:p w14:paraId="0010004C" w14:textId="0010004D">
      <w:pPr>
        <w:pStyle w:val="Heading2"/>
        <w:spacing w:before="240" w:after="80"/>
      </w:pPr>
      <w:r>
        <w:rPr>
          <w:b/>
          <w:sz w:val="28"/>
        </w:rPr>
        <w:t xml:space="preserve">1.5. Scope and Limitations</w:t>
      </w:r>
    </w:p>
    <w:p w14:paraId="0010004E" w14:textId="0010004F">
      <w:pPr>
        <w:spacing w:after="60"/>
      </w:pPr>
      <w:r>
        <w:rPr>
          <w:sz w:val="22"/>
        </w:rPr>
        <w:t xml:space="preserve">•  IN-SCOPE: Direct &amp; Indirect Prompt Injection, Jailbreak attacks, natural language text prompts (English and Vietnamese), adversarial robustness against Leetspeak/Spacing/Zero-width/Base64, P95 &lt; 30ms on commodity CPU, FPR &lt; 1.5% on benign business queries, asynchronous FastAPI middleware protecting 5 target LLM APIs.</w:t>
      </w:r>
    </w:p>
    <w:p w14:paraId="00100050" w14:textId="00100051">
      <w:pPr>
        <w:spacing w:after="100"/>
      </w:pPr>
      <w:r>
        <w:rPr>
          <w:sz w:val="22"/>
        </w:rPr>
        <w:t xml:space="preserve">•  OUT-OF-SCOPE: Multimodal jailbreaks (adversarial image, audio, or video inputs), pre-training data poisoning or foundational model weight backdoors, C++ binary exploitation in vLLM/llama.cpp engines, network DDoS flooding, and hardware side-channel analysis.</w:t>
      </w:r>
    </w:p>
    <w:p w14:paraId="00100052" w14:textId="00100053">
      <w:pPr>
        <w:pStyle w:val="Heading2"/>
        <w:spacing w:before="240" w:after="80"/>
      </w:pPr>
      <w:r>
        <w:rPr>
          <w:b/>
          <w:sz w:val="28"/>
        </w:rPr>
        <w:t xml:space="preserve">1.6. Thesis Structure</w:t>
      </w:r>
    </w:p>
    <w:p w14:paraId="00100054" w14:textId="00100055">
      <w:pPr>
        <w:spacing w:after="100"/>
      </w:pPr>
      <w:r>
        <w:rPr>
          <w:sz w:val="22"/>
        </w:rPr>
        <w:t xml:space="preserve">The thesis is systematically organized across six scholarly chapters:</w:t>
      </w:r>
    </w:p>
    <w:p w14:paraId="00100056" w14:textId="00100057">
      <w:pPr>
        <w:spacing w:after="60"/>
      </w:pPr>
      <w:r>
        <w:rPr>
          <w:sz w:val="22"/>
        </w:rPr>
        <w:t xml:space="preserve">•  Chapter 1: Introduction (Research background, Von Neumann NLP vulnerability, problem statement, research questions RQ1-RQ3, threat impact, scope, and structure).</w:t>
      </w:r>
    </w:p>
    <w:p w14:paraId="00100058" w14:textId="00100059">
      <w:pPr>
        <w:spacing w:after="60"/>
      </w:pPr>
      <w:r>
        <w:rPr>
          <w:sz w:val="22"/>
        </w:rPr>
        <w:t xml:space="preserve">•  Chapter 2: Literature Review (Historical attack evolution, Prompt Injection vs. Jailbreak, survey of 3 SOTA paradigms, 3 research gaps, and 4 core contributions).</w:t>
      </w:r>
    </w:p>
    <w:p w14:paraId="0010005A" w14:textId="0010005B">
      <w:pPr>
        <w:spacing w:after="60"/>
      </w:pPr>
      <w:r>
        <w:rPr>
          <w:sz w:val="22"/>
        </w:rPr>
        <w:t xml:space="preserve">•  Chapter 3: Methodology (Overall PI-Guard architecture, Group-Aware Splitting algorithm, Baseline TF-IDF, Transformer DeBERTa-v3, and Tri-State routing).</w:t>
      </w:r>
    </w:p>
    <w:p w14:paraId="0010005C" w14:textId="0010005D">
      <w:pPr>
        <w:spacing w:after="60"/>
      </w:pPr>
      <w:r>
        <w:rPr>
          <w:sz w:val="22"/>
        </w:rPr>
        <w:t xml:space="preserve">•  Chapter 4: Experimental and Results (Benchmark environment, SOTA comparative metrics, confusion matrices, JailGuard targeted mutator testing, and P95 latency).</w:t>
      </w:r>
    </w:p>
    <w:p w14:paraId="0010005E" w14:textId="0010005F">
      <w:pPr>
        <w:spacing w:after="60"/>
      </w:pPr>
      <w:r>
        <w:rPr>
          <w:sz w:val="22"/>
        </w:rPr>
        <w:t xml:space="preserve">•  Chapter 5: Discussion (Security-usability trade-offs, false positive/negative failure mode analysis, real-world deployment viability, and operational constraints).</w:t>
      </w:r>
    </w:p>
    <w:p w14:paraId="00100060" w14:textId="00100061">
      <w:pPr>
        <w:spacing w:after="100"/>
      </w:pPr>
      <w:r>
        <w:rPr>
          <w:sz w:val="22"/>
        </w:rPr>
        <w:t xml:space="preserve">•  Chapter 6: Conclusion and Future Work (Synthesis of outcomes against RQ1-RQ3, overarching contributions, and future research trajectories).</w:t>
      </w:r>
    </w:p>
    <w:p w14:paraId="00100062" w14:textId="00100063">
      <w:pPr>
        <w:pStyle w:val="Heading1"/>
        <w:spacing w:before="360" w:after="120"/>
      </w:pPr>
      <w:r>
        <w:rPr>
          <w:b/>
          <w:sz w:val="36"/>
        </w:rPr>
        <w:t xml:space="preserve">CHAPTER 2 LITERATURE REVIEW</w:t>
      </w:r>
    </w:p>
    <w:p w14:paraId="00100064" w14:textId="00100065">
      <w:pPr>
        <w:pStyle w:val="Heading2"/>
        <w:spacing w:before="240" w:after="80"/>
      </w:pPr>
      <w:r>
        <w:rPr>
          <w:b/>
          <w:sz w:val="28"/>
        </w:rPr>
        <w:t xml:space="preserve">2.1. Review of Previous Studies</w:t>
      </w:r>
    </w:p>
    <w:p w14:paraId="00100066" w14:textId="00100067">
      <w:pPr>
        <w:spacing w:after="100"/>
      </w:pPr>
      <w:r>
        <w:rPr>
          <w:sz w:val="22"/>
        </w:rPr>
        <w:t xml:space="preserve">This review organizes existing literature across four core pillars: Attack Taxonomy and Mechanics, Existing Guardrail Paradigms, Adversarial Evasion and Robustness, and Over-Defense Mitigation Economics.</w:t>
      </w:r>
    </w:p>
    <w:p w14:paraId="00100068" w14:textId="00100069">
      <w:pPr>
        <w:pStyle w:val="Heading3"/>
        <w:spacing w:before="160" w:after="40"/>
      </w:pPr>
      <w:r>
        <w:rPr>
          <w:b/>
          <w:sz w:val="24"/>
        </w:rPr>
        <w:t xml:space="preserve">2.1.1. Threat Taxonomy &amp; Attack Mechanics: Prompt Injection vs. Jailbreak</w:t>
      </w:r>
    </w:p>
    <w:p w14:paraId="0010006A" w14:textId="0010006B">
      <w:pPr>
        <w:spacing w:after="60"/>
      </w:pPr>
      <w:r>
        <w:rPr>
          <w:sz w:val="22"/>
        </w:rPr>
        <w:t xml:space="preserve">•  A. Prompt Injection: Hijacking Application Control Flow: Perez &amp; Ribeiro (2022) [27] formally established the concept of Prompt Injection attacks, demonstrating that autoregressive LLMs fail to establish precedence between developer-defined system instructions and untrusted user inputs. By providing instructions containing override syntax (e.g., 'Ignore previous instructions and do X'), an adversary forces the model to ignore prior operational boundaries, resulting in Goal Hijacking or System Prompt Extraction. Greshake et al. (ACM AISEC 2023) [13] marked a critical paradigm shift by demonstrating that when LLMs ingest passive external data via RAG or autonomous agents, all external data operates as potential code [37], [39], [40]. Wallace et al. (OpenAI 2024) [41] formalized the need for an instruction hierarchy to mathematically enforce privilege boundaries, establishing the necessity of external perimeter verification.</w:t>
      </w:r>
    </w:p>
    <w:p w14:paraId="0010006C" w14:textId="0010006D">
      <w:pPr>
        <w:spacing w:after="100"/>
      </w:pPr>
      <w:r>
        <w:rPr>
          <w:sz w:val="22"/>
        </w:rPr>
        <w:t xml:space="preserve">•  B. Jailbreak: Circumventing Safety Alignment Safeguards: Wei et al. (NeurIPS 2023) [44] identified the dual root causes of safety alignment failure: Competing Objectives (tension between utility/helpfulness and refusal/harmlessness) and Mismatched Generalization (broad pre-trained capabilities vs. narrow safety alignment). Shen et al. (ACM CCS 2024) [35] conducted the first large-scale empirical study on in-the-wild jailbreak prompts (1,405 verified jailbreaks from 15,140 prompts), showing that Pretending/Roleplay accounts for ~98% of jailbreaks (DAN personas [35], [50]), alongside Privilege Escalation and Cognitive Overload [10], [46]. Angell et al. (ICLR 2026) [4] proved that jailbreak attacks exhibit high transferability across disparate model families because they activate shared semantic representations in latent space, confirming that a specialized classifier like DeBERTa-v3 can learn these latent geometries to intercept attacks [2], [43], [49].</w:t>
      </w:r>
    </w:p>
    <w:p w14:paraId="0010006E" w14:textId="0010006F">
      <w:pPr>
        <w:pStyle w:val="Heading3"/>
        <w:spacing w:before="160" w:after="40"/>
      </w:pPr>
      <w:r>
        <w:rPr>
          <w:b/>
          <w:sz w:val="24"/>
        </w:rPr>
        <w:t xml:space="preserve">2.1.2. Survey of State-of-the-Art Guardrail Paradigms</w:t>
      </w:r>
    </w:p>
    <w:p w14:paraId="00100070" w14:textId="00100071">
      <w:pPr>
        <w:spacing w:after="100"/>
      </w:pPr>
      <w:r>
        <w:rPr>
          <w:sz w:val="22"/>
        </w:rPr>
        <w:t xml:space="preserve">Current LLM defense mechanisms are categorized into three primary architectural paradigms [1]:</w:t>
      </w:r>
    </w:p>
    <w:p w14:paraId="00100072" w14:textId="00100073">
      <w:pPr>
        <w:spacing w:after="60"/>
      </w:pPr>
      <w:r>
        <w:rPr>
          <w:sz w:val="22"/>
        </w:rPr>
        <w:t xml:space="preserve">•  Paradigm 1: Static Regex &amp; Keyword Blacklists: Scans text for predetermined attack substrings. While latency is negligible (&lt;1ms), these systems fail completely against trivial syntactic mutations, leetspeak, zero-width characters, or semantic paraphrases [11].</w:t>
      </w:r>
    </w:p>
    <w:p w14:paraId="00100074" w14:textId="00100075">
      <w:pPr>
        <w:spacing w:after="60"/>
      </w:pPr>
      <w:r>
        <w:rPr>
          <w:sz w:val="22"/>
        </w:rPr>
        <w:t xml:space="preserve">•  Paradigm 2: LLM-as-a-Judge (Llama Guard 3 &amp; NeMo Guardrails): Llama Guard 3 8B (Meta AI 2023) [20] demonstrates strong contextual reasoning but requires substantial GPU infrastructure (&gt;16GB VRAM), incurs latency ranging from 500ms to 1.5s, and introduces major API costs [1]. NeMo Guardrails (NVIDIA 2023) [24] multi-step LLM verification loops severely amplify cumulative latency, introducing unacceptable response overhead in real-time applications. OpenAI Moderation API [25] is primarily focused on toxicity rather than targeted prompt injection attacks.</w:t>
      </w:r>
    </w:p>
    <w:p w14:paraId="00100076" w14:textId="00100077">
      <w:pPr>
        <w:spacing w:after="100"/>
      </w:pPr>
      <w:r>
        <w:rPr>
          <w:sz w:val="22"/>
        </w:rPr>
        <w:t xml:space="preserve">•  Paradigm 3: Small Specialized Transformer Encoders: ProtectAI DeBERTa-v3 Baseline (86M parameters) represents the contemporary open-source SOTA benchmark. Empirical evidence from Do-Not-Answer (EMNLP 2023) [28] demonstrated that specialized encoder models (&lt;600M parameters) achieve safety evaluation accuracy competitive with GPT-4 while reducing computational cost by orders of magnitude. Meta Prompt Guard 86M [21], GuardNet (Neves et al. 2026) [23], CASCADE (Luo et al. 2026) [19], DataSentinel (Liu et al. 2025) [18], PromptShield (Jacob et al. 2024) [16], InstructDetector (Zhao et al. 2024) [48], and Ayub et al. [6] collectively confirm the industry convergence toward lightweight ingress encoder proxies.</w:t>
      </w:r>
    </w:p>
    <w:p w14:paraId="00100078" w14:textId="00100079">
      <w:pPr>
        <w:pStyle w:val="Heading3"/>
        <w:spacing w:before="160" w:after="40"/>
      </w:pPr>
      <w:r>
        <w:rPr>
          <w:b/>
          <w:sz w:val="24"/>
        </w:rPr>
        <w:t xml:space="preserve">2.1.3. Evasion Attacks &amp; Adversarial Robustness</w:t>
      </w:r>
    </w:p>
    <w:p w14:paraId="0010007A" w14:textId="0010007B">
      <w:pPr>
        <w:spacing w:after="100"/>
      </w:pPr>
      <w:r>
        <w:rPr>
          <w:sz w:val="22"/>
        </w:rPr>
        <w:t xml:space="preserve">A critical vulnerability of ingress classifiers is their susceptibility to adaptive evasion attacks [TN9]:</w:t>
      </w:r>
    </w:p>
    <w:p w14:paraId="0010007C" w14:textId="0010007D">
      <w:pPr>
        <w:spacing w:after="60"/>
      </w:pPr>
      <w:r>
        <w:rPr>
          <w:sz w:val="22"/>
        </w:rPr>
        <w:t xml:space="preserve">•  'The Attacker Moves Second' (USENIX Security 2026): Milad Nasr et al. (Google DeepMind + Anthropic + OpenAI) [22] established that isolated, static guardrail defenses are fundamentally bypassable once adversaries adapt their optimization techniques to the defense mechanism, mathematically proving the necessity of multi-layer Defense-in-Depth architectures [34].</w:t>
      </w:r>
    </w:p>
    <w:p w14:paraId="0010007E" w14:textId="0010007F">
      <w:pPr>
        <w:spacing w:after="60"/>
      </w:pPr>
      <w:r>
        <w:rPr>
          <w:sz w:val="22"/>
        </w:rPr>
        <w:t xml:space="preserve">•  Controlled-Release Prompting (USENIX Security 2026): Jaiden Fairoze et al. [12] (UC Berkeley) demonstrated that production prompt guards are bypassed when payload execution is fragmented across multiple benign-appearing phrases that assemble dynamically within the context window.</w:t>
      </w:r>
    </w:p>
    <w:p w14:paraId="00100080" w14:textId="00100081">
      <w:pPr>
        <w:spacing w:after="60"/>
      </w:pPr>
      <w:r>
        <w:rPr>
          <w:sz w:val="22"/>
        </w:rPr>
        <w:t xml:space="preserve">•  Targeted Mutators in JailGuard (ACM TOSEM 2025): Zhang et al. [11] formalized four targeted mutation operators: Spacing, Leetspeak, Zero-Width Unicode characters, and Base64 / Cipher smuggling.</w:t>
      </w:r>
    </w:p>
    <w:p w14:paraId="00100082" w14:textId="00100083">
      <w:pPr>
        <w:spacing w:after="60"/>
      </w:pPr>
      <w:r>
        <w:rPr>
          <w:sz w:val="22"/>
        </w:rPr>
        <w:t xml:space="preserve">•  Character n-grams for Subword Robustness: Jain et al. (NeurIPS 2023 ML Safety) [17] proved that character-level n-gram representations (3-5 characters) preserve classification features even when word boundaries are corrupted by leetspeak or spacing, providing the empirical foundation for PI-Guard's Tier 1 Fast Filter.</w:t>
      </w:r>
    </w:p>
    <w:p w14:paraId="00100084" w14:textId="00100085">
      <w:pPr>
        <w:spacing w:after="100"/>
      </w:pPr>
      <w:r>
        <w:rPr>
          <w:sz w:val="22"/>
        </w:rPr>
        <w:t xml:space="preserve">•  Additional Evasion Paradigms: Zou et al. (GCG 2023) [52] explored gradient-based adversarial suffixes; SmoothLLM (Robey et al. 2023) [33] demonstrated the compute-latency penalty of perturbation smoothing; Zhou et al. (USENIX Security 2026) [51] identified context window mismatch vulnerabilities (Prompt Overflow); Wang et al. (2026) [42] analyzed few-shot in-context demonstration evasion; and Hackett et al. (2025) [14] surveyed text classifier evasion attacks.</w:t>
      </w:r>
    </w:p>
    <w:p w14:paraId="00100086" w14:textId="00100087">
      <w:pPr>
        <w:pStyle w:val="Heading3"/>
        <w:spacing w:before="160" w:after="40"/>
      </w:pPr>
      <w:r>
        <w:rPr>
          <w:b/>
          <w:sz w:val="24"/>
        </w:rPr>
        <w:t xml:space="preserve">2.1.4. The Over-Defense Trade-off &amp; Low FPR Economics</w:t>
      </w:r>
    </w:p>
    <w:p w14:paraId="00100088" w14:textId="00100089">
      <w:pPr>
        <w:spacing w:after="100"/>
      </w:pPr>
      <w:r>
        <w:rPr>
          <w:sz w:val="22"/>
        </w:rPr>
        <w:t xml:space="preserve">In real-world enterprise deployments, the economic cost of a False Positive (falsely blocking a legitimate user) frequently exceeds the risk of an ambiguous input:</w:t>
      </w:r>
    </w:p>
    <w:p w14:paraId="0010008A" w14:textId="0010008B">
      <w:pPr>
        <w:spacing w:after="60"/>
      </w:pPr>
      <w:r>
        <w:rPr>
          <w:sz w:val="22"/>
        </w:rPr>
        <w:t xml:space="preserve">•  The Over-Defense Dilemma in InjecGuard: Hao Li et al. (ACL 2025) [32] introduced the NotInject benchmark, revealing that contemporary guardrails exhibit a 20% to 45% false positive rate on benign documents containing code snippets (Python, SQL), Markdown tables, or technical enterprise vocabulary. Table 6 demonstrated that classifiers frequently associate technical keywords directly with attack labels due to biased training corpora.</w:t>
      </w:r>
    </w:p>
    <w:p w14:paraId="0010008C" w14:textId="0010008D">
      <w:pPr>
        <w:spacing w:after="60"/>
      </w:pPr>
      <w:r>
        <w:rPr>
          <w:sz w:val="22"/>
        </w:rPr>
        <w:t xml:space="preserve">•  Conformal Risk Control: Angelopoulos et al. (2024) [5] formalized statistical calibration techniques allowing classifiers to guarantee that false positive rates remain rigorously bounded below a defined threshold with 1 - alpha confidence.</w:t>
      </w:r>
    </w:p>
    <w:p w14:paraId="0010008E" w14:textId="0010008F">
      <w:pPr>
        <w:spacing w:after="100"/>
      </w:pPr>
      <w:r>
        <w:rPr>
          <w:sz w:val="22"/>
        </w:rPr>
        <w:t xml:space="preserve">•  Supplementary Defenses &amp; Speedup: Chen et al. (2025) [9] proposed Label Disguise Defense (LDD); Bhat et al. (2025) [7] explored hybrid perplexity metrics; and Yao et al. (NeurIPS 2022) [45] demonstrated post-training quantization (ZeroQuant) for fast CPU execution.</w:t>
      </w:r>
    </w:p>
    <w:p w14:paraId="00100090" w14:textId="00100091">
      <w:pPr>
        <w:pStyle w:val="Heading2"/>
        <w:spacing w:before="240" w:after="80"/>
      </w:pPr>
      <w:r>
        <w:rPr>
          <w:b/>
          <w:sz w:val="28"/>
        </w:rPr>
        <w:t xml:space="preserve">2.2. Summary of the Literature Review</w:t>
      </w:r>
    </w:p>
    <w:p w14:paraId="00100092" w14:textId="00100093">
      <w:pPr>
        <w:pStyle w:val="Heading3"/>
        <w:spacing w:before="160" w:after="40"/>
      </w:pPr>
      <w:r>
        <w:rPr>
          <w:b/>
          <w:sz w:val="24"/>
        </w:rPr>
        <w:t xml:space="preserve">2.2.1. Comparative Analysis Matrix of Guardrail Paradigms</w:t>
      </w:r>
    </w:p>
    <w:p w14:paraId="00100094" w14:textId="00100095">
      <w:pPr>
        <w:spacing w:after="60"/>
      </w:pPr>
      <w:r>
        <w:rPr>
          <w:sz w:val="22"/>
        </w:rPr>
        <w:t xml:space="preserve">•  Static Regex / Blacklists: 0 MB, Minimal CPU, Latency &lt;1ms, Cost $0, Brittleness: Catastrophic failure against mutations, FPR: Extremely poor.</w:t>
      </w:r>
    </w:p>
    <w:p w14:paraId="00100096" w14:textId="00100097">
      <w:pPr>
        <w:spacing w:after="60"/>
      </w:pPr>
      <w:r>
        <w:rPr>
          <w:sz w:val="22"/>
        </w:rPr>
        <w:t xml:space="preserve">•  LLM-as-a-Judge (Llama Guard 3 8B) [20]: ~8B parameters, High-End GPU cluster (&gt;16GB VRAM), Latency &gt;500ms-1500ms, Cost: High token expense, Semantic: Context-rich, FPR ~3.5%.</w:t>
      </w:r>
    </w:p>
    <w:p w14:paraId="00100098" w14:textId="00100099">
      <w:pPr>
        <w:spacing w:after="60"/>
      </w:pPr>
      <w:r>
        <w:rPr>
          <w:sz w:val="22"/>
        </w:rPr>
        <w:t xml:space="preserve">•  OpenAI Moderation API [25]: Cloud endpoint, Latency ~200-400ms, Per-call API fees, Semantic: Moderate (Toxicity focused, untuned for code injection).</w:t>
      </w:r>
    </w:p>
    <w:p w14:paraId="0010009A" w14:textId="0010009B">
      <w:pPr>
        <w:spacing w:after="60"/>
      </w:pPr>
      <w:r>
        <w:rPr>
          <w:sz w:val="22"/>
        </w:rPr>
        <w:t xml:space="preserve">•  SOTA Encoder Baseline (ProtectAI): 86M parameters, Lightweight CPU/GPU, Latency ~45ms, Open source, FPR ~4.2%, Data leakage flaw (Random Split).</w:t>
      </w:r>
    </w:p>
    <w:p w14:paraId="0010009C" w14:textId="0010009D">
      <w:pPr>
        <w:spacing w:after="100"/>
      </w:pPr>
      <w:r>
        <w:rPr>
          <w:sz w:val="22"/>
        </w:rPr>
        <w:t xml:space="preserve">•  PI-GUARD (Proposed Solution): 86M (&lt;300MB RAM), Commodity CPU (Zero GPU requirement), P95 &lt; 30ms, $0 self-hosted, Disentangled Attention deep semantics, Robust against mutations (Delta F1 &lt; 5%), Zero-leakage via Group-Aware Split, Calibrated FPR &lt; 1.5%, Model-agnostic protection across 5 LLM APIs.</w:t>
      </w:r>
    </w:p>
    <w:p w14:paraId="0010009E" w14:textId="0010009F">
      <w:pPr>
        <w:pStyle w:val="Heading3"/>
        <w:spacing w:before="160" w:after="40"/>
      </w:pPr>
      <w:r>
        <w:rPr>
          <w:b/>
          <w:sz w:val="24"/>
        </w:rPr>
        <w:t xml:space="preserve">2.2.2. Three Core Identified Research Gaps (GAP 1 to GAP 3)</w:t>
      </w:r>
    </w:p>
    <w:p w14:paraId="001000A0" w14:textId="001000A1">
      <w:pPr>
        <w:spacing w:after="60"/>
      </w:pPr>
      <w:r>
        <w:rPr>
          <w:sz w:val="22"/>
        </w:rPr>
        <w:t xml:space="preserve">•  GAP 1: Data Leakage &amp; OOD Generalization: Random splitting leaks identical prompt templates across Train and Test sets, causing optimistic F1 scores that collapse on real-world OOD attacks.</w:t>
      </w:r>
    </w:p>
    <w:p w14:paraId="001000A2" w14:textId="001000A3">
      <w:pPr>
        <w:spacing w:after="60"/>
      </w:pPr>
      <w:r>
        <w:rPr>
          <w:sz w:val="22"/>
        </w:rPr>
        <w:t xml:space="preserve">•  GAP 2: Adversarial Evasion Robustness: Existing filters are easily bypassed by syntactic perturbations like Leetspeak ('1gn0r3'), intra-word spacing, and Base64 encoding [11], [22].</w:t>
      </w:r>
    </w:p>
    <w:p w14:paraId="001000A4" w14:textId="001000A5">
      <w:pPr>
        <w:spacing w:after="100"/>
      </w:pPr>
      <w:r>
        <w:rPr>
          <w:sz w:val="22"/>
        </w:rPr>
        <w:t xml:space="preserve">•  GAP 3: Deployment Latency &amp; Over-Defense (FPR): Large Transformer guardrails introduce high latency (choking APIs), while overly strict thresholds falsely block legitimate queries (high FPR) [32].</w:t>
      </w:r>
    </w:p>
    <w:p w14:paraId="001000A6" w14:textId="001000A7">
      <w:pPr>
        <w:pStyle w:val="Heading2"/>
        <w:spacing w:before="240" w:after="80"/>
      </w:pPr>
      <w:r>
        <w:rPr>
          <w:b/>
          <w:sz w:val="28"/>
        </w:rPr>
        <w:t xml:space="preserve">2.3. Contribution of Research</w:t>
      </w:r>
    </w:p>
    <w:p w14:paraId="001000A8" w14:textId="001000A9">
      <w:pPr>
        <w:spacing w:after="100"/>
      </w:pPr>
      <w:r>
        <w:rPr>
          <w:sz w:val="22"/>
        </w:rPr>
        <w:t xml:space="preserve">To decisively resolve the three research gaps, PI-Guard delivers four concrete scientific and engineering contributions:</w:t>
      </w:r>
    </w:p>
    <w:p w14:paraId="001000AA" w14:textId="001000AB">
      <w:pPr>
        <w:spacing w:after="60"/>
      </w:pPr>
      <w:r>
        <w:rPr>
          <w:sz w:val="22"/>
        </w:rPr>
        <w:t xml:space="preserve">•  Contribution 1: Group-Aware Splitting Methodology for Zero-Leakage Evaluation: Formulates a rigorous Group-Aware Splitting protocol integrating semantic embedding cosine distance with character-level Jaccard similarity clustering, completely eliminating cross-partition contamination (Inter-cluster Jaccard &lt; 0.15) and establishing genuine out-of-distribution evaluation (Macro F1 OOD &gt;= 0.92).</w:t>
      </w:r>
    </w:p>
    <w:p w14:paraId="001000AC" w14:textId="001000AD">
      <w:pPr>
        <w:spacing w:after="60"/>
      </w:pPr>
      <w:r>
        <w:rPr>
          <w:sz w:val="22"/>
        </w:rPr>
        <w:t xml:space="preserve">•  Contribution 2: Multi-Layer Two-Tier Hybrid Guardrail Architecture: Tier 0 (Ingress Scrubber) enforces Unicode NFKC normalization, zero-width stripping, and despacing; Tier 1 (Fast-Filter Baseline) combines Word TF-IDF (1-2 n-grams) and Character TF-IDF (3-5 n-grams) with LinearSVC / Logistic Regression for ~2.8ms early exits; Tier 2 (Deep Semantic Classifier) fine-tunes microsoft/deberta-v3-base (86M parameters) using Disentangled Attention [15] to decouple imperative commands from injected data.</w:t>
      </w:r>
    </w:p>
    <w:p w14:paraId="001000AE" w14:textId="001000AF">
      <w:pPr>
        <w:spacing w:after="60"/>
      </w:pPr>
      <w:r>
        <w:rPr>
          <w:sz w:val="22"/>
        </w:rPr>
        <w:t xml:space="preserve">•  Contribution 3: Offline Targeted Adversarial Testing Suite &amp; Evasion Resilience: Engineers a comprehensive multi-slice adversarial evaluation suite adapted from JailGuard (ACM TOSEM 2025) [11] with 4 targeted mutator operators (Spacing, Leetspeak, Zero-Width, Base64 Smuggling), confining adversarial degradation to Delta F1 &lt; 2.3%.</w:t>
      </w:r>
    </w:p>
    <w:p w14:paraId="001000B0" w14:textId="001000B1">
      <w:pPr>
        <w:spacing w:after="100"/>
      </w:pPr>
      <w:r>
        <w:rPr>
          <w:sz w:val="22"/>
        </w:rPr>
        <w:t xml:space="preserve">•  Contribution 4: Tri-State Policy Routing Engine &amp; Low-Latency Inline Proxy Testbed: Formulates a calibrated Tri-State Policy Routing Engine (Pass: P &lt; 0.15; Review: 0.15 &lt;= P &lt;= 0.85; Block: P &gt; 0.85) enforcing FPR &lt; 1.5% on NotInject [32], alongside a Tail-Priority Early-Exit Sliding Window scanning algorithm processing up to 200,000 characters in O(N) time with 33x speedup, delivered as an asynchronous FastAPI proxy and Streamlit security dashboard.</w:t>
      </w:r>
    </w:p>
    <w:p w14:paraId="001000B2" w14:textId="001000B3">
      <w:pPr>
        <w:pStyle w:val="Heading1"/>
        <w:spacing w:before="360" w:after="120"/>
      </w:pPr>
      <w:r>
        <w:rPr>
          <w:b/>
          <w:sz w:val="36"/>
        </w:rPr>
        <w:t xml:space="preserve">ACADEMIC CONCEPT GLOSSARY</w:t>
      </w:r>
    </w:p>
    <w:p w14:paraId="001000B4" w14:textId="001000B5">
      <w:pPr>
        <w:spacing w:after="60"/>
      </w:pPr>
      <w:r>
        <w:rPr>
          <w:sz w:val="21"/>
        </w:rPr>
        <w:t xml:space="preserve">•  [TN1] Instruction / Data Ambiguity: The architectural failure of a processing system to distinguish between control instructions and passive input data streams (Perez &amp; Ribeiro 2022 [27]; Greshake et al. 2023 [13]).</w:t>
      </w:r>
    </w:p>
    <w:p w14:paraId="001000B6" w14:textId="001000B7">
      <w:pPr>
        <w:spacing w:after="60"/>
      </w:pPr>
      <w:r>
        <w:rPr>
          <w:sz w:val="21"/>
        </w:rPr>
        <w:t xml:space="preserve">•  [TN2] Flat Token Space (X = S || U): A contiguous, homogenous linear token sequence where privileged instructions (S) and unverified data (U) are concatenated without privilege tags (Wallace et al. 2024 [41]; NIST AI 100-2e2025 [53]).</w:t>
      </w:r>
    </w:p>
    <w:p w14:paraId="001000B8" w14:textId="001000B9">
      <w:pPr>
        <w:spacing w:after="60"/>
      </w:pPr>
      <w:r>
        <w:rPr>
          <w:sz w:val="21"/>
        </w:rPr>
        <w:t xml:space="preserve">•  [TN3] Competing Objectives: The mathematical tension between maximizing user utility (Helpfulness) and enforcing refusal boundaries (Harmlessness) during safety alignment (Wei et al. NeurIPS 2023 [44]).</w:t>
      </w:r>
    </w:p>
    <w:p w14:paraId="001000BA" w14:textId="001000BB">
      <w:pPr>
        <w:spacing w:after="60"/>
      </w:pPr>
      <w:r>
        <w:rPr>
          <w:sz w:val="21"/>
        </w:rPr>
        <w:t xml:space="preserve">•  [TN4] Disentangled Attention: An attention mechanism representing each token using two decoupled vectors: a content vector and a relative position vector (He, Gao &amp; Chen ICLR 2023 [15]).</w:t>
      </w:r>
    </w:p>
    <w:p w14:paraId="001000BC" w14:textId="001000BD">
      <w:pPr>
        <w:spacing w:after="60"/>
      </w:pPr>
      <w:r>
        <w:rPr>
          <w:sz w:val="21"/>
        </w:rPr>
        <w:t xml:space="preserve">•  [TN5] No-Execute Bit (NX-Bit) Analogy: A CPU hardware flag marking data memory regions as non-executable to prevent buffer overflow code execution (Saltzer &amp; Schroeder 1975 [34]).</w:t>
      </w:r>
    </w:p>
    <w:p w14:paraId="001000BE" w14:textId="001000BF">
      <w:pPr>
        <w:spacing w:after="60"/>
      </w:pPr>
      <w:r>
        <w:rPr>
          <w:sz w:val="21"/>
        </w:rPr>
        <w:t xml:space="preserve">•  [TN6] Roleplay &amp; DAN Jailbreak: Adversarial conversational framing establishing fictitious personas ('Do Anything Now') to bypass internal safety alignment (Shen et al. ACM CCS 2024 [35]).</w:t>
      </w:r>
    </w:p>
    <w:p w14:paraId="001000C0" w14:textId="001000C1">
      <w:pPr>
        <w:spacing w:after="60"/>
      </w:pPr>
      <w:r>
        <w:rPr>
          <w:sz w:val="21"/>
        </w:rPr>
        <w:t xml:space="preserve">•  [TN7] Over-Defense (FPR Flaw): The tendency of security classifiers to falsely flag benign technical queries as attacks (Hao Li et al. ACL 2025 [32]).</w:t>
      </w:r>
    </w:p>
    <w:p w14:paraId="001000C2" w14:textId="001000C3">
      <w:pPr>
        <w:spacing w:after="60"/>
      </w:pPr>
      <w:r>
        <w:rPr>
          <w:sz w:val="21"/>
        </w:rPr>
        <w:t xml:space="preserve">•  [TN8] Group-Aware Splitting: A data partition protocol assigning all semantic paraphrases of an identical prompt cluster exclusively to either Train, Val, or Test (PI-Guard Methodology 2026).</w:t>
      </w:r>
    </w:p>
    <w:p w14:paraId="001000C4" w14:textId="001000C5">
      <w:pPr>
        <w:spacing w:after="100"/>
      </w:pPr>
      <w:r>
        <w:rPr>
          <w:sz w:val="21"/>
        </w:rPr>
        <w:t xml:space="preserve">•  [TN9] Adaptive Attacks: Dynamic, iterative attack strategies tailored specifically to bypass static defenses once the defense mechanism is known (Milad Nasr et al. USENIX Security 2026 [22]).</w:t>
      </w:r>
    </w:p>
    <w:p w14:paraId="001000C6" w14:textId="001000C7">
      <w:pPr>
        <w:pStyle w:val="Heading1"/>
        <w:spacing w:before="360" w:after="120"/>
      </w:pPr>
      <w:r>
        <w:rPr>
          <w:b/>
          <w:sz w:val="36"/>
        </w:rPr>
        <w:t xml:space="preserve">REFERENCES (ACADEMIC IEEE BIBLIOGRAPHY - COMPLETE 54 PEER-REVIEWED WORKS)</w:t>
      </w:r>
    </w:p>
    <w:p w14:paraId="001000C8" w14:textId="001000C9">
      <w:pPr>
        <w:spacing w:after="60"/>
      </w:pPr>
      <w:r>
        <w:rPr>
          <w:sz w:val="19"/>
        </w:rPr>
        <w:t xml:space="preserve">[1] Z. Ahmad, R. F. Ali, and M. Z. Khan, 'Guardrails for Large Language Models: A Comprehensive Review of Techniques, Datasets, and Challenges,' TechRxiv Preprint, 2025. DOI: 10.36227/techrxiv.173877942.92348512/v1.</w:t>
      </w:r>
    </w:p>
    <w:p w14:paraId="001000CA" w14:textId="001000CB">
      <w:pPr>
        <w:spacing w:after="60"/>
      </w:pPr>
      <w:r>
        <w:rPr>
          <w:sz w:val="19"/>
        </w:rPr>
        <w:t xml:space="preserve">[2] A. AlGhamdi, M. Alshahrani, and A. Alshehri, 'Anyone Can Jailbreak: Prompt-Based Attacks on LLMs and T2Is,' arXiv preprint arXiv:2507.21820, 2025.</w:t>
      </w:r>
    </w:p>
    <w:p w14:paraId="001000CC" w14:textId="001000CD">
      <w:pPr>
        <w:spacing w:after="60"/>
      </w:pPr>
      <w:r>
        <w:rPr>
          <w:sz w:val="19"/>
        </w:rPr>
        <w:t xml:space="preserve">[3] H. Alqahtani, S. Alqahtani, and M. A. Ferrag, 'Data security in large language models: risks, defense, and directions,' Journal of King Saud University - Computer and Information Sciences (Springer), 2026. DOI: 10.1007/s44434-026-00041-x.</w:t>
      </w:r>
    </w:p>
    <w:p w14:paraId="001000CE" w14:textId="001000CF">
      <w:pPr>
        <w:spacing w:after="60"/>
      </w:pPr>
      <w:r>
        <w:rPr>
          <w:sz w:val="19"/>
        </w:rPr>
        <w:t xml:space="preserve">[4] R. Angell, J. Brinkmann, and H. He, 'Jailbreak Transferability Emerges from Shared Representations,' in Proceedings of the Fourteenth International Conference on Learning Representations (ICLR 2026), arXiv:2506.12913, 2026.</w:t>
      </w:r>
    </w:p>
    <w:p w14:paraId="001000D0" w14:textId="001000D1">
      <w:pPr>
        <w:spacing w:after="60"/>
      </w:pPr>
      <w:r>
        <w:rPr>
          <w:sz w:val="19"/>
        </w:rPr>
        <w:t xml:space="preserve">[5] A. N. Angelopoulos, S. Bates, E. Candès, M. I. Jordan, and L. Lei, 'Conformal Risk Control,' arXiv preprint arXiv:2208.02814, 2024.</w:t>
      </w:r>
    </w:p>
    <w:p w14:paraId="001000D2" w14:textId="001000D3">
      <w:pPr>
        <w:spacing w:after="60"/>
      </w:pPr>
      <w:r>
        <w:rPr>
          <w:sz w:val="19"/>
        </w:rPr>
        <w:t xml:space="preserve">[6] M. A. Ayub et al., 'Towards Robust Detection of Prompt Injection Attacks: An Empirical Study of Defenses,' in Conference on Applied Machine Learning in Information Security (CAMLIS 2024), 2024.</w:t>
      </w:r>
    </w:p>
    <w:p w14:paraId="001000D4" w14:textId="001000D5">
      <w:pPr>
        <w:spacing w:after="60"/>
      </w:pPr>
      <w:r>
        <w:rPr>
          <w:sz w:val="19"/>
        </w:rPr>
        <w:t xml:space="preserve">[7] S. Bhat, R. Roy, and P. Kumar, 'A Hybrid Perplexity-MAS Framework for Proactive Jailbreak Attack Detection in Large Language Models,' Applied Sciences, vol. 15, no. 4, p. 1928, 2025. DOI: 10.3390/app15041928.</w:t>
      </w:r>
    </w:p>
    <w:p w14:paraId="001000D6" w14:textId="001000D7">
      <w:pPr>
        <w:spacing w:after="60"/>
      </w:pPr>
      <w:r>
        <w:rPr>
          <w:sz w:val="19"/>
        </w:rPr>
        <w:t xml:space="preserve">[8] P. Chao, E. Debenedetti, A. Robey et al., 'JailbreakBench: An Open Robustness Benchmark for Jailbreaking Large Language Models,' in Advances in Neural Information Processing Systems (NeurIPS 2024), 2024.</w:t>
      </w:r>
    </w:p>
    <w:p w14:paraId="001000D8" w14:textId="001000D9">
      <w:pPr>
        <w:spacing w:after="60"/>
      </w:pPr>
      <w:r>
        <w:rPr>
          <w:sz w:val="19"/>
        </w:rPr>
        <w:t xml:space="preserve">[9] L. Chen, H. Gao, and Y. Wang, 'Semantics as a Shield: Label Disguise Defense (LDD) against Prompt Injection in LLM Sentiment Classification,' arXiv preprint arXiv:2511.21752, 2025.</w:t>
      </w:r>
    </w:p>
    <w:p w14:paraId="001000DA" w14:textId="001000DB">
      <w:pPr>
        <w:spacing w:after="60"/>
      </w:pPr>
      <w:r>
        <w:rPr>
          <w:sz w:val="19"/>
        </w:rPr>
        <w:t xml:space="preserve">[10] Y. Deng et al., 'Multilingual Jailbreak Challenges in Large Language Models,' in Proceedings of the Twelfth International Conference on Learning Representations (ICLR 2024), 2024.</w:t>
      </w:r>
    </w:p>
    <w:p w14:paraId="001000DC" w14:textId="001000DD">
      <w:pPr>
        <w:spacing w:after="60"/>
      </w:pPr>
      <w:r>
        <w:rPr>
          <w:sz w:val="19"/>
        </w:rPr>
        <w:t xml:space="preserve">[11] S. Zhang, Y. Dong, S. Meng, J. Sun, and T. Chen, 'JailGuard: A Universal Detection Framework for Prompt-based Attacks on Large Language Model Systems,' ACM Transactions on Software Engineering and Methodology (TOSEM 2025), vol. 34, no. 3, arXiv:2312.10766, 2025. DOI: 10.1145/3708528.</w:t>
      </w:r>
    </w:p>
    <w:p w14:paraId="001000DE" w14:textId="001000DF">
      <w:pPr>
        <w:spacing w:after="60"/>
      </w:pPr>
      <w:r>
        <w:rPr>
          <w:sz w:val="19"/>
        </w:rPr>
        <w:t xml:space="preserve">[12] J. Fairoze, S. Sanyal, K. Eykholt, and B. Li, 'Bypassing Prompt Guards in Production with Controlled-Release Prompting,' in Proceedings of the 35th USENIX Security Symposium (USENIX Security 2026), 2026.</w:t>
      </w:r>
    </w:p>
    <w:p w14:paraId="001000E0" w14:textId="001000E1">
      <w:pPr>
        <w:spacing w:after="60"/>
      </w:pPr>
      <w:r>
        <w:rPr>
          <w:sz w:val="19"/>
        </w:rPr>
        <w:t xml:space="preserve">[13] K. Greshake, S. Abdelnabi, S. Mishra, C. Endres, T. Holz, and M. Fritz, 'Not what you signed up for: Compromising Real-World LLM Applications with Indirect Prompt Injection,' in Proceedings of the 16th ACM Workshop on Artificial Intelligence and Security (AISEC 2023), pp. 79–90, 2023. DOI: 10.1145/3605764.3623985.</w:t>
      </w:r>
    </w:p>
    <w:p w14:paraId="001000E2" w14:textId="001000E3">
      <w:pPr>
        <w:spacing w:after="60"/>
      </w:pPr>
      <w:r>
        <w:rPr>
          <w:sz w:val="19"/>
        </w:rPr>
        <w:t xml:space="preserve">[14] C. Hackett et al., 'Bypassing LLM Guardrails: Evasion Attacks on Text Classifiers,' arXiv preprint arXiv:2501.08921, 2025.</w:t>
      </w:r>
    </w:p>
    <w:p w14:paraId="001000E4" w14:textId="001000E5">
      <w:pPr>
        <w:spacing w:after="60"/>
      </w:pPr>
      <w:r>
        <w:rPr>
          <w:sz w:val="19"/>
        </w:rPr>
        <w:t xml:space="preserve">[15] P. He, J. Gao, and W. Chen, 'DeBERTaV3: Improving DeBERTa using ELECTRA-Style Pre-Training with Gradient-Disentangled Embedding Sharing,' in Proceedings of the Eleventh International Conference on Learning Representations (ICLR 2023), 2023.</w:t>
      </w:r>
    </w:p>
    <w:p w14:paraId="001000E6" w14:textId="001000E7">
      <w:pPr>
        <w:spacing w:after="60"/>
      </w:pPr>
      <w:r>
        <w:rPr>
          <w:sz w:val="19"/>
        </w:rPr>
        <w:t xml:space="preserve">[16] A. Jacob et al., 'PromptShield: Deployable Detection of Prompt Injection Attacks in LLMs,' in Proceedings of the 2024 ACM SIGSAC Conference on Computer and Communications Security (ACM CCS 2024), 2024.</w:t>
      </w:r>
    </w:p>
    <w:p w14:paraId="001000E8" w14:textId="001000E9">
      <w:pPr>
        <w:spacing w:after="60"/>
      </w:pPr>
      <w:r>
        <w:rPr>
          <w:sz w:val="19"/>
        </w:rPr>
        <w:t xml:space="preserve">[17] N. Jain, A. Schwarzschild, Y. Wen, G. Saha, A. Anumanchipalli, P. Chiang, K. Singhal, V. Geiping, T. Goldstein, and J. Dickerson, 'Baseline Defenses for Adversarial Attacks Against Aligned Language Models,' in NeurIPS 2023 ML Safety Workshop, arXiv:2309.00614, 2023.</w:t>
      </w:r>
    </w:p>
    <w:p w14:paraId="001000EA" w14:textId="001000EB">
      <w:pPr>
        <w:spacing w:after="60"/>
      </w:pPr>
      <w:r>
        <w:rPr>
          <w:sz w:val="19"/>
        </w:rPr>
        <w:t xml:space="preserve">[18] Y. Liu et al., 'DataSentinel: Game-Theoretic Detection of Prompt Injection Attacks,' in Proceedings of the Thirteenth International Conference on Learning Representations (ICLR 2025), 2025.</w:t>
      </w:r>
    </w:p>
    <w:p w14:paraId="001000EC" w14:textId="001000ED">
      <w:pPr>
        <w:spacing w:after="60"/>
      </w:pPr>
      <w:r>
        <w:rPr>
          <w:sz w:val="19"/>
        </w:rPr>
        <w:t xml:space="preserve">[19] H. Luo et al., 'CASCADE: A Context-Aware Multi-Stage Defense Framework Against Jailbreak Attacks,' in Proceedings of the 40th AAAI Conference on Artificial Intelligence (AAAI 2026), 2026.</w:t>
      </w:r>
    </w:p>
    <w:p w14:paraId="001000EE" w14:textId="001000EF">
      <w:pPr>
        <w:spacing w:after="60"/>
      </w:pPr>
      <w:r>
        <w:rPr>
          <w:sz w:val="19"/>
        </w:rPr>
        <w:t xml:space="preserve">[20] H. Inan, K. Upasani, J. Chi, R. Rungta, K. Iyer, Y. Mao, M. Tontchev, Q. Hu, B. Fuller, D. Testuggine, and M. Khabsa, 'Llama Guard: LLM-based Input-Output Safeguard for Human-AI Conversations,' Meta AI Technical Report, arXiv:2312.06674, 2023.</w:t>
      </w:r>
    </w:p>
    <w:p w14:paraId="001000F0" w14:textId="001000F1">
      <w:pPr>
        <w:spacing w:after="60"/>
      </w:pPr>
      <w:r>
        <w:rPr>
          <w:sz w:val="19"/>
        </w:rPr>
        <w:t xml:space="preserve">[21] Meta AI, 'Prompt Guard 86M: A Specialized Small Model for Prompt Injection and Jailbreak Detection,' Meta AI Security Engineering Release, 2024.</w:t>
      </w:r>
    </w:p>
    <w:p w14:paraId="001000F2" w14:textId="001000F3">
      <w:pPr>
        <w:spacing w:after="60"/>
      </w:pPr>
      <w:r>
        <w:rPr>
          <w:sz w:val="19"/>
        </w:rPr>
        <w:t xml:space="preserve">[22] M. Nasr, N. Carlini, J. Hayase, M. Jagielski, A. F. Cooper, C. A. Choquette-Choo, D. Severi, F. Tramèr, and N. Papernot, 'The Attacker Moves Second: Stronger Adaptive Attacks Bypass Defenses Against LLM Jailbreaks and Prompt Injections,' in Proceedings of the 35th USENIX Security Symposium (USENIX Security 2026), 2026.</w:t>
      </w:r>
    </w:p>
    <w:p w14:paraId="001000F4" w14:textId="001000F5">
      <w:pPr>
        <w:spacing w:after="60"/>
      </w:pPr>
      <w:r>
        <w:rPr>
          <w:sz w:val="19"/>
        </w:rPr>
        <w:t xml:space="preserve">[23] P. R. F. Neves, L. R. C. Fernandes, and M. G. Manzato, 'GuardNet: Ensemble Strategies of Shallow Neural Networks for Robust Prompt Injection and Jailbreak Detection,' arXiv preprint arXiv:2606.05566, 2026.</w:t>
      </w:r>
    </w:p>
    <w:p w14:paraId="001000F6" w14:textId="001000F7">
      <w:pPr>
        <w:spacing w:after="60"/>
      </w:pPr>
      <w:r>
        <w:rPr>
          <w:sz w:val="19"/>
        </w:rPr>
        <w:t xml:space="preserve">[24] T. Rebedea, R. Dinu, M. Sreedhar, C. Parisien, and J. Cohen, 'NeMo Guardrails: A Toolkit for Controllable and Safe LLM Applications,' in Proceedings of EMNLP 2023 System Demonstrations, pp. 431–444, 2023.</w:t>
      </w:r>
    </w:p>
    <w:p w14:paraId="001000F8" w14:textId="001000F9">
      <w:pPr>
        <w:spacing w:after="60"/>
      </w:pPr>
      <w:r>
        <w:rPr>
          <w:sz w:val="19"/>
        </w:rPr>
        <w:t xml:space="preserve">[25] T. Markov, C. Zhang, P. Mogensen, K. Lu, L. Weng, L. Wang, and A. Radford, 'A Holistic Approach to Undesired Content Detection in the Real World,' in Proceedings of AAAI HCOMP 2023, 2023.</w:t>
      </w:r>
    </w:p>
    <w:p w14:paraId="001000FA" w14:textId="001000FB">
      <w:pPr>
        <w:spacing w:after="60"/>
      </w:pPr>
      <w:r>
        <w:rPr>
          <w:sz w:val="19"/>
        </w:rPr>
        <w:t xml:space="preserve">[26] L. Ouyang, J. Wu, X. Jiang et al., 'Training language models to follow instructions with human feedback,' in Advances in Neural Information Processing Systems (NeurIPS 2022), vol. 35, pp. 27730–27744, 2022.</w:t>
      </w:r>
    </w:p>
    <w:p w14:paraId="001000FC" w14:textId="001000FD">
      <w:pPr>
        <w:spacing w:after="60"/>
      </w:pPr>
      <w:r>
        <w:rPr>
          <w:sz w:val="19"/>
        </w:rPr>
        <w:t xml:space="preserve">[27] F. Perez and I. Ribeiro, 'Ignore Previous Prompt: Attack Techniques For Language Models,' in NeurIPS 2022 Workshop on ML Safety, 2022.</w:t>
      </w:r>
    </w:p>
    <w:p w14:paraId="001000FE" w14:textId="001000FF">
      <w:pPr>
        <w:spacing w:after="60"/>
      </w:pPr>
      <w:r>
        <w:rPr>
          <w:sz w:val="19"/>
        </w:rPr>
        <w:t xml:space="preserve">[28] Y. Wang, W. Zhong, X. He, C. Chen, and M. Carpuat, 'Do-Not-Answer: A Dataset for Evaluating Safeguards in Large Language Models,' in Findings of EMNLP 2023, 2023.</w:t>
      </w:r>
    </w:p>
    <w:p w14:paraId="00100100" w14:textId="00100101">
      <w:pPr>
        <w:spacing w:after="60"/>
      </w:pPr>
      <w:r>
        <w:rPr>
          <w:sz w:val="19"/>
        </w:rPr>
        <w:t xml:space="preserve">[29] Z. Chen et al., 'A Comprehensive Study on Jailbreak Attacks and Defenses for Large Language Models,' in Findings of the Association for Computational Linguistics (ACL 2024), 2024.</w:t>
      </w:r>
    </w:p>
    <w:p w14:paraId="00100102" w14:textId="00100103">
      <w:pPr>
        <w:spacing w:after="60"/>
      </w:pPr>
      <w:r>
        <w:rPr>
          <w:sz w:val="19"/>
        </w:rPr>
        <w:t xml:space="preserve">[30] C. Zhang et al., 'Exploring Vulnerabilities and Protections in Large Language Models: A Comprehensive Survey,' IEEE Transactions on Knowledge and Data Engineering (TKDE), 2024.</w:t>
      </w:r>
    </w:p>
    <w:p w14:paraId="00100104" w14:textId="00100105">
      <w:pPr>
        <w:spacing w:after="60"/>
      </w:pPr>
      <w:r>
        <w:rPr>
          <w:sz w:val="19"/>
        </w:rPr>
        <w:t xml:space="preserve">[31] X. Liu et al., 'Jailbreak Attacks and Defenses Against Large Language Models: A Survey,' IEEE Transactions on Dependable and Secure Computing (TDSC), 2024.</w:t>
      </w:r>
    </w:p>
    <w:p w14:paraId="00100106" w14:textId="00100107">
      <w:pPr>
        <w:spacing w:after="60"/>
      </w:pPr>
      <w:r>
        <w:rPr>
          <w:sz w:val="19"/>
        </w:rPr>
        <w:t xml:space="preserve">[32] H. Li, X. Liu, Y. Zhao, C. Xiao et al., 'InjecGuard: Benchmarking and Mitigating Over-defense in Prompt Injection Guardrail Models,' in Findings of ACL 2025, arXiv:2410.22770, 2025.</w:t>
      </w:r>
    </w:p>
    <w:p w14:paraId="00100108" w14:textId="00100109">
      <w:pPr>
        <w:spacing w:after="60"/>
      </w:pPr>
      <w:r>
        <w:rPr>
          <w:sz w:val="19"/>
        </w:rPr>
        <w:t xml:space="preserve">[33] A. Robey, E. Wong, H. Hassani, and G. J. Pappas, 'SmoothLLM: Defending Large Language Models Against Jailbreaking Attacks,' arXiv preprint arXiv:2310.03684, 2023.</w:t>
      </w:r>
    </w:p>
    <w:p w14:paraId="0010010A" w14:textId="0010010B">
      <w:pPr>
        <w:spacing w:after="60"/>
      </w:pPr>
      <w:r>
        <w:rPr>
          <w:sz w:val="19"/>
        </w:rPr>
        <w:t xml:space="preserve">[34] J. H. Saltzer and M. D. Schroeder, 'The protection of information in computer systems,' Proceedings of the IEEE, vol. 63, no. 9, pp. 1278–1308, 1975. DOI: 10.1109/PROC.1975.9939.</w:t>
      </w:r>
    </w:p>
    <w:p w14:paraId="0010010C" w14:textId="0010010D">
      <w:pPr>
        <w:spacing w:after="60"/>
      </w:pPr>
      <w:r>
        <w:rPr>
          <w:sz w:val="19"/>
        </w:rPr>
        <w:t xml:space="preserve">[35] X. Shen, Z. Chen, M. Backes, Y. Shen, and Y. Zhang, '"Do Anything Now": Characterizing and Evaluating In-The-Wild Jailbreak Prompts on Large Language Models,' in Proceedings of the 2024 ACM SIGSAC Conference on Computer and Communications Security (ACM CCS 2024), pp. 4028–4042, 2024.</w:t>
      </w:r>
    </w:p>
    <w:p w14:paraId="0010010E" w14:textId="0010010F">
      <w:pPr>
        <w:spacing w:after="60"/>
      </w:pPr>
      <w:r>
        <w:rPr>
          <w:sz w:val="19"/>
        </w:rPr>
        <w:t xml:space="preserve">[36] Survey Team, 'A Comprehensive Survey on Jailbreaking Attacks and Defenses for Large Language Models,' TechRxiv Preprint, 2025.</w:t>
      </w:r>
    </w:p>
    <w:p w14:paraId="00100110" w14:textId="00100111">
      <w:pPr>
        <w:spacing w:after="60"/>
      </w:pPr>
      <w:r>
        <w:rPr>
          <w:sz w:val="19"/>
        </w:rPr>
        <w:t xml:space="preserve">[37] Systematic Review Team, 'A Systematic Literature Review on Prompt Injection Attacks in LLM-Integrated Systems,' arXiv preprint arXiv:2504.09123, 2025.</w:t>
      </w:r>
    </w:p>
    <w:p w14:paraId="00100112" w14:textId="00100113">
      <w:pPr>
        <w:spacing w:after="60"/>
      </w:pPr>
      <w:r>
        <w:rPr>
          <w:sz w:val="19"/>
        </w:rPr>
        <w:t xml:space="preserve">[38] Y. Yang, Z. Shen, J. Wang et al., 'Securing the AI Agent: A Unified Framework for Multi-Layer Agent Red Teaming,' Tencent Zhuque Lab Technical Report, arXiv:2606.31227, 2026.</w:t>
      </w:r>
    </w:p>
    <w:p w14:paraId="00100114" w14:textId="00100115">
      <w:pPr>
        <w:spacing w:after="60"/>
      </w:pPr>
      <w:r>
        <w:rPr>
          <w:sz w:val="19"/>
        </w:rPr>
        <w:t xml:space="preserve">[39] Y. Yi et al., 'BIPIA: Benchmarking Indirect Prompt Injection Attacks,' in Proceedings of the 31st ACM SIGKDD Conference on Knowledge Discovery and Data Mining (KDD 2025), 2025.</w:t>
      </w:r>
    </w:p>
    <w:p w14:paraId="00100116" w14:textId="00100117">
      <w:pPr>
        <w:spacing w:after="60"/>
      </w:pPr>
      <w:r>
        <w:rPr>
          <w:sz w:val="19"/>
        </w:rPr>
        <w:t xml:space="preserve">[40] M. Zhang et al., 'RAP-ID: Robust Alignment Preservation for Injection Defense,' in Proceedings of the 35th USENIX Security Symposium (USENIX Security 2026), 2026.</w:t>
      </w:r>
    </w:p>
    <w:p w14:paraId="00100118" w14:textId="00100119">
      <w:pPr>
        <w:spacing w:after="60"/>
      </w:pPr>
      <w:r>
        <w:rPr>
          <w:sz w:val="19"/>
        </w:rPr>
        <w:t xml:space="preserve">[41] E. Wallace, K. Xiao, R. Leike, L. Weng, J. Steinhardt, and P. Christiano, 'The Instruction Hierarchy: Training LLMs to Prioritize Privileged Instructions,' arXiv preprint arXiv:2404.13208, 2024.</w:t>
      </w:r>
    </w:p>
    <w:p w14:paraId="0010011A" w14:textId="0010011B">
      <w:pPr>
        <w:spacing w:after="60"/>
      </w:pPr>
      <w:r>
        <w:rPr>
          <w:sz w:val="19"/>
        </w:rPr>
        <w:t xml:space="preserve">[42] Y. Wang, H. Zhao, and L. Song, 'Few-Shot In-Context Demonstrations Bypass LLM Defenses,' arXiv preprint arXiv:2602.14892, 2026.</w:t>
      </w:r>
    </w:p>
    <w:p w14:paraId="0010011C" w14:textId="0010011D">
      <w:pPr>
        <w:spacing w:after="60"/>
      </w:pPr>
      <w:r>
        <w:rPr>
          <w:sz w:val="19"/>
        </w:rPr>
        <w:t xml:space="preserve">[43] X. Wang, C. Chen, Y. Ding et al., 'Prompt-Based Jailbreaking of Leading LLM Chatbots: A Survey of Attacks and Defenses,' IEEE Transactions on Artificial Intelligence (IEEE TAI 2026), 2026.</w:t>
      </w:r>
    </w:p>
    <w:p w14:paraId="0010011E" w14:textId="0010011F">
      <w:pPr>
        <w:spacing w:after="60"/>
      </w:pPr>
      <w:r>
        <w:rPr>
          <w:sz w:val="19"/>
        </w:rPr>
        <w:t xml:space="preserve">[44] A. Wei, N. Haghtalab, and J. Steinhardt, 'Jailbroken: How Does LLM Safety Training Fail?,' in Advances in Neural Information Processing Systems 36 (NeurIPS 2023), vol. 36, pp. 80079–80110, 2023.</w:t>
      </w:r>
    </w:p>
    <w:p w14:paraId="00100120" w14:textId="00100121">
      <w:pPr>
        <w:spacing w:after="60"/>
      </w:pPr>
      <w:r>
        <w:rPr>
          <w:sz w:val="19"/>
        </w:rPr>
        <w:t xml:space="preserve">[45] Z. Yao et al., 'ZeroQuant: Efficient and Affordable Post-Training Quantization for Large-Scale Transformers,' in Advances in Neural Information Processing Systems (NeurIPS 2022), 2022.</w:t>
      </w:r>
    </w:p>
    <w:p w14:paraId="00100122" w14:textId="00100123">
      <w:pPr>
        <w:spacing w:after="60"/>
      </w:pPr>
      <w:r>
        <w:rPr>
          <w:sz w:val="19"/>
        </w:rPr>
        <w:t xml:space="preserve">[46] Y. Yuan, W. Jiao, W. Wang, J. Huang, P. He, and Z. Tu, 'GPT-4 Is Too Smart To Be Safe: Stealthy Chat with LLMs via Cipher,' in Proceedings of the Twelfth International Conference on Learning Representations (ICLR 2024), 2024.</w:t>
      </w:r>
    </w:p>
    <w:p w14:paraId="00100124" w14:textId="00100125">
      <w:pPr>
        <w:spacing w:after="60"/>
      </w:pPr>
      <w:r>
        <w:rPr>
          <w:sz w:val="19"/>
        </w:rPr>
        <w:t xml:space="preserve">[47] W. X. Zhao et al., 'A Survey of Large Language Models,' arXiv preprint arXiv:2303.18223, 2023.</w:t>
      </w:r>
    </w:p>
    <w:p w14:paraId="00100126" w14:textId="00100127">
      <w:pPr>
        <w:spacing w:after="60"/>
      </w:pPr>
      <w:r>
        <w:rPr>
          <w:sz w:val="19"/>
        </w:rPr>
        <w:t xml:space="preserve">[48] J. Zhao et al., 'InstructDetector: Defending Against Instruction-Tuned Attacks in LLMs,' in Proceedings of the 2024 Conference on Empirical Methods in Natural Language Processing (EMNLP 2024), 2024.</w:t>
      </w:r>
    </w:p>
    <w:p w14:paraId="00100128" w14:textId="00100129">
      <w:pPr>
        <w:spacing w:after="60"/>
      </w:pPr>
      <w:r>
        <w:rPr>
          <w:sz w:val="19"/>
        </w:rPr>
        <w:t xml:space="preserve">[49] Z. Zheng, X. Zhang, and B. Han, 'Jailbreaking LLMs &amp; VLMs: Mechanisms, Evaluation, and Unified Defense,' arXiv preprint arXiv:2601.03594, 2026.</w:t>
      </w:r>
    </w:p>
    <w:p w14:paraId="0010012A" w14:textId="0010012B">
      <w:pPr>
        <w:spacing w:after="60"/>
      </w:pPr>
      <w:r>
        <w:rPr>
          <w:sz w:val="19"/>
        </w:rPr>
        <w:t xml:space="preserve">[50] H. Zhou, Z. Li, H. Li, W. Chen, Y. Xiao, and L. Sun, 'EasyJailbreak: A Unified Framework for Jailbreaking Large Language Models,' arXiv preprint arXiv:2403.12171, 2024.</w:t>
      </w:r>
    </w:p>
    <w:p w14:paraId="0010012C" w14:textId="0010012D">
      <w:pPr>
        <w:spacing w:after="60"/>
      </w:pPr>
      <w:r>
        <w:rPr>
          <w:sz w:val="19"/>
        </w:rPr>
        <w:t xml:space="preserve">[51] K. Zhou et al., 'Prompt Overflow: Exploiting Window Size Mismatches in Guardrail Systems,' in Proceedings of the 35th USENIX Security Symposium (USENIX Security 2026), 2026.</w:t>
      </w:r>
    </w:p>
    <w:p w14:paraId="0010012E" w14:textId="0010012F">
      <w:pPr>
        <w:spacing w:after="60"/>
      </w:pPr>
      <w:r>
        <w:rPr>
          <w:sz w:val="19"/>
        </w:rPr>
        <w:t xml:space="preserve">[52] A. Zou, Z. Wang, J. Z. Kolter, and M. Fredrikson, 'Universal and Transferable Adversarial Attacks on Aligned Language Models,' arXiv preprint arXiv:2307.15043, 2023.</w:t>
      </w:r>
    </w:p>
    <w:p w14:paraId="00100130" w14:textId="00100131">
      <w:pPr>
        <w:spacing w:after="60"/>
      </w:pPr>
      <w:r>
        <w:rPr>
          <w:sz w:val="19"/>
        </w:rPr>
        <w:t xml:space="preserve">[53] A. Vassilev, A. Oprea, C. Fordyce, and H. Anderson, 'Adversarial Machine Learning: A Taxonomy and Terminology of Attacks and Mitigations,' National Institute of Standards and Technology (NIST), NIST.AI.100-2e2025, 2025.</w:t>
      </w:r>
    </w:p>
    <w:p w14:paraId="00100132" w14:textId="00100133">
      <w:pPr>
        <w:spacing w:after="60"/>
      </w:pPr>
      <w:r>
        <w:rPr>
          <w:sz w:val="19"/>
        </w:rPr>
        <w:t xml:space="preserve">[54] OWASP GenAI Security Project, 'OWASP Top 10 for Large Language Model Applications,' Version 2.0, 2025.</w:t>
      </w:r>
    </w:p>
    <w:sectPr>
      <w:footerReference w:type="default" r:id="Rc5c4b09f410e460e"/>
      <w:pgSz w:w="11906" w:h="16838"/>
      <w:pgMar w:top="1440" w:right="1800" w:bottom="1440" w:left="1800"/>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134" w14:textId="00100135">
    <w:pPr/>
    <w:r>
      <w:rPr>
        <w:sz w:val="18"/>
      </w:rPr>
      <w:t xml:space="preserve">PI-Guard Capstone Project | Page </w:t>
    </w:r>
    <w:r>
      <w:rPr>
        <w:sz w:val="18"/>
      </w:rPr>
      <w:fldChar w:fldCharType="begin"/>
    </w:r>
    <w:r>
      <w:rPr>
        <w:sz w:val="18"/>
      </w:rPr>
      <w:instrText xml:space="preserve"> PAGE </w:instrText>
    </w:r>
    <w:r>
      <w:rPr>
        <w:sz w:val="18"/>
      </w:rPr>
      <w:fldChar w:fldCharType="separate"/>
    </w:r>
    <w:r>
      <w:rPr>
        <w:sz w:val="18"/>
      </w:rPr>
      <w:t xml:space="preserve">1</w:t>
    </w:r>
    <w:r>
      <w:rPr>
        <w:sz w:val="18"/>
      </w:rPr>
      <w:fldChar w:fldCharType="end"/>
    </w:r>
  </w:p>
</w:ftr>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Theme="majorHAnsi" w:hAnsiTheme="majorHAnsi" w:eastAsiaTheme="majorEastAsia" w:cstheme="majorBidi"/>
      <w:color w:val="1F3763"/>
      <w:sz w:val="24"/>
      <w:szCs w:val="24"/>
    </w:rPr>
  </w:style>
</w:styles>
</file>

<file path=word/_rels/document.xml.rels>&#65279;<?xml version="1.0" encoding="utf-8"?><Relationships xmlns="http://schemas.openxmlformats.org/package/2006/relationships"><Relationship Type="http://schemas.openxmlformats.org/officeDocument/2006/relationships/settings" Target="/word/settings.xml" Id="Ra1d567ec958a47b0" /><Relationship Type="http://schemas.openxmlformats.org/officeDocument/2006/relationships/styles" Target="/word/styles.xml" Id="R1f849b676ed546a2" /><Relationship Type="http://schemas.openxmlformats.org/officeDocument/2006/relationships/theme" Target="/word/theme/theme1.xml" Id="R5c80a5b8de51447e" /><Relationship Type="http://schemas.openxmlformats.org/officeDocument/2006/relationships/numbering" Target="/word/numbering.xml" Id="R2d6658e4347340e8" /><Relationship Type="http://schemas.openxmlformats.org/officeDocument/2006/relationships/footer" Target="/word/footer1.xml" Id="Rc5c4b09f410e460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2026-09-29T00:00:06Z</dcterms:created>
  <cp:lastModifiedBy>OfficeCLI</cp:lastModifiedBy>
  <dcterms:modified xsi:type="dcterms:W3CDTF">2026-09-29T00:00:06Z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2026-09-29T00:00:11Z</vt:lpwstr>
  </op:property>
</op:Properties>
</file>