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Requirements Document</w:t>
        <w:br/>
      </w:r>
      <w:r>
        <w:rPr>
          <w:color w:val="0E7490"/>
        </w:rPr>
        <w:t>Dev and Design Labs (DDX)</w:t>
      </w:r>
    </w:p>
    <w:p>
      <w:r>
        <w:rPr>
          <w:i/>
          <w:color w:val="475467"/>
          <w:sz w:val="21"/>
        </w:rPr>
        <w:t>A public experimentation lab, portfolio network, and community showroom for students and graduates of Dev and Design Academy</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Mar>
              <w:top w:w="70" w:type="dxa"/>
              <w:start w:w="100" w:type="dxa"/>
              <w:bottom w:w="70" w:type="dxa"/>
              <w:end w:w="100" w:type="dxa"/>
            </w:tcMar>
            <w:shd w:fill="EAF2F8"/>
          </w:tcPr>
          <w:p>
            <w:r>
              <w:rPr>
                <w:b/>
                <w:color w:val="1F3A5F"/>
                <w:sz w:val="19"/>
              </w:rPr>
              <w:t>Product vision</w:t>
            </w:r>
          </w:p>
        </w:tc>
        <w:tc>
          <w:tcPr>
            <w:tcW w:type="dxa" w:w="4968"/>
            <w:vAlign w:val="center"/>
            <w:tcMar>
              <w:top w:w="70" w:type="dxa"/>
              <w:start w:w="100" w:type="dxa"/>
              <w:bottom w:w="70" w:type="dxa"/>
              <w:end w:w="100" w:type="dxa"/>
            </w:tcMar>
          </w:tcPr>
          <w:p>
            <w:r>
              <w:rPr>
                <w:sz w:val="19"/>
              </w:rPr>
              <w:t>Give every student and graduate a public showroom they can share with the world while growing a strong community of discovery, feedback, and recognition.</w:t>
            </w:r>
          </w:p>
        </w:tc>
      </w:tr>
      <w:tr>
        <w:tc>
          <w:tcPr>
            <w:tcW w:type="dxa" w:w="4968"/>
            <w:vAlign w:val="center"/>
            <w:tcMar>
              <w:top w:w="70" w:type="dxa"/>
              <w:start w:w="100" w:type="dxa"/>
              <w:bottom w:w="70" w:type="dxa"/>
              <w:end w:w="100" w:type="dxa"/>
            </w:tcMar>
            <w:shd w:fill="EAF2F8"/>
          </w:tcPr>
          <w:p>
            <w:r>
              <w:rPr>
                <w:b/>
                <w:color w:val="1F3A5F"/>
                <w:sz w:val="19"/>
              </w:rPr>
              <w:t>Core concept</w:t>
            </w:r>
          </w:p>
        </w:tc>
        <w:tc>
          <w:tcPr>
            <w:tcW w:type="dxa" w:w="4968"/>
            <w:vAlign w:val="center"/>
            <w:tcMar>
              <w:top w:w="70" w:type="dxa"/>
              <w:start w:w="100" w:type="dxa"/>
              <w:bottom w:w="70" w:type="dxa"/>
              <w:end w:w="100" w:type="dxa"/>
            </w:tcMar>
          </w:tcPr>
          <w:p>
            <w:r>
              <w:rPr>
                <w:sz w:val="19"/>
              </w:rPr>
              <w:t>Each member gets a personalised dashboard and public DDX link that acts as a live portfolio, profile, and lab space for projects, experiments, skills, and achievements.</w:t>
            </w:r>
          </w:p>
        </w:tc>
      </w:tr>
      <w:tr>
        <w:tc>
          <w:tcPr>
            <w:tcW w:type="dxa" w:w="4968"/>
            <w:vAlign w:val="center"/>
            <w:tcMar>
              <w:top w:w="70" w:type="dxa"/>
              <w:start w:w="100" w:type="dxa"/>
              <w:bottom w:w="70" w:type="dxa"/>
              <w:end w:w="100" w:type="dxa"/>
            </w:tcMar>
            <w:shd w:fill="EAF2F8"/>
          </w:tcPr>
          <w:p>
            <w:r>
              <w:rPr>
                <w:b/>
                <w:color w:val="1F3A5F"/>
                <w:sz w:val="19"/>
              </w:rPr>
              <w:t>Primary users</w:t>
            </w:r>
          </w:p>
        </w:tc>
        <w:tc>
          <w:tcPr>
            <w:tcW w:type="dxa" w:w="4968"/>
            <w:vAlign w:val="center"/>
            <w:tcMar>
              <w:top w:w="70" w:type="dxa"/>
              <w:start w:w="100" w:type="dxa"/>
              <w:bottom w:w="70" w:type="dxa"/>
              <w:end w:w="100" w:type="dxa"/>
            </w:tcMar>
          </w:tcPr>
          <w:p>
            <w:r>
              <w:rPr>
                <w:sz w:val="19"/>
              </w:rPr>
              <w:t>Students, graduates, mentors, recruiters, hiring managers, and design or engineering peers exploring talent.</w:t>
            </w:r>
          </w:p>
        </w:tc>
      </w:tr>
    </w:tbl>
    <w:p/>
    <w:p>
      <w:pPr>
        <w:pStyle w:val="Heading1"/>
      </w:pPr>
      <w:r>
        <w:t>1. Product Overview</w:t>
      </w:r>
    </w:p>
    <w:p>
      <w:r>
        <w:t>Dev and Design Labs, shortened to DDX, is a digital experimentation lab for students and graduates of Dev and Design Academy. It turns student output into a living public asset instead of letting work disappear after class, challenges, or reviews.</w:t>
      </w:r>
    </w:p>
    <w:p>
      <w:r>
        <w:t>DDX combines three ideas in one product. It is a personal dashboard for each member, a public showroom that can be shared with anyone, and a community platform where members can browse other profiles, discover projects, learn from peers, and build credibility over time.</w:t>
      </w:r>
    </w:p>
    <w:p>
      <w:r>
        <w:t>The platform should feel like a cross between a modern portfolio, a lightweight creative lab, and a community directory. A member should be able to send a single DDX link to a recruiter, mentor, client, or friend and have that link clearly represent who they are and what they can do.</w:t>
      </w:r>
    </w:p>
    <w:p>
      <w:pPr>
        <w:pStyle w:val="Heading1"/>
      </w:pPr>
      <w:r>
        <w:t>2. Problem Definition</w:t>
      </w:r>
    </w:p>
    <w:p>
      <w:r>
        <w:t>Students and recent graduates often produce meaningful work during bootcamps, personal practice, internships, and experiments, but they struggle to present that work in one consistent and credible place after the learning experience ends.</w:t>
      </w:r>
    </w:p>
    <w:p>
      <w:r>
        <w:t>Their pain points include fragmented portfolios across many tools, weak public visibility, limited feedback loops, poor discoverability, and no shared community space where academy members can support one another.</w:t>
      </w:r>
    </w:p>
    <w:p>
      <w:r>
        <w:t>For the academy, this also creates a visibility gap. Strong student work exists, but there is no central product that turns it into a durable network effect and a public proof point of academy quality.</w:t>
      </w:r>
    </w:p>
    <w:p>
      <w:pPr>
        <w:pStyle w:val="Heading1"/>
      </w:pPr>
      <w:r>
        <w:t>3. User Personas</w:t>
      </w:r>
    </w:p>
    <w:p>
      <w:r>
        <w:t>DDX is being built for a small set of clear users with different jobs to be done.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Mar>
              <w:top w:w="70" w:type="dxa"/>
              <w:start w:w="100" w:type="dxa"/>
              <w:bottom w:w="70" w:type="dxa"/>
              <w:end w:w="100" w:type="dxa"/>
            </w:tcMar>
          </w:tcPr>
          <w:p>
            <w:r>
              <w:rPr>
                <w:b/>
                <w:color w:val="1F3A5F"/>
                <w:sz w:val="19"/>
              </w:rPr>
              <w:t>Persona</w:t>
            </w:r>
          </w:p>
        </w:tc>
        <w:tc>
          <w:tcPr>
            <w:tcW w:type="dxa" w:w="2484"/>
            <w:shd w:fill="D9EAF7"/>
            <w:tcMar>
              <w:top w:w="70" w:type="dxa"/>
              <w:start w:w="100" w:type="dxa"/>
              <w:bottom w:w="70" w:type="dxa"/>
              <w:end w:w="100" w:type="dxa"/>
            </w:tcMar>
          </w:tcPr>
          <w:p>
            <w:r>
              <w:rPr>
                <w:b/>
                <w:color w:val="1F3A5F"/>
                <w:sz w:val="19"/>
              </w:rPr>
              <w:t>Who they are</w:t>
            </w:r>
          </w:p>
        </w:tc>
        <w:tc>
          <w:tcPr>
            <w:tcW w:type="dxa" w:w="2484"/>
            <w:shd w:fill="D9EAF7"/>
            <w:tcMar>
              <w:top w:w="70" w:type="dxa"/>
              <w:start w:w="100" w:type="dxa"/>
              <w:bottom w:w="70" w:type="dxa"/>
              <w:end w:w="100" w:type="dxa"/>
            </w:tcMar>
          </w:tcPr>
          <w:p>
            <w:r>
              <w:rPr>
                <w:b/>
                <w:color w:val="1F3A5F"/>
                <w:sz w:val="19"/>
              </w:rPr>
              <w:t>Primary need</w:t>
            </w:r>
          </w:p>
        </w:tc>
        <w:tc>
          <w:tcPr>
            <w:tcW w:type="dxa" w:w="2484"/>
            <w:shd w:fill="D9EAF7"/>
            <w:tcMar>
              <w:top w:w="70" w:type="dxa"/>
              <w:start w:w="100" w:type="dxa"/>
              <w:bottom w:w="70" w:type="dxa"/>
              <w:end w:w="100" w:type="dxa"/>
            </w:tcMar>
          </w:tcPr>
          <w:p>
            <w:r>
              <w:rPr>
                <w:b/>
                <w:color w:val="1F3A5F"/>
                <w:sz w:val="19"/>
              </w:rPr>
              <w:t>What success looks like</w:t>
            </w:r>
          </w:p>
        </w:tc>
      </w:tr>
      <w:tr>
        <w:tc>
          <w:tcPr>
            <w:tcW w:type="dxa" w:w="2484"/>
            <w:tcMar>
              <w:top w:w="70" w:type="dxa"/>
              <w:start w:w="100" w:type="dxa"/>
              <w:bottom w:w="70" w:type="dxa"/>
              <w:end w:w="100" w:type="dxa"/>
            </w:tcMar>
            <w:vAlign w:val="center"/>
          </w:tcPr>
          <w:p>
            <w:r>
              <w:rPr>
                <w:sz w:val="18"/>
              </w:rPr>
              <w:t>Student builder</w:t>
            </w:r>
          </w:p>
        </w:tc>
        <w:tc>
          <w:tcPr>
            <w:tcW w:type="dxa" w:w="2484"/>
            <w:tcMar>
              <w:top w:w="70" w:type="dxa"/>
              <w:start w:w="100" w:type="dxa"/>
              <w:bottom w:w="70" w:type="dxa"/>
              <w:end w:w="100" w:type="dxa"/>
            </w:tcMar>
            <w:vAlign w:val="center"/>
          </w:tcPr>
          <w:p>
            <w:r>
              <w:rPr>
                <w:sz w:val="18"/>
              </w:rPr>
              <w:t>A current academy student building projects while learning.</w:t>
            </w:r>
          </w:p>
        </w:tc>
        <w:tc>
          <w:tcPr>
            <w:tcW w:type="dxa" w:w="2484"/>
            <w:tcMar>
              <w:top w:w="70" w:type="dxa"/>
              <w:start w:w="100" w:type="dxa"/>
              <w:bottom w:w="70" w:type="dxa"/>
              <w:end w:w="100" w:type="dxa"/>
            </w:tcMar>
            <w:vAlign w:val="center"/>
          </w:tcPr>
          <w:p>
            <w:r>
              <w:rPr>
                <w:sz w:val="18"/>
              </w:rPr>
              <w:t>A clean public profile and dashboard for skills, class work, and progress.</w:t>
            </w:r>
          </w:p>
        </w:tc>
        <w:tc>
          <w:tcPr>
            <w:tcW w:type="dxa" w:w="2484"/>
            <w:tcMar>
              <w:top w:w="70" w:type="dxa"/>
              <w:start w:w="100" w:type="dxa"/>
              <w:bottom w:w="70" w:type="dxa"/>
              <w:end w:w="100" w:type="dxa"/>
            </w:tcMar>
            <w:vAlign w:val="center"/>
          </w:tcPr>
          <w:p>
            <w:r>
              <w:rPr>
                <w:sz w:val="18"/>
              </w:rPr>
              <w:t>They can publish quickly, get feedback, and share one link confidently.</w:t>
            </w:r>
          </w:p>
        </w:tc>
      </w:tr>
      <w:tr>
        <w:tc>
          <w:tcPr>
            <w:tcW w:type="dxa" w:w="2484"/>
            <w:tcMar>
              <w:top w:w="70" w:type="dxa"/>
              <w:start w:w="100" w:type="dxa"/>
              <w:bottom w:w="70" w:type="dxa"/>
              <w:end w:w="100" w:type="dxa"/>
            </w:tcMar>
            <w:vAlign w:val="center"/>
          </w:tcPr>
          <w:p>
            <w:r>
              <w:rPr>
                <w:sz w:val="18"/>
              </w:rPr>
              <w:t>Graduate creator</w:t>
            </w:r>
          </w:p>
        </w:tc>
        <w:tc>
          <w:tcPr>
            <w:tcW w:type="dxa" w:w="2484"/>
            <w:tcMar>
              <w:top w:w="70" w:type="dxa"/>
              <w:start w:w="100" w:type="dxa"/>
              <w:bottom w:w="70" w:type="dxa"/>
              <w:end w:w="100" w:type="dxa"/>
            </w:tcMar>
            <w:vAlign w:val="center"/>
          </w:tcPr>
          <w:p>
            <w:r>
              <w:rPr>
                <w:sz w:val="18"/>
              </w:rPr>
              <w:t>An alumnus building case studies, freelance work, or job materials.</w:t>
            </w:r>
          </w:p>
        </w:tc>
        <w:tc>
          <w:tcPr>
            <w:tcW w:type="dxa" w:w="2484"/>
            <w:tcMar>
              <w:top w:w="70" w:type="dxa"/>
              <w:start w:w="100" w:type="dxa"/>
              <w:bottom w:w="70" w:type="dxa"/>
              <w:end w:w="100" w:type="dxa"/>
            </w:tcMar>
            <w:vAlign w:val="center"/>
          </w:tcPr>
          <w:p>
            <w:r>
              <w:rPr>
                <w:sz w:val="18"/>
              </w:rPr>
              <w:t>A stronger public presence that stays useful after graduation.</w:t>
            </w:r>
          </w:p>
        </w:tc>
        <w:tc>
          <w:tcPr>
            <w:tcW w:type="dxa" w:w="2484"/>
            <w:tcMar>
              <w:top w:w="70" w:type="dxa"/>
              <w:start w:w="100" w:type="dxa"/>
              <w:bottom w:w="70" w:type="dxa"/>
              <w:end w:w="100" w:type="dxa"/>
            </w:tcMar>
            <w:vAlign w:val="center"/>
          </w:tcPr>
          <w:p>
            <w:r>
              <w:rPr>
                <w:sz w:val="18"/>
              </w:rPr>
              <w:t>Their DDX page helps them get opportunities and credibility.</w:t>
            </w:r>
          </w:p>
        </w:tc>
      </w:tr>
      <w:tr>
        <w:tc>
          <w:tcPr>
            <w:tcW w:type="dxa" w:w="2484"/>
            <w:tcMar>
              <w:top w:w="70" w:type="dxa"/>
              <w:start w:w="100" w:type="dxa"/>
              <w:bottom w:w="70" w:type="dxa"/>
              <w:end w:w="100" w:type="dxa"/>
            </w:tcMar>
            <w:vAlign w:val="center"/>
          </w:tcPr>
          <w:p>
            <w:r>
              <w:rPr>
                <w:sz w:val="18"/>
              </w:rPr>
              <w:t>Mentor or reviewer</w:t>
            </w:r>
          </w:p>
        </w:tc>
        <w:tc>
          <w:tcPr>
            <w:tcW w:type="dxa" w:w="2484"/>
            <w:tcMar>
              <w:top w:w="70" w:type="dxa"/>
              <w:start w:w="100" w:type="dxa"/>
              <w:bottom w:w="70" w:type="dxa"/>
              <w:end w:w="100" w:type="dxa"/>
            </w:tcMar>
            <w:vAlign w:val="center"/>
          </w:tcPr>
          <w:p>
            <w:r>
              <w:rPr>
                <w:sz w:val="18"/>
              </w:rPr>
              <w:t>A tutor, coach, or community lead supporting talent development.</w:t>
            </w:r>
          </w:p>
        </w:tc>
        <w:tc>
          <w:tcPr>
            <w:tcW w:type="dxa" w:w="2484"/>
            <w:tcMar>
              <w:top w:w="70" w:type="dxa"/>
              <w:start w:w="100" w:type="dxa"/>
              <w:bottom w:w="70" w:type="dxa"/>
              <w:end w:w="100" w:type="dxa"/>
            </w:tcMar>
            <w:vAlign w:val="center"/>
          </w:tcPr>
          <w:p>
            <w:r>
              <w:rPr>
                <w:sz w:val="18"/>
              </w:rPr>
              <w:t>A faster way to review progress and spotlight strong work.</w:t>
            </w:r>
          </w:p>
        </w:tc>
        <w:tc>
          <w:tcPr>
            <w:tcW w:type="dxa" w:w="2484"/>
            <w:tcMar>
              <w:top w:w="70" w:type="dxa"/>
              <w:start w:w="100" w:type="dxa"/>
              <w:bottom w:w="70" w:type="dxa"/>
              <w:end w:w="100" w:type="dxa"/>
            </w:tcMar>
            <w:vAlign w:val="center"/>
          </w:tcPr>
          <w:p>
            <w:r>
              <w:rPr>
                <w:sz w:val="18"/>
              </w:rPr>
              <w:t>They can browse profiles, leave feedback, and identify standout members.</w:t>
            </w:r>
          </w:p>
        </w:tc>
      </w:tr>
      <w:tr>
        <w:tc>
          <w:tcPr>
            <w:tcW w:type="dxa" w:w="2484"/>
            <w:tcMar>
              <w:top w:w="70" w:type="dxa"/>
              <w:start w:w="100" w:type="dxa"/>
              <w:bottom w:w="70" w:type="dxa"/>
              <w:end w:w="100" w:type="dxa"/>
            </w:tcMar>
            <w:vAlign w:val="center"/>
          </w:tcPr>
          <w:p>
            <w:r>
              <w:rPr>
                <w:sz w:val="18"/>
              </w:rPr>
              <w:t>Recruiter or external visitor</w:t>
            </w:r>
          </w:p>
        </w:tc>
        <w:tc>
          <w:tcPr>
            <w:tcW w:type="dxa" w:w="2484"/>
            <w:tcMar>
              <w:top w:w="70" w:type="dxa"/>
              <w:start w:w="100" w:type="dxa"/>
              <w:bottom w:w="70" w:type="dxa"/>
              <w:end w:w="100" w:type="dxa"/>
            </w:tcMar>
            <w:vAlign w:val="center"/>
          </w:tcPr>
          <w:p>
            <w:r>
              <w:rPr>
                <w:sz w:val="18"/>
              </w:rPr>
              <w:t>A founder, hiring manager, agency, or curious public visitor.</w:t>
            </w:r>
          </w:p>
        </w:tc>
        <w:tc>
          <w:tcPr>
            <w:tcW w:type="dxa" w:w="2484"/>
            <w:tcMar>
              <w:top w:w="70" w:type="dxa"/>
              <w:start w:w="100" w:type="dxa"/>
              <w:bottom w:w="70" w:type="dxa"/>
              <w:end w:w="100" w:type="dxa"/>
            </w:tcMar>
            <w:vAlign w:val="center"/>
          </w:tcPr>
          <w:p>
            <w:r>
              <w:rPr>
                <w:sz w:val="18"/>
              </w:rPr>
              <w:t>A quick way to understand a member's skills and work quality.</w:t>
            </w:r>
          </w:p>
        </w:tc>
        <w:tc>
          <w:tcPr>
            <w:tcW w:type="dxa" w:w="2484"/>
            <w:tcMar>
              <w:top w:w="70" w:type="dxa"/>
              <w:start w:w="100" w:type="dxa"/>
              <w:bottom w:w="70" w:type="dxa"/>
              <w:end w:w="100" w:type="dxa"/>
            </w:tcMar>
            <w:vAlign w:val="center"/>
          </w:tcPr>
          <w:p>
            <w:r>
              <w:rPr>
                <w:sz w:val="18"/>
              </w:rPr>
              <w:t>They can browse talent, validate work, and contact promising members.</w:t>
            </w:r>
          </w:p>
        </w:tc>
      </w:tr>
    </w:tbl>
    <w:p/>
    <w:p>
      <w:pPr>
        <w:pStyle w:val="Heading1"/>
      </w:pPr>
      <w:r>
        <w:t>4. Core Outcome</w:t>
      </w:r>
    </w:p>
    <w:p>
      <w:r>
        <w:t>The product should transform academy members from isolated learners into visible creators with a shareable digital identity.</w:t>
      </w:r>
    </w:p>
    <w:p>
      <w:r>
        <w:t>For students and graduates, the outcome is confidence, visibility, and proof of work. For the academy, the outcome is a living ecosystem that showcases talent, strengthens community, and extends brand trust.</w:t>
      </w:r>
    </w:p>
    <w:p>
      <w:pPr>
        <w:pStyle w:val="Heading1"/>
      </w:pPr>
      <w:r>
        <w:t>5. Value Proposition</w:t>
      </w:r>
    </w:p>
    <w:p>
      <w:pPr>
        <w:pStyle w:val="ListBullet"/>
      </w:pPr>
      <w:r>
        <w:rPr>
          <w:rFonts w:ascii="Aptos" w:hAnsi="Aptos"/>
          <w:sz w:val="20"/>
        </w:rPr>
        <w:t>One personalised public link for every member</w:t>
      </w:r>
    </w:p>
    <w:p>
      <w:pPr>
        <w:pStyle w:val="ListBullet"/>
      </w:pPr>
      <w:r>
        <w:rPr>
          <w:rFonts w:ascii="Aptos" w:hAnsi="Aptos"/>
          <w:sz w:val="20"/>
        </w:rPr>
        <w:t>A live showroom for projects, design work, code experiments, and achievements</w:t>
      </w:r>
    </w:p>
    <w:p>
      <w:pPr>
        <w:pStyle w:val="ListBullet"/>
      </w:pPr>
      <w:r>
        <w:rPr>
          <w:rFonts w:ascii="Aptos" w:hAnsi="Aptos"/>
          <w:sz w:val="20"/>
        </w:rPr>
        <w:t>A community layer for browsing, discovery, feedback, and recognition</w:t>
      </w:r>
    </w:p>
    <w:p>
      <w:pPr>
        <w:pStyle w:val="ListBullet"/>
      </w:pPr>
      <w:r>
        <w:rPr>
          <w:rFonts w:ascii="Aptos" w:hAnsi="Aptos"/>
          <w:sz w:val="20"/>
        </w:rPr>
        <w:t>A durable bridge from learning into career opportunities and creative credibility</w:t>
      </w:r>
    </w:p>
    <w:p>
      <w:pPr>
        <w:pStyle w:val="Heading1"/>
      </w:pPr>
      <w:r>
        <w:t>6. Functional Requirements</w:t>
      </w:r>
    </w:p>
    <w:p>
      <w:pPr>
        <w:pStyle w:val="Heading2"/>
      </w:pPr>
      <w:r>
        <w:t>6.1 Member onboarding and identity</w:t>
      </w:r>
    </w:p>
    <w:p>
      <w:pPr>
        <w:pStyle w:val="ListBullet"/>
      </w:pPr>
      <w:r>
        <w:rPr>
          <w:rFonts w:ascii="Aptos" w:hAnsi="Aptos"/>
          <w:sz w:val="20"/>
        </w:rPr>
        <w:t>Users can sign up or be invited through academy-controlled onboarding.</w:t>
      </w:r>
    </w:p>
    <w:p>
      <w:pPr>
        <w:pStyle w:val="ListBullet"/>
      </w:pPr>
      <w:r>
        <w:rPr>
          <w:rFonts w:ascii="Aptos" w:hAnsi="Aptos"/>
          <w:sz w:val="20"/>
        </w:rPr>
        <w:t>Each user gets a unique DDX profile URL and editable public identity page.</w:t>
      </w:r>
    </w:p>
    <w:p>
      <w:pPr>
        <w:pStyle w:val="ListBullet"/>
      </w:pPr>
      <w:r>
        <w:rPr>
          <w:rFonts w:ascii="Aptos" w:hAnsi="Aptos"/>
          <w:sz w:val="20"/>
        </w:rPr>
        <w:t>Users can add photo, bio, discipline, skill tags, links, and contact preferences.</w:t>
      </w:r>
    </w:p>
    <w:p>
      <w:pPr>
        <w:pStyle w:val="ListBullet"/>
      </w:pPr>
      <w:r>
        <w:rPr>
          <w:rFonts w:ascii="Aptos" w:hAnsi="Aptos"/>
          <w:sz w:val="20"/>
        </w:rPr>
        <w:t>Users can control profile visibility, including public, community-only, or draft states.</w:t>
      </w:r>
    </w:p>
    <w:p>
      <w:pPr>
        <w:pStyle w:val="Heading2"/>
      </w:pPr>
      <w:r>
        <w:t>6.2 Personal dashboard</w:t>
      </w:r>
    </w:p>
    <w:p>
      <w:pPr>
        <w:pStyle w:val="ListBullet"/>
      </w:pPr>
      <w:r>
        <w:rPr>
          <w:rFonts w:ascii="Aptos" w:hAnsi="Aptos"/>
          <w:sz w:val="20"/>
        </w:rPr>
        <w:t>Every user has a private dashboard showing profile completion, published projects, drafts, feedback, badges, and engagement metrics.</w:t>
      </w:r>
    </w:p>
    <w:p>
      <w:pPr>
        <w:pStyle w:val="ListBullet"/>
      </w:pPr>
      <w:r>
        <w:rPr>
          <w:rFonts w:ascii="Aptos" w:hAnsi="Aptos"/>
          <w:sz w:val="20"/>
        </w:rPr>
        <w:t>The dashboard surfaces prompts such as complete your bio, publish your first case study, connect GitHub, or update your skills.</w:t>
      </w:r>
    </w:p>
    <w:p>
      <w:pPr>
        <w:pStyle w:val="ListBullet"/>
      </w:pPr>
      <w:r>
        <w:rPr>
          <w:rFonts w:ascii="Aptos" w:hAnsi="Aptos"/>
          <w:sz w:val="20"/>
        </w:rPr>
        <w:t>Users can manage projects, reorder featured work, edit their showroom, and review activity in one place.</w:t>
      </w:r>
    </w:p>
    <w:p>
      <w:pPr>
        <w:pStyle w:val="Heading2"/>
      </w:pPr>
      <w:r>
        <w:t>6.3 Public showroom</w:t>
      </w:r>
    </w:p>
    <w:p>
      <w:pPr>
        <w:pStyle w:val="ListBullet"/>
      </w:pPr>
      <w:r>
        <w:rPr>
          <w:rFonts w:ascii="Aptos" w:hAnsi="Aptos"/>
          <w:sz w:val="20"/>
        </w:rPr>
        <w:t>Every member has a public-facing showroom page that presents their best work in a clean, modern layout.</w:t>
      </w:r>
    </w:p>
    <w:p>
      <w:pPr>
        <w:pStyle w:val="ListBullet"/>
      </w:pPr>
      <w:r>
        <w:rPr>
          <w:rFonts w:ascii="Aptos" w:hAnsi="Aptos"/>
          <w:sz w:val="20"/>
        </w:rPr>
        <w:t>Showrooms support project cards, case studies, images, video embeds, prototypes, links, and short process notes.</w:t>
      </w:r>
    </w:p>
    <w:p>
      <w:pPr>
        <w:pStyle w:val="ListBullet"/>
      </w:pPr>
      <w:r>
        <w:rPr>
          <w:rFonts w:ascii="Aptos" w:hAnsi="Aptos"/>
          <w:sz w:val="20"/>
        </w:rPr>
        <w:t>Users can feature selected work and group projects by category such as UI design, frontend, branding, motion, or research.</w:t>
      </w:r>
    </w:p>
    <w:p>
      <w:pPr>
        <w:pStyle w:val="ListBullet"/>
      </w:pPr>
      <w:r>
        <w:rPr>
          <w:rFonts w:ascii="Aptos" w:hAnsi="Aptos"/>
          <w:sz w:val="20"/>
        </w:rPr>
        <w:t>Each showroom must be easy to share externally and optimized for first-time visitors.</w:t>
      </w:r>
    </w:p>
    <w:p>
      <w:pPr>
        <w:pStyle w:val="Heading2"/>
      </w:pPr>
      <w:r>
        <w:t>6.4 Community discovery</w:t>
      </w:r>
    </w:p>
    <w:p>
      <w:pPr>
        <w:pStyle w:val="ListBullet"/>
      </w:pPr>
      <w:r>
        <w:rPr>
          <w:rFonts w:ascii="Aptos" w:hAnsi="Aptos"/>
          <w:sz w:val="20"/>
        </w:rPr>
        <w:t>Visitors can browse members by skill, role, cohort, tag, project type, and popularity.</w:t>
      </w:r>
    </w:p>
    <w:p>
      <w:pPr>
        <w:pStyle w:val="ListBullet"/>
      </w:pPr>
      <w:r>
        <w:rPr>
          <w:rFonts w:ascii="Aptos" w:hAnsi="Aptos"/>
          <w:sz w:val="20"/>
        </w:rPr>
        <w:t>The system supports search, filters, recommended profiles, and trending projects.</w:t>
      </w:r>
    </w:p>
    <w:p>
      <w:pPr>
        <w:pStyle w:val="ListBullet"/>
      </w:pPr>
      <w:r>
        <w:rPr>
          <w:rFonts w:ascii="Aptos" w:hAnsi="Aptos"/>
          <w:sz w:val="20"/>
        </w:rPr>
        <w:t>Users can follow others, save profiles, and explore curated collections.</w:t>
      </w:r>
    </w:p>
    <w:p>
      <w:pPr>
        <w:pStyle w:val="Heading2"/>
      </w:pPr>
      <w:r>
        <w:t>6.5 Feedback and engagement</w:t>
      </w:r>
    </w:p>
    <w:p>
      <w:pPr>
        <w:pStyle w:val="ListBullet"/>
      </w:pPr>
      <w:r>
        <w:rPr>
          <w:rFonts w:ascii="Aptos" w:hAnsi="Aptos"/>
          <w:sz w:val="20"/>
        </w:rPr>
        <w:t>Members can like, comment on, and bookmark projects within community rules.</w:t>
      </w:r>
    </w:p>
    <w:p>
      <w:pPr>
        <w:pStyle w:val="ListBullet"/>
      </w:pPr>
      <w:r>
        <w:rPr>
          <w:rFonts w:ascii="Aptos" w:hAnsi="Aptos"/>
          <w:sz w:val="20"/>
        </w:rPr>
        <w:t>Mentors can leave structured feedback and spotlight selected work.</w:t>
      </w:r>
    </w:p>
    <w:p>
      <w:pPr>
        <w:pStyle w:val="ListBullet"/>
      </w:pPr>
      <w:r>
        <w:rPr>
          <w:rFonts w:ascii="Aptos" w:hAnsi="Aptos"/>
          <w:sz w:val="20"/>
        </w:rPr>
        <w:t>The system records meaningful engagement events for dashboards and recognition.</w:t>
      </w:r>
    </w:p>
    <w:p>
      <w:pPr>
        <w:pStyle w:val="Heading2"/>
      </w:pPr>
      <w:r>
        <w:t>6.6 Recognition and growth</w:t>
      </w:r>
    </w:p>
    <w:p>
      <w:pPr>
        <w:pStyle w:val="ListBullet"/>
      </w:pPr>
      <w:r>
        <w:rPr>
          <w:rFonts w:ascii="Aptos" w:hAnsi="Aptos"/>
          <w:sz w:val="20"/>
        </w:rPr>
        <w:t>The platform supports badges, milestones, cohort spotlights, and featured creator programs.</w:t>
      </w:r>
    </w:p>
    <w:p>
      <w:pPr>
        <w:pStyle w:val="ListBullet"/>
      </w:pPr>
      <w:r>
        <w:rPr>
          <w:rFonts w:ascii="Aptos" w:hAnsi="Aptos"/>
          <w:sz w:val="20"/>
        </w:rPr>
        <w:t>Members can earn recognition for consistency, quality, helpful feedback, challenge participation, and profile completion.</w:t>
      </w:r>
    </w:p>
    <w:p>
      <w:pPr>
        <w:pStyle w:val="Heading2"/>
      </w:pPr>
      <w:r>
        <w:t>6.7 Integrations</w:t>
      </w:r>
    </w:p>
    <w:p>
      <w:pPr>
        <w:pStyle w:val="ListBullet"/>
      </w:pPr>
      <w:r>
        <w:rPr>
          <w:rFonts w:ascii="Aptos" w:hAnsi="Aptos"/>
          <w:sz w:val="20"/>
        </w:rPr>
        <w:t>Members can connect GitHub, Figma, Behance, Dribbble, LinkedIn, and other supported tools where relevant.</w:t>
      </w:r>
    </w:p>
    <w:p>
      <w:pPr>
        <w:pStyle w:val="ListBullet"/>
      </w:pPr>
      <w:r>
        <w:rPr>
          <w:rFonts w:ascii="Aptos" w:hAnsi="Aptos"/>
          <w:sz w:val="20"/>
        </w:rPr>
        <w:t>The system can import basic metadata or links from connected platforms but should not attempt to replace those tools.</w:t>
      </w:r>
    </w:p>
    <w:p>
      <w:pPr>
        <w:pStyle w:val="Heading2"/>
      </w:pPr>
      <w:r>
        <w:t>6.8 Admin controls</w:t>
      </w:r>
    </w:p>
    <w:p>
      <w:pPr>
        <w:pStyle w:val="ListBullet"/>
      </w:pPr>
      <w:r>
        <w:rPr>
          <w:rFonts w:ascii="Aptos" w:hAnsi="Aptos"/>
          <w:sz w:val="20"/>
        </w:rPr>
        <w:t>Admins can manage cohorts, moderate content, approve featured work, view analytics, and configure academy branding.</w:t>
      </w:r>
    </w:p>
    <w:p>
      <w:pPr>
        <w:pStyle w:val="ListBullet"/>
      </w:pPr>
      <w:r>
        <w:rPr>
          <w:rFonts w:ascii="Aptos" w:hAnsi="Aptos"/>
          <w:sz w:val="20"/>
        </w:rPr>
        <w:t>Admins can create landing pages for cohorts, showcase collections, challenges, and talent directories.</w:t>
      </w:r>
    </w:p>
    <w:p>
      <w:pPr>
        <w:pStyle w:val="Heading1"/>
      </w:pPr>
      <w:r>
        <w:t>7. Non-Functional Requirements</w:t>
      </w:r>
    </w:p>
    <w:tbl>
      <w:tblPr>
        <w:tblStyle w:val="TableGrid"/>
        <w:tblW w:type="auto" w:w="0"/>
        <w:jc w:val="center"/>
        <w:tblLook w:firstColumn="1" w:firstRow="1" w:lastColumn="0" w:lastRow="0" w:noHBand="0" w:noVBand="1" w:val="04A0"/>
      </w:tblPr>
      <w:tblGrid>
        <w:gridCol w:w="4968"/>
        <w:gridCol w:w="4968"/>
      </w:tblGrid>
      <w:tr>
        <w:tc>
          <w:tcPr>
            <w:tcW w:type="dxa" w:w="4968"/>
            <w:shd w:fill="D9EAF7"/>
            <w:tcMar>
              <w:top w:w="70" w:type="dxa"/>
              <w:start w:w="100" w:type="dxa"/>
              <w:bottom w:w="70" w:type="dxa"/>
              <w:end w:w="100" w:type="dxa"/>
            </w:tcMar>
          </w:tcPr>
          <w:p>
            <w:r>
              <w:rPr>
                <w:b/>
                <w:color w:val="1F3A5F"/>
                <w:sz w:val="19"/>
              </w:rPr>
              <w:t>Category</w:t>
            </w:r>
          </w:p>
        </w:tc>
        <w:tc>
          <w:tcPr>
            <w:tcW w:type="dxa" w:w="4968"/>
            <w:shd w:fill="D9EAF7"/>
            <w:tcMar>
              <w:top w:w="70" w:type="dxa"/>
              <w:start w:w="100" w:type="dxa"/>
              <w:bottom w:w="70" w:type="dxa"/>
              <w:end w:w="100" w:type="dxa"/>
            </w:tcMar>
          </w:tcPr>
          <w:p>
            <w:r>
              <w:rPr>
                <w:b/>
                <w:color w:val="1F3A5F"/>
                <w:sz w:val="19"/>
              </w:rPr>
              <w:t>Requirement</w:t>
            </w:r>
          </w:p>
        </w:tc>
      </w:tr>
      <w:tr>
        <w:tc>
          <w:tcPr>
            <w:tcW w:type="dxa" w:w="4968"/>
            <w:tcMar>
              <w:top w:w="70" w:type="dxa"/>
              <w:start w:w="100" w:type="dxa"/>
              <w:bottom w:w="70" w:type="dxa"/>
              <w:end w:w="100" w:type="dxa"/>
            </w:tcMar>
            <w:vAlign w:val="center"/>
          </w:tcPr>
          <w:p>
            <w:r>
              <w:rPr>
                <w:sz w:val="18"/>
              </w:rPr>
              <w:t>Security</w:t>
            </w:r>
          </w:p>
        </w:tc>
        <w:tc>
          <w:tcPr>
            <w:tcW w:type="dxa" w:w="4968"/>
            <w:tcMar>
              <w:top w:w="70" w:type="dxa"/>
              <w:start w:w="100" w:type="dxa"/>
              <w:bottom w:w="70" w:type="dxa"/>
              <w:end w:w="100" w:type="dxa"/>
            </w:tcMar>
            <w:vAlign w:val="center"/>
          </w:tcPr>
          <w:p>
            <w:r>
              <w:rPr>
                <w:sz w:val="18"/>
              </w:rPr>
              <w:t>Secure authentication, role-based access, protected drafts, moderation controls, secure storage, and safe handling of profile data.</w:t>
            </w:r>
          </w:p>
        </w:tc>
      </w:tr>
      <w:tr>
        <w:tc>
          <w:tcPr>
            <w:tcW w:type="dxa" w:w="4968"/>
            <w:tcMar>
              <w:top w:w="70" w:type="dxa"/>
              <w:start w:w="100" w:type="dxa"/>
              <w:bottom w:w="70" w:type="dxa"/>
              <w:end w:w="100" w:type="dxa"/>
            </w:tcMar>
            <w:vAlign w:val="center"/>
          </w:tcPr>
          <w:p>
            <w:r>
              <w:rPr>
                <w:sz w:val="18"/>
              </w:rPr>
              <w:t>Scalability</w:t>
            </w:r>
          </w:p>
        </w:tc>
        <w:tc>
          <w:tcPr>
            <w:tcW w:type="dxa" w:w="4968"/>
            <w:tcMar>
              <w:top w:w="70" w:type="dxa"/>
              <w:start w:w="100" w:type="dxa"/>
              <w:bottom w:w="70" w:type="dxa"/>
              <w:end w:w="100" w:type="dxa"/>
            </w:tcMar>
            <w:vAlign w:val="center"/>
          </w:tcPr>
          <w:p>
            <w:r>
              <w:rPr>
                <w:sz w:val="18"/>
              </w:rPr>
              <w:t>Support growth across multiple cohorts and academy programs without re-architecture.</w:t>
            </w:r>
          </w:p>
        </w:tc>
      </w:tr>
      <w:tr>
        <w:tc>
          <w:tcPr>
            <w:tcW w:type="dxa" w:w="4968"/>
            <w:tcMar>
              <w:top w:w="70" w:type="dxa"/>
              <w:start w:w="100" w:type="dxa"/>
              <w:bottom w:w="70" w:type="dxa"/>
              <w:end w:w="100" w:type="dxa"/>
            </w:tcMar>
            <w:vAlign w:val="center"/>
          </w:tcPr>
          <w:p>
            <w:r>
              <w:rPr>
                <w:sz w:val="18"/>
              </w:rPr>
              <w:t>Performance</w:t>
            </w:r>
          </w:p>
        </w:tc>
        <w:tc>
          <w:tcPr>
            <w:tcW w:type="dxa" w:w="4968"/>
            <w:tcMar>
              <w:top w:w="70" w:type="dxa"/>
              <w:start w:w="100" w:type="dxa"/>
              <w:bottom w:w="70" w:type="dxa"/>
              <w:end w:w="100" w:type="dxa"/>
            </w:tcMar>
            <w:vAlign w:val="center"/>
          </w:tcPr>
          <w:p>
            <w:r>
              <w:rPr>
                <w:sz w:val="18"/>
              </w:rPr>
              <w:t>Public profiles and browse pages should load quickly on mobile and desktop, including lower-bandwidth conditions.</w:t>
            </w:r>
          </w:p>
        </w:tc>
      </w:tr>
      <w:tr>
        <w:tc>
          <w:tcPr>
            <w:tcW w:type="dxa" w:w="4968"/>
            <w:tcMar>
              <w:top w:w="70" w:type="dxa"/>
              <w:start w:w="100" w:type="dxa"/>
              <w:bottom w:w="70" w:type="dxa"/>
              <w:end w:w="100" w:type="dxa"/>
            </w:tcMar>
            <w:vAlign w:val="center"/>
          </w:tcPr>
          <w:p>
            <w:r>
              <w:rPr>
                <w:sz w:val="18"/>
              </w:rPr>
              <w:t>Reliability</w:t>
            </w:r>
          </w:p>
        </w:tc>
        <w:tc>
          <w:tcPr>
            <w:tcW w:type="dxa" w:w="4968"/>
            <w:tcMar>
              <w:top w:w="70" w:type="dxa"/>
              <w:start w:w="100" w:type="dxa"/>
              <w:bottom w:w="70" w:type="dxa"/>
              <w:end w:w="100" w:type="dxa"/>
            </w:tcMar>
            <w:vAlign w:val="center"/>
          </w:tcPr>
          <w:p>
            <w:r>
              <w:rPr>
                <w:sz w:val="18"/>
              </w:rPr>
              <w:t>Core actions such as login, editing, publishing, browsing, and commenting should be stable and recover gracefully from errors.</w:t>
            </w:r>
          </w:p>
        </w:tc>
      </w:tr>
      <w:tr>
        <w:tc>
          <w:tcPr>
            <w:tcW w:type="dxa" w:w="4968"/>
            <w:tcMar>
              <w:top w:w="70" w:type="dxa"/>
              <w:start w:w="100" w:type="dxa"/>
              <w:bottom w:w="70" w:type="dxa"/>
              <w:end w:w="100" w:type="dxa"/>
            </w:tcMar>
            <w:vAlign w:val="center"/>
          </w:tcPr>
          <w:p>
            <w:r>
              <w:rPr>
                <w:sz w:val="18"/>
              </w:rPr>
              <w:t>Compliance</w:t>
            </w:r>
          </w:p>
        </w:tc>
        <w:tc>
          <w:tcPr>
            <w:tcW w:type="dxa" w:w="4968"/>
            <w:tcMar>
              <w:top w:w="70" w:type="dxa"/>
              <w:start w:w="100" w:type="dxa"/>
              <w:bottom w:w="70" w:type="dxa"/>
              <w:end w:w="100" w:type="dxa"/>
            </w:tcMar>
            <w:vAlign w:val="center"/>
          </w:tcPr>
          <w:p>
            <w:r>
              <w:rPr>
                <w:sz w:val="18"/>
              </w:rPr>
              <w:t>Follow privacy best practices, provide visibility controls, and maintain clear moderation and acceptable-use policies.</w:t>
            </w:r>
          </w:p>
        </w:tc>
      </w:tr>
      <w:tr>
        <w:tc>
          <w:tcPr>
            <w:tcW w:type="dxa" w:w="4968"/>
            <w:tcMar>
              <w:top w:w="70" w:type="dxa"/>
              <w:start w:w="100" w:type="dxa"/>
              <w:bottom w:w="70" w:type="dxa"/>
              <w:end w:w="100" w:type="dxa"/>
            </w:tcMar>
            <w:vAlign w:val="center"/>
          </w:tcPr>
          <w:p>
            <w:r>
              <w:rPr>
                <w:sz w:val="18"/>
              </w:rPr>
              <w:t>Accessibility</w:t>
            </w:r>
          </w:p>
        </w:tc>
        <w:tc>
          <w:tcPr>
            <w:tcW w:type="dxa" w:w="4968"/>
            <w:tcMar>
              <w:top w:w="70" w:type="dxa"/>
              <w:start w:w="100" w:type="dxa"/>
              <w:bottom w:w="70" w:type="dxa"/>
              <w:end w:w="100" w:type="dxa"/>
            </w:tcMar>
            <w:vAlign w:val="center"/>
          </w:tcPr>
          <w:p>
            <w:r>
              <w:rPr>
                <w:sz w:val="18"/>
              </w:rPr>
              <w:t>Meet modern accessibility expectations for contrast, keyboard navigation, readable text, and hierarchy.</w:t>
            </w:r>
          </w:p>
        </w:tc>
      </w:tr>
      <w:tr>
        <w:tc>
          <w:tcPr>
            <w:tcW w:type="dxa" w:w="4968"/>
            <w:tcMar>
              <w:top w:w="70" w:type="dxa"/>
              <w:start w:w="100" w:type="dxa"/>
              <w:bottom w:w="70" w:type="dxa"/>
              <w:end w:w="100" w:type="dxa"/>
            </w:tcMar>
            <w:vAlign w:val="center"/>
          </w:tcPr>
          <w:p>
            <w:r>
              <w:rPr>
                <w:sz w:val="18"/>
              </w:rPr>
              <w:t>Responsive design</w:t>
            </w:r>
          </w:p>
        </w:tc>
        <w:tc>
          <w:tcPr>
            <w:tcW w:type="dxa" w:w="4968"/>
            <w:tcMar>
              <w:top w:w="70" w:type="dxa"/>
              <w:start w:w="100" w:type="dxa"/>
              <w:bottom w:w="70" w:type="dxa"/>
              <w:end w:w="100" w:type="dxa"/>
            </w:tcMar>
            <w:vAlign w:val="center"/>
          </w:tcPr>
          <w:p>
            <w:r>
              <w:rPr>
                <w:sz w:val="18"/>
              </w:rPr>
              <w:t>Work well on phones, tablets, and laptops because many users will access it from mobile devices.</w:t>
            </w:r>
          </w:p>
        </w:tc>
      </w:tr>
      <w:tr>
        <w:tc>
          <w:tcPr>
            <w:tcW w:type="dxa" w:w="4968"/>
            <w:tcMar>
              <w:top w:w="70" w:type="dxa"/>
              <w:start w:w="100" w:type="dxa"/>
              <w:bottom w:w="70" w:type="dxa"/>
              <w:end w:w="100" w:type="dxa"/>
            </w:tcMar>
            <w:vAlign w:val="center"/>
          </w:tcPr>
          <w:p>
            <w:r>
              <w:rPr>
                <w:sz w:val="18"/>
              </w:rPr>
              <w:t>Observability</w:t>
            </w:r>
          </w:p>
        </w:tc>
        <w:tc>
          <w:tcPr>
            <w:tcW w:type="dxa" w:w="4968"/>
            <w:tcMar>
              <w:top w:w="70" w:type="dxa"/>
              <w:start w:w="100" w:type="dxa"/>
              <w:bottom w:w="70" w:type="dxa"/>
              <w:end w:w="100" w:type="dxa"/>
            </w:tcMar>
            <w:vAlign w:val="center"/>
          </w:tcPr>
          <w:p>
            <w:r>
              <w:rPr>
                <w:sz w:val="18"/>
              </w:rPr>
              <w:t>Provide analytics, moderation logs, and clear usage insight for admins.</w:t>
            </w:r>
          </w:p>
        </w:tc>
      </w:tr>
    </w:tbl>
    <w:p/>
    <w:p>
      <w:pPr>
        <w:pStyle w:val="Heading1"/>
      </w:pPr>
      <w:r>
        <w:t>8. AI Interaction Design</w:t>
      </w:r>
    </w:p>
    <w:p>
      <w:r>
        <w:t>AI should support the product, not dominate it. The goal is to help members present themselves better, discover relevant work faster, and reduce admin overhead without removing human control.</w:t>
      </w:r>
    </w:p>
    <w:p>
      <w:r>
        <w:t>Recommended AI support includes profile writing help, project summary generation, automatic skill and tag suggestions, smart recommendations for who to follow or what to explore, and moderation assistance for spam or unsafe content.</w:t>
      </w:r>
    </w:p>
    <w:p>
      <w:r>
        <w:t>AI limitations should be explicit. AI must not publish content without user approval, invent work experience, rank talent as an absolute measure of quality, or make sensitive moderation decisions without human review.</w:t>
      </w:r>
    </w:p>
    <w:p>
      <w:pPr>
        <w:pStyle w:val="Heading2"/>
      </w:pPr>
      <w:r>
        <w:t>AI features in scope</w:t>
      </w:r>
    </w:p>
    <w:p>
      <w:pPr>
        <w:pStyle w:val="ListBullet"/>
      </w:pPr>
      <w:r>
        <w:rPr>
          <w:rFonts w:ascii="Aptos" w:hAnsi="Aptos"/>
          <w:sz w:val="20"/>
        </w:rPr>
        <w:t>Draft profile bio suggestions based on user input</w:t>
      </w:r>
    </w:p>
    <w:p>
      <w:pPr>
        <w:pStyle w:val="ListBullet"/>
      </w:pPr>
      <w:r>
        <w:rPr>
          <w:rFonts w:ascii="Aptos" w:hAnsi="Aptos"/>
          <w:sz w:val="20"/>
        </w:rPr>
        <w:t>Project tag and category suggestions</w:t>
      </w:r>
    </w:p>
    <w:p>
      <w:pPr>
        <w:pStyle w:val="ListBullet"/>
      </w:pPr>
      <w:r>
        <w:rPr>
          <w:rFonts w:ascii="Aptos" w:hAnsi="Aptos"/>
          <w:sz w:val="20"/>
        </w:rPr>
        <w:t>Suggested profile improvements based on missing fields or weak signals</w:t>
      </w:r>
    </w:p>
    <w:p>
      <w:pPr>
        <w:pStyle w:val="ListBullet"/>
      </w:pPr>
      <w:r>
        <w:rPr>
          <w:rFonts w:ascii="Aptos" w:hAnsi="Aptos"/>
          <w:sz w:val="20"/>
        </w:rPr>
        <w:t>Recommended creators and projects based on browsing behavior</w:t>
      </w:r>
    </w:p>
    <w:p>
      <w:pPr>
        <w:pStyle w:val="ListBullet"/>
      </w:pPr>
      <w:r>
        <w:rPr>
          <w:rFonts w:ascii="Aptos" w:hAnsi="Aptos"/>
          <w:sz w:val="20"/>
        </w:rPr>
        <w:t>Admin support for detecting duplicate, spammy, or unsafe submissions</w:t>
      </w:r>
    </w:p>
    <w:p>
      <w:pPr>
        <w:pStyle w:val="Heading2"/>
      </w:pPr>
      <w:r>
        <w:t>AI safeguards</w:t>
      </w:r>
    </w:p>
    <w:p>
      <w:pPr>
        <w:pStyle w:val="ListBullet"/>
      </w:pPr>
      <w:r>
        <w:rPr>
          <w:rFonts w:ascii="Aptos" w:hAnsi="Aptos"/>
          <w:sz w:val="20"/>
        </w:rPr>
        <w:t>Human approval before any public-facing AI-generated content is published</w:t>
      </w:r>
    </w:p>
    <w:p>
      <w:pPr>
        <w:pStyle w:val="ListBullet"/>
      </w:pPr>
      <w:r>
        <w:rPr>
          <w:rFonts w:ascii="Aptos" w:hAnsi="Aptos"/>
          <w:sz w:val="20"/>
        </w:rPr>
        <w:t>Clear labeling when a user is using AI assistance</w:t>
      </w:r>
    </w:p>
    <w:p>
      <w:pPr>
        <w:pStyle w:val="ListBullet"/>
      </w:pPr>
      <w:r>
        <w:rPr>
          <w:rFonts w:ascii="Aptos" w:hAnsi="Aptos"/>
          <w:sz w:val="20"/>
        </w:rPr>
        <w:t>Easy edit and dismiss controls for AI recommendations</w:t>
      </w:r>
    </w:p>
    <w:p>
      <w:pPr>
        <w:pStyle w:val="ListBullet"/>
      </w:pPr>
      <w:r>
        <w:rPr>
          <w:rFonts w:ascii="Aptos" w:hAnsi="Aptos"/>
          <w:sz w:val="20"/>
        </w:rPr>
        <w:t>Human moderation for flagged content and edge cases</w:t>
      </w:r>
    </w:p>
    <w:p>
      <w:pPr>
        <w:pStyle w:val="Heading1"/>
      </w:pPr>
      <w:r>
        <w:t>9. Success Metrics</w:t>
      </w:r>
    </w:p>
    <w:p>
      <w:r>
        <w:t>The product should be measured across engagement, retention, revenue potential, and operational efficiency.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Mar>
              <w:top w:w="70" w:type="dxa"/>
              <w:start w:w="100" w:type="dxa"/>
              <w:bottom w:w="70" w:type="dxa"/>
              <w:end w:w="100" w:type="dxa"/>
            </w:tcMar>
          </w:tcPr>
          <w:p>
            <w:r>
              <w:rPr>
                <w:b/>
                <w:color w:val="1F3A5F"/>
                <w:sz w:val="19"/>
              </w:rPr>
              <w:t>Metric area</w:t>
            </w:r>
          </w:p>
        </w:tc>
        <w:tc>
          <w:tcPr>
            <w:tcW w:type="dxa" w:w="3312"/>
            <w:shd w:fill="D9EAF7"/>
            <w:tcMar>
              <w:top w:w="70" w:type="dxa"/>
              <w:start w:w="100" w:type="dxa"/>
              <w:bottom w:w="70" w:type="dxa"/>
              <w:end w:w="100" w:type="dxa"/>
            </w:tcMar>
          </w:tcPr>
          <w:p>
            <w:r>
              <w:rPr>
                <w:b/>
                <w:color w:val="1F3A5F"/>
                <w:sz w:val="19"/>
              </w:rPr>
              <w:t>What to measure</w:t>
            </w:r>
          </w:p>
        </w:tc>
        <w:tc>
          <w:tcPr>
            <w:tcW w:type="dxa" w:w="3312"/>
            <w:shd w:fill="D9EAF7"/>
            <w:tcMar>
              <w:top w:w="70" w:type="dxa"/>
              <w:start w:w="100" w:type="dxa"/>
              <w:bottom w:w="70" w:type="dxa"/>
              <w:end w:w="100" w:type="dxa"/>
            </w:tcMar>
          </w:tcPr>
          <w:p>
            <w:r>
              <w:rPr>
                <w:b/>
                <w:color w:val="1F3A5F"/>
                <w:sz w:val="19"/>
              </w:rPr>
              <w:t>Indicative KPI</w:t>
            </w:r>
          </w:p>
        </w:tc>
      </w:tr>
      <w:tr>
        <w:tc>
          <w:tcPr>
            <w:tcW w:type="dxa" w:w="3312"/>
            <w:tcMar>
              <w:top w:w="70" w:type="dxa"/>
              <w:start w:w="100" w:type="dxa"/>
              <w:bottom w:w="70" w:type="dxa"/>
              <w:end w:w="100" w:type="dxa"/>
            </w:tcMar>
            <w:vAlign w:val="center"/>
          </w:tcPr>
          <w:p>
            <w:r>
              <w:rPr>
                <w:sz w:val="18"/>
              </w:rPr>
              <w:t>Engagement</w:t>
            </w:r>
          </w:p>
        </w:tc>
        <w:tc>
          <w:tcPr>
            <w:tcW w:type="dxa" w:w="3312"/>
            <w:tcMar>
              <w:top w:w="70" w:type="dxa"/>
              <w:start w:w="100" w:type="dxa"/>
              <w:bottom w:w="70" w:type="dxa"/>
              <w:end w:w="100" w:type="dxa"/>
            </w:tcMar>
            <w:vAlign w:val="center"/>
          </w:tcPr>
          <w:p>
            <w:r>
              <w:rPr>
                <w:sz w:val="18"/>
              </w:rPr>
              <w:t>Profile completion, published projects per user, comments, saves, follows, repeat visits</w:t>
            </w:r>
          </w:p>
        </w:tc>
        <w:tc>
          <w:tcPr>
            <w:tcW w:type="dxa" w:w="3312"/>
            <w:tcMar>
              <w:top w:w="70" w:type="dxa"/>
              <w:start w:w="100" w:type="dxa"/>
              <w:bottom w:w="70" w:type="dxa"/>
              <w:end w:w="100" w:type="dxa"/>
            </w:tcMar>
            <w:vAlign w:val="center"/>
          </w:tcPr>
          <w:p>
            <w:r>
              <w:rPr>
                <w:sz w:val="18"/>
              </w:rPr>
              <w:t>60%+ profile completion in active cohorts</w:t>
            </w:r>
          </w:p>
        </w:tc>
      </w:tr>
      <w:tr>
        <w:tc>
          <w:tcPr>
            <w:tcW w:type="dxa" w:w="3312"/>
            <w:tcMar>
              <w:top w:w="70" w:type="dxa"/>
              <w:start w:w="100" w:type="dxa"/>
              <w:bottom w:w="70" w:type="dxa"/>
              <w:end w:w="100" w:type="dxa"/>
            </w:tcMar>
            <w:vAlign w:val="center"/>
          </w:tcPr>
          <w:p>
            <w:r>
              <w:rPr>
                <w:sz w:val="18"/>
              </w:rPr>
              <w:t>Retention</w:t>
            </w:r>
          </w:p>
        </w:tc>
        <w:tc>
          <w:tcPr>
            <w:tcW w:type="dxa" w:w="3312"/>
            <w:tcMar>
              <w:top w:w="70" w:type="dxa"/>
              <w:start w:w="100" w:type="dxa"/>
              <w:bottom w:w="70" w:type="dxa"/>
              <w:end w:w="100" w:type="dxa"/>
            </w:tcMar>
            <w:vAlign w:val="center"/>
          </w:tcPr>
          <w:p>
            <w:r>
              <w:rPr>
                <w:sz w:val="18"/>
              </w:rPr>
              <w:t>Weekly active users, monthly returning users, graduate reactivation rate</w:t>
            </w:r>
          </w:p>
        </w:tc>
        <w:tc>
          <w:tcPr>
            <w:tcW w:type="dxa" w:w="3312"/>
            <w:tcMar>
              <w:top w:w="70" w:type="dxa"/>
              <w:start w:w="100" w:type="dxa"/>
              <w:bottom w:w="70" w:type="dxa"/>
              <w:end w:w="100" w:type="dxa"/>
            </w:tcMar>
            <w:vAlign w:val="center"/>
          </w:tcPr>
          <w:p>
            <w:r>
              <w:rPr>
                <w:sz w:val="18"/>
              </w:rPr>
              <w:t>35%+ month-one retention</w:t>
            </w:r>
          </w:p>
        </w:tc>
      </w:tr>
      <w:tr>
        <w:tc>
          <w:tcPr>
            <w:tcW w:type="dxa" w:w="3312"/>
            <w:tcMar>
              <w:top w:w="70" w:type="dxa"/>
              <w:start w:w="100" w:type="dxa"/>
              <w:bottom w:w="70" w:type="dxa"/>
              <w:end w:w="100" w:type="dxa"/>
            </w:tcMar>
            <w:vAlign w:val="center"/>
          </w:tcPr>
          <w:p>
            <w:r>
              <w:rPr>
                <w:sz w:val="18"/>
              </w:rPr>
              <w:t>Revenue potential</w:t>
            </w:r>
          </w:p>
        </w:tc>
        <w:tc>
          <w:tcPr>
            <w:tcW w:type="dxa" w:w="3312"/>
            <w:tcMar>
              <w:top w:w="70" w:type="dxa"/>
              <w:start w:w="100" w:type="dxa"/>
              <w:bottom w:w="70" w:type="dxa"/>
              <w:end w:w="100" w:type="dxa"/>
            </w:tcMar>
            <w:vAlign w:val="center"/>
          </w:tcPr>
          <w:p>
            <w:r>
              <w:rPr>
                <w:sz w:val="18"/>
              </w:rPr>
              <w:t>Premium academy packages, sponsor placements, recruiter access, featured showcase offerings</w:t>
            </w:r>
          </w:p>
        </w:tc>
        <w:tc>
          <w:tcPr>
            <w:tcW w:type="dxa" w:w="3312"/>
            <w:tcMar>
              <w:top w:w="70" w:type="dxa"/>
              <w:start w:w="100" w:type="dxa"/>
              <w:bottom w:w="70" w:type="dxa"/>
              <w:end w:w="100" w:type="dxa"/>
            </w:tcMar>
            <w:vAlign w:val="center"/>
          </w:tcPr>
          <w:p>
            <w:r>
              <w:rPr>
                <w:sz w:val="18"/>
              </w:rPr>
              <w:t>Run first monetisation test after early traction</w:t>
            </w:r>
          </w:p>
        </w:tc>
      </w:tr>
      <w:tr>
        <w:tc>
          <w:tcPr>
            <w:tcW w:type="dxa" w:w="3312"/>
            <w:tcMar>
              <w:top w:w="70" w:type="dxa"/>
              <w:start w:w="100" w:type="dxa"/>
              <w:bottom w:w="70" w:type="dxa"/>
              <w:end w:w="100" w:type="dxa"/>
            </w:tcMar>
            <w:vAlign w:val="center"/>
          </w:tcPr>
          <w:p>
            <w:r>
              <w:rPr>
                <w:sz w:val="18"/>
              </w:rPr>
              <w:t>Efficiency gains</w:t>
            </w:r>
          </w:p>
        </w:tc>
        <w:tc>
          <w:tcPr>
            <w:tcW w:type="dxa" w:w="3312"/>
            <w:tcMar>
              <w:top w:w="70" w:type="dxa"/>
              <w:start w:w="100" w:type="dxa"/>
              <w:bottom w:w="70" w:type="dxa"/>
              <w:end w:w="100" w:type="dxa"/>
            </w:tcMar>
            <w:vAlign w:val="center"/>
          </w:tcPr>
          <w:p>
            <w:r>
              <w:rPr>
                <w:sz w:val="18"/>
              </w:rPr>
              <w:t>Time saved in portfolio review, faster talent discovery, reduced manual admin curation</w:t>
            </w:r>
          </w:p>
        </w:tc>
        <w:tc>
          <w:tcPr>
            <w:tcW w:type="dxa" w:w="3312"/>
            <w:tcMar>
              <w:top w:w="70" w:type="dxa"/>
              <w:start w:w="100" w:type="dxa"/>
              <w:bottom w:w="70" w:type="dxa"/>
              <w:end w:w="100" w:type="dxa"/>
            </w:tcMar>
            <w:vAlign w:val="center"/>
          </w:tcPr>
          <w:p>
            <w:r>
              <w:rPr>
                <w:sz w:val="18"/>
              </w:rPr>
              <w:t>50% reduction in manual curation effort</w:t>
            </w:r>
          </w:p>
        </w:tc>
      </w:tr>
    </w:tbl>
    <w:p/>
    <w:p>
      <w:pPr>
        <w:pStyle w:val="Heading1"/>
      </w:pPr>
      <w:r>
        <w:t>10. Non-Goals</w:t>
      </w:r>
    </w:p>
    <w:p>
      <w:pPr>
        <w:pStyle w:val="ListBullet"/>
      </w:pPr>
      <w:r>
        <w:rPr>
          <w:rFonts w:ascii="Aptos" w:hAnsi="Aptos"/>
          <w:sz w:val="20"/>
        </w:rPr>
        <w:t>DDX is not intended to replace GitHub, Figma, Behance, Dribbble, or LinkedIn.</w:t>
      </w:r>
    </w:p>
    <w:p>
      <w:pPr>
        <w:pStyle w:val="ListBullet"/>
      </w:pPr>
      <w:r>
        <w:rPr>
          <w:rFonts w:ascii="Aptos" w:hAnsi="Aptos"/>
          <w:sz w:val="20"/>
        </w:rPr>
        <w:t>The MVP is not a freelance marketplace, full learning management system, or general-purpose social network.</w:t>
      </w:r>
    </w:p>
    <w:p>
      <w:pPr>
        <w:pStyle w:val="ListBullet"/>
      </w:pPr>
      <w:r>
        <w:rPr>
          <w:rFonts w:ascii="Aptos" w:hAnsi="Aptos"/>
          <w:sz w:val="20"/>
        </w:rPr>
        <w:t>The MVP will not include deep AI auto-generation of full portfolios without user control.</w:t>
      </w:r>
    </w:p>
    <w:p>
      <w:pPr>
        <w:pStyle w:val="ListBullet"/>
      </w:pPr>
      <w:r>
        <w:rPr>
          <w:rFonts w:ascii="Aptos" w:hAnsi="Aptos"/>
          <w:sz w:val="20"/>
        </w:rPr>
        <w:t>The product will not attempt to host complex code execution environments in its first version.</w:t>
      </w:r>
    </w:p>
    <w:p>
      <w:pPr>
        <w:pStyle w:val="Heading1"/>
      </w:pPr>
      <w:r>
        <w:t>11. Recommended MVP Scope</w:t>
      </w:r>
    </w:p>
    <w:p>
      <w:pPr>
        <w:pStyle w:val="ListBullet"/>
      </w:pPr>
      <w:r>
        <w:rPr>
          <w:rFonts w:ascii="Aptos" w:hAnsi="Aptos"/>
          <w:sz w:val="20"/>
        </w:rPr>
        <w:t>Member onboarding and profile creation</w:t>
      </w:r>
    </w:p>
    <w:p>
      <w:pPr>
        <w:pStyle w:val="ListBullet"/>
      </w:pPr>
      <w:r>
        <w:rPr>
          <w:rFonts w:ascii="Aptos" w:hAnsi="Aptos"/>
          <w:sz w:val="20"/>
        </w:rPr>
        <w:t>Private dashboard with completion prompts</w:t>
      </w:r>
    </w:p>
    <w:p>
      <w:pPr>
        <w:pStyle w:val="ListBullet"/>
      </w:pPr>
      <w:r>
        <w:rPr>
          <w:rFonts w:ascii="Aptos" w:hAnsi="Aptos"/>
          <w:sz w:val="20"/>
        </w:rPr>
        <w:t>Public showroom with custom shareable URL</w:t>
      </w:r>
    </w:p>
    <w:p>
      <w:pPr>
        <w:pStyle w:val="ListBullet"/>
      </w:pPr>
      <w:r>
        <w:rPr>
          <w:rFonts w:ascii="Aptos" w:hAnsi="Aptos"/>
          <w:sz w:val="20"/>
        </w:rPr>
        <w:t>Project publishing with media, tags, and featured items</w:t>
      </w:r>
    </w:p>
    <w:p>
      <w:pPr>
        <w:pStyle w:val="ListBullet"/>
      </w:pPr>
      <w:r>
        <w:rPr>
          <w:rFonts w:ascii="Aptos" w:hAnsi="Aptos"/>
          <w:sz w:val="20"/>
        </w:rPr>
        <w:t>Browse and search across members and projects</w:t>
      </w:r>
    </w:p>
    <w:p>
      <w:pPr>
        <w:pStyle w:val="ListBullet"/>
      </w:pPr>
      <w:r>
        <w:rPr>
          <w:rFonts w:ascii="Aptos" w:hAnsi="Aptos"/>
          <w:sz w:val="20"/>
        </w:rPr>
        <w:t>Basic likes, comments, and saves</w:t>
      </w:r>
    </w:p>
    <w:p>
      <w:pPr>
        <w:pStyle w:val="ListBullet"/>
      </w:pPr>
      <w:r>
        <w:rPr>
          <w:rFonts w:ascii="Aptos" w:hAnsi="Aptos"/>
          <w:sz w:val="20"/>
        </w:rPr>
        <w:t>Admin moderation, cohort management, and analytics</w:t>
      </w:r>
    </w:p>
    <w:p>
      <w:pPr>
        <w:pStyle w:val="ListBullet"/>
      </w:pPr>
      <w:r>
        <w:rPr>
          <w:rFonts w:ascii="Aptos" w:hAnsi="Aptos"/>
          <w:sz w:val="20"/>
        </w:rPr>
        <w:t>Light AI assistance for bios, tags, and discovery</w:t>
      </w:r>
    </w:p>
    <w:p>
      <w:pPr>
        <w:pStyle w:val="Heading1"/>
      </w:pPr>
      <w:r>
        <w:t>12. Future Opportunities</w:t>
      </w:r>
    </w:p>
    <w:p>
      <w:pPr>
        <w:pStyle w:val="ListBullet"/>
      </w:pPr>
      <w:r>
        <w:rPr>
          <w:rFonts w:ascii="Aptos" w:hAnsi="Aptos"/>
          <w:sz w:val="20"/>
        </w:rPr>
        <w:t>Talent marketplace or recruiter directory</w:t>
      </w:r>
    </w:p>
    <w:p>
      <w:pPr>
        <w:pStyle w:val="ListBullet"/>
      </w:pPr>
      <w:r>
        <w:rPr>
          <w:rFonts w:ascii="Aptos" w:hAnsi="Aptos"/>
          <w:sz w:val="20"/>
        </w:rPr>
        <w:t>Cohort challenge pages and hackathon showcases</w:t>
      </w:r>
    </w:p>
    <w:p>
      <w:pPr>
        <w:pStyle w:val="ListBullet"/>
      </w:pPr>
      <w:r>
        <w:rPr>
          <w:rFonts w:ascii="Aptos" w:hAnsi="Aptos"/>
          <w:sz w:val="20"/>
        </w:rPr>
        <w:t>Mentor office hours and structured portfolio reviews</w:t>
      </w:r>
    </w:p>
    <w:p>
      <w:pPr>
        <w:pStyle w:val="ListBullet"/>
      </w:pPr>
      <w:r>
        <w:rPr>
          <w:rFonts w:ascii="Aptos" w:hAnsi="Aptos"/>
          <w:sz w:val="20"/>
        </w:rPr>
        <w:t>Academy partner pages and sponsored themes</w:t>
      </w:r>
    </w:p>
    <w:p>
      <w:pPr>
        <w:pStyle w:val="ListBullet"/>
      </w:pPr>
      <w:r>
        <w:rPr>
          <w:rFonts w:ascii="Aptos" w:hAnsi="Aptos"/>
          <w:sz w:val="20"/>
        </w:rPr>
        <w:t>Advanced AI critique, recommendations, and portfolio health scoring with human oversight</w:t>
      </w:r>
    </w:p>
    <w:p>
      <w:pPr>
        <w:pStyle w:val="Heading1"/>
      </w:pPr>
      <w:r>
        <w:t>13. Product Positioning Statement</w:t>
      </w:r>
    </w:p>
    <w:p>
      <w:r>
        <w:t>DDX is the public experimentation and showcase network for Dev and Design Academy. It gives every student and graduate a personal link they can share with the world, while giving the academy a living community where talent, progress, and creative identity are always visible.</w:t>
      </w:r>
    </w:p>
    <w:p>
      <w:pPr>
        <w:pStyle w:val="Heading1"/>
      </w:pPr>
      <w:r>
        <w:t>14. Suggested Naming Direction</w:t>
      </w:r>
    </w:p>
    <w:p>
      <w:r>
        <w:t>Recommended short name: DDX. It is short, memorable, modern, and flexible enough to represent both development and design without feeling too formal. The full product name remains Dev and Design Labs, while DDX becomes the product shorthand, public brand, and profile-link identity.</w:t>
      </w:r>
    </w:p>
    <w:p>
      <w:pPr>
        <w:pStyle w:val="Heading1"/>
      </w:pPr>
      <w:r>
        <w:t>15. Immediate Next Steps</w:t>
      </w:r>
    </w:p>
    <w:p>
      <w:pPr>
        <w:pStyle w:val="ListBullet"/>
      </w:pPr>
      <w:r>
        <w:rPr>
          <w:rFonts w:ascii="Aptos" w:hAnsi="Aptos"/>
          <w:sz w:val="20"/>
        </w:rPr>
        <w:t>Confirm naming, branding, and visual identity for DDX</w:t>
      </w:r>
    </w:p>
    <w:p>
      <w:pPr>
        <w:pStyle w:val="ListBullet"/>
      </w:pPr>
      <w:r>
        <w:rPr>
          <w:rFonts w:ascii="Aptos" w:hAnsi="Aptos"/>
          <w:sz w:val="20"/>
        </w:rPr>
        <w:t>Map the information architecture for dashboard, profile, showroom, and browse pages</w:t>
      </w:r>
    </w:p>
    <w:p>
      <w:pPr>
        <w:pStyle w:val="ListBullet"/>
      </w:pPr>
      <w:r>
        <w:rPr>
          <w:rFonts w:ascii="Aptos" w:hAnsi="Aptos"/>
          <w:sz w:val="20"/>
        </w:rPr>
        <w:t>Define MVP technical architecture and content model</w:t>
      </w:r>
    </w:p>
    <w:p>
      <w:pPr>
        <w:pStyle w:val="ListBullet"/>
      </w:pPr>
      <w:r>
        <w:rPr>
          <w:rFonts w:ascii="Aptos" w:hAnsi="Aptos"/>
          <w:sz w:val="20"/>
        </w:rPr>
        <w:t>Design the onboarding and first-project publishing flow</w:t>
      </w:r>
    </w:p>
    <w:p>
      <w:pPr>
        <w:pStyle w:val="ListBullet"/>
      </w:pPr>
      <w:r>
        <w:rPr>
          <w:rFonts w:ascii="Aptos" w:hAnsi="Aptos"/>
          <w:sz w:val="20"/>
        </w:rPr>
        <w:t>Build a clickable product prototype and validate it with students, graduates, and mentors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3A5F"/>
      <w:sz w:val="29"/>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35C8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3A5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