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8655" w14:textId="46981779" w:rsidR="005C4148" w:rsidRPr="005C4148" w:rsidRDefault="005C4148" w:rsidP="005C4148">
      <w:pPr>
        <w:rPr>
          <w:b/>
          <w:bCs/>
        </w:rPr>
      </w:pPr>
      <w:r w:rsidRPr="005C4148">
        <w:rPr>
          <w:b/>
          <w:bCs/>
        </w:rPr>
        <w:t>2.0 Literature Review</w:t>
      </w:r>
    </w:p>
    <w:p w14:paraId="1137336A" w14:textId="77777777" w:rsidR="005C4148" w:rsidRPr="005C4148" w:rsidRDefault="005C4148" w:rsidP="005C4148">
      <w:pPr>
        <w:rPr>
          <w:b/>
          <w:bCs/>
        </w:rPr>
      </w:pPr>
      <w:r w:rsidRPr="005C4148">
        <w:rPr>
          <w:b/>
          <w:bCs/>
        </w:rPr>
        <w:t>2.1 Background of Image-Based Nutrition Analysis</w:t>
      </w:r>
    </w:p>
    <w:p w14:paraId="0DBC1665" w14:textId="77777777" w:rsidR="005C4148" w:rsidRDefault="005C4148" w:rsidP="005C4148">
      <w:r w:rsidRPr="00AA6F2F">
        <w:t>Image-based dietary assessment has emerged as a transformative innovation in health monitoring, offering scalable, automated solutions in contrast to conventional nutrition tracking. Traditional methods</w:t>
      </w:r>
      <w:r>
        <w:t xml:space="preserve"> </w:t>
      </w:r>
      <w:r w:rsidRPr="00AA6F2F">
        <w:t>such as food diaries, recall surveys, and laboratory tests</w:t>
      </w:r>
      <w:r>
        <w:t xml:space="preserve"> </w:t>
      </w:r>
      <w:r w:rsidRPr="00AA6F2F">
        <w:t>are accurate but impractical for day-to-day use due to their manual intensity and reliance on user compliance. These approaches are also prone to underreporting and human error. The integration of computer vision and machine learning, particularly deep learning, introduces more efficient alternatives that automate food recognition and nutritional estimation from images [1], [2], providing greater consistency, reduced burden on users, and potential for real-time analysis in diverse settings.</w:t>
      </w:r>
    </w:p>
    <w:p w14:paraId="03B3CC9A" w14:textId="77777777" w:rsidR="005C4148" w:rsidRPr="005C4148" w:rsidRDefault="005C4148" w:rsidP="005C4148">
      <w:pPr>
        <w:rPr>
          <w:b/>
          <w:bCs/>
        </w:rPr>
      </w:pPr>
      <w:r w:rsidRPr="005C4148">
        <w:rPr>
          <w:b/>
          <w:bCs/>
        </w:rPr>
        <w:t>2.2 Effectiveness of Deep Learning in Food Recognition</w:t>
      </w:r>
    </w:p>
    <w:p w14:paraId="22F71AAE" w14:textId="7B27F2BC" w:rsidR="005C4148" w:rsidRDefault="005C4148" w:rsidP="005C4148">
      <w:r>
        <w:t>Deep learning architectures, particularly Convolutional Neural Networks (CNNs), have been widely adopted for food recognition tasks due to their strong image classification capabilities. These models can learn hierarchical features that distinguish food types with relatively high accuracy in controlled environments. However, challenges persist when deploying these systems in uncontrolled, real-world settings where variables like lighting, angle, occlusion, and presentation introduce significant variability [2], [4]. CNNs show strong performance with consistent datasets, but limitations in handling variability in cuisine types and presentation styles continue to hinder widespread effectiveness.</w:t>
      </w:r>
    </w:p>
    <w:p w14:paraId="7CC753F5" w14:textId="77777777" w:rsidR="005C4148" w:rsidRPr="005C4148" w:rsidRDefault="005C4148" w:rsidP="005C4148">
      <w:pPr>
        <w:rPr>
          <w:b/>
          <w:bCs/>
        </w:rPr>
      </w:pPr>
      <w:r w:rsidRPr="005C4148">
        <w:rPr>
          <w:b/>
          <w:bCs/>
        </w:rPr>
        <w:t>2.3 Limitations in Current Models and Datasets</w:t>
      </w:r>
    </w:p>
    <w:p w14:paraId="05ECDA8A" w14:textId="05A38DF9" w:rsidR="005C4148" w:rsidRDefault="005C4148" w:rsidP="005C4148">
      <w:r>
        <w:t>A critical bottleneck in food image recognition systems is their reliance on limited and biased datasets. Many publicly available datasets overrepresent Western cuisines while underrepresenting diverse, global foods. This reduces model generalizability, particularly in multi-cultural contexts [2], [3], [6]. Moreover, annotations in many datasets fail to capture critical variables like preparation style, mixed ingredients, and portion size, thereby compromising nutritional prediction [3][7][8][11][12][15][20]</w:t>
      </w:r>
      <w:r>
        <w:t>.</w:t>
      </w:r>
    </w:p>
    <w:p w14:paraId="13F2A097" w14:textId="14903402" w:rsidR="005C4148" w:rsidRDefault="005C4148" w:rsidP="005C4148">
      <w:r>
        <w:t xml:space="preserve">Some recent studies have sought to address these shortcomings. For example, Al-Saffar and Baiee evaluated the effectiveness of using multiple datasets for training machine learning models and noted improvements in performance when dataset diversity increased [1]. </w:t>
      </w:r>
      <w:proofErr w:type="spellStart"/>
      <w:r>
        <w:t>Kobourov</w:t>
      </w:r>
      <w:proofErr w:type="spellEnd"/>
      <w:r>
        <w:t xml:space="preserve"> et al. identified key issues related to calorie estimation accuracy and pointed out that image conditions and food presentation styles significantly influence model reliability [3]. These findings underline the importance of both dataset quality and contextual image variation in improving overall system performance.</w:t>
      </w:r>
    </w:p>
    <w:p w14:paraId="5E07747B" w14:textId="77777777" w:rsidR="005C4148" w:rsidRPr="005C4148" w:rsidRDefault="005C4148" w:rsidP="005C4148">
      <w:pPr>
        <w:rPr>
          <w:b/>
          <w:bCs/>
        </w:rPr>
      </w:pPr>
      <w:r w:rsidRPr="005C4148">
        <w:rPr>
          <w:b/>
          <w:bCs/>
        </w:rPr>
        <w:t>2.4 Enhancing Context with Metadata and Hybrid Approaches</w:t>
      </w:r>
    </w:p>
    <w:p w14:paraId="63DC89AA" w14:textId="42CF0AB1" w:rsidR="005C4148" w:rsidRDefault="005C4148" w:rsidP="005C4148">
      <w:r>
        <w:t>To address data limitations, several studies suggest integrating contextual metadata</w:t>
      </w:r>
      <w:r>
        <w:t xml:space="preserve"> </w:t>
      </w:r>
      <w:r>
        <w:t>such as cooking methods, ingredients, and meal types</w:t>
      </w:r>
      <w:r>
        <w:t xml:space="preserve"> </w:t>
      </w:r>
      <w:r>
        <w:t>into training models. These enhancements allow systems to better interpret ambiguous images and improve prediction accuracy [6]. Hybrid approaches that combine 2D image analysis with depth prediction have also gained traction. For instance, new models using depth prediction and fusion techniques have been developed to enhance calorie estimation accuracy [5].</w:t>
      </w:r>
    </w:p>
    <w:p w14:paraId="1B495941" w14:textId="16D5C224" w:rsidR="005C4148" w:rsidRDefault="005C4148" w:rsidP="005C4148">
      <w:r>
        <w:lastRenderedPageBreak/>
        <w:t>Such hybrid models enable more accurate portion estimation in complex food arrangements, especially when individual food items are overlapping or partially obscured. Vision-based systems that use multiple angles or depth cues show improved performance over purely 2D approaches [5], [7].</w:t>
      </w:r>
      <w:r>
        <w:t xml:space="preserve"> </w:t>
      </w:r>
    </w:p>
    <w:p w14:paraId="67F1C8A2" w14:textId="77777777" w:rsidR="005C4148" w:rsidRPr="005C4148" w:rsidRDefault="005C4148" w:rsidP="005C4148">
      <w:pPr>
        <w:rPr>
          <w:b/>
          <w:bCs/>
        </w:rPr>
      </w:pPr>
      <w:r w:rsidRPr="005C4148">
        <w:rPr>
          <w:b/>
          <w:bCs/>
        </w:rPr>
        <w:t xml:space="preserve">2.5 Semantic </w:t>
      </w:r>
      <w:proofErr w:type="spellStart"/>
      <w:r w:rsidRPr="005C4148">
        <w:rPr>
          <w:b/>
          <w:bCs/>
        </w:rPr>
        <w:t>Modeling</w:t>
      </w:r>
      <w:proofErr w:type="spellEnd"/>
      <w:r w:rsidRPr="005C4148">
        <w:rPr>
          <w:b/>
          <w:bCs/>
        </w:rPr>
        <w:t xml:space="preserve"> and Knowledge Integration</w:t>
      </w:r>
    </w:p>
    <w:p w14:paraId="556B2037" w14:textId="2B19B70D" w:rsidR="005C4148" w:rsidRDefault="005C4148" w:rsidP="005C4148">
      <w:r>
        <w:t>Integrating knowledge graphs and structured databases such as USDA’s Food Data Central has been found to significantly improve the granularity of nutritional analysis. These knowledge bases help map visual inputs to detailed nutrient profiles, disambiguating similar-looking items and enriching the prediction layer [2], [9]. Semantic modelling also supports personalized nutrition by linking food image data with dietary needs and preferences. [9][10][17][18][19][26]</w:t>
      </w:r>
    </w:p>
    <w:p w14:paraId="1B26E306" w14:textId="21858CC9" w:rsidR="005C4148" w:rsidRDefault="005C4148" w:rsidP="005C4148">
      <w:r>
        <w:t>Recent investigations have highlighted how vision-based systems are increasingly being enhanced through the fusion of computer vision techniques with semantic reasoning [9]. These models aim to create more context-aware nutritional estimates by interpreting not just the visual appearance but also contextual variables and structured knowledge.</w:t>
      </w:r>
    </w:p>
    <w:p w14:paraId="3DE01F1E" w14:textId="77777777" w:rsidR="005C4148" w:rsidRPr="005C4148" w:rsidRDefault="005C4148" w:rsidP="005C4148">
      <w:pPr>
        <w:rPr>
          <w:b/>
          <w:bCs/>
        </w:rPr>
      </w:pPr>
      <w:r w:rsidRPr="005C4148">
        <w:rPr>
          <w:b/>
          <w:bCs/>
        </w:rPr>
        <w:t>2.6 Real-Time Feedback and Adaptive Systems</w:t>
      </w:r>
    </w:p>
    <w:p w14:paraId="5A1695BE" w14:textId="77777777" w:rsidR="005C4148" w:rsidRDefault="005C4148" w:rsidP="005C4148">
      <w:r>
        <w:t>Adaptive feedback systems are gaining traction as users increasingly demand real-time, personalized dietary insights. By integrating behavioural analytics and user history, these systems dynamically adjust predictions and recommendations. Reinforcement learning methods are being tested for personalized feedback loops, which enhance user engagement and dietary adherence [6].</w:t>
      </w:r>
    </w:p>
    <w:p w14:paraId="2F914604" w14:textId="04D644CA" w:rsidR="005C4148" w:rsidRDefault="005C4148" w:rsidP="005C4148">
      <w:r>
        <w:t>Mobile applications now integrate real-time feedback with contextual awareness to deliver practical insights, such as suggesting alternative meals or notifying users about nutritional imbalances. These systems can also learn from user interaction, becoming more refined and responsive over time.</w:t>
      </w:r>
    </w:p>
    <w:p w14:paraId="7337DE11" w14:textId="77777777" w:rsidR="005C4148" w:rsidRPr="005C4148" w:rsidRDefault="005C4148" w:rsidP="005C4148">
      <w:pPr>
        <w:rPr>
          <w:b/>
          <w:bCs/>
        </w:rPr>
      </w:pPr>
      <w:r w:rsidRPr="005C4148">
        <w:rPr>
          <w:b/>
          <w:bCs/>
        </w:rPr>
        <w:t>2.7 Deployment Challenges in Real-World Environments</w:t>
      </w:r>
    </w:p>
    <w:p w14:paraId="162A068A" w14:textId="1B76CD38" w:rsidR="005C4148" w:rsidRDefault="005C4148" w:rsidP="005C4148">
      <w:r>
        <w:t xml:space="preserve">While many experimental models perform well in lab conditions, deployment in real-world scenarios introduces numerous challenges. Many systems fail in environments with suboptimal image conditions, such as poor lighting or cluttered backgrounds </w:t>
      </w:r>
      <w:proofErr w:type="gramStart"/>
      <w:r>
        <w:t>\[</w:t>
      </w:r>
      <w:proofErr w:type="gramEnd"/>
      <w:r>
        <w:t>4]. Additionally, systems often depend on users to input data manually or capture images under specific conditions, limiting ease of use and adoption.</w:t>
      </w:r>
    </w:p>
    <w:p w14:paraId="6549A137" w14:textId="77777777" w:rsidR="005C4148" w:rsidRDefault="005C4148" w:rsidP="005C4148">
      <w:r>
        <w:t>Some of the most recent works address these issues by optimizing deep learning models for mobile deployment. For instance, lightweight architectures and techniques like model pruning and quantization are being applied to reduce processing power demands without significantly compromising accuracy [7], [9]. These improvements are crucial for enabling real-time inference on edge devices like smartphones and wearables.</w:t>
      </w:r>
    </w:p>
    <w:p w14:paraId="54BAA6F4" w14:textId="77777777" w:rsidR="005C4148" w:rsidRDefault="005C4148" w:rsidP="005C4148"/>
    <w:p w14:paraId="17A3AEAB" w14:textId="77777777" w:rsidR="005C4148" w:rsidRPr="005C4148" w:rsidRDefault="005C4148" w:rsidP="005C4148">
      <w:pPr>
        <w:rPr>
          <w:b/>
          <w:bCs/>
        </w:rPr>
      </w:pPr>
      <w:r w:rsidRPr="005C4148">
        <w:rPr>
          <w:b/>
          <w:bCs/>
        </w:rPr>
        <w:t>2.8 Ethical and Inclusive Design Considerations</w:t>
      </w:r>
    </w:p>
    <w:p w14:paraId="7D70894B" w14:textId="77777777" w:rsidR="005C4148" w:rsidRDefault="005C4148" w:rsidP="005C4148">
      <w:r>
        <w:t>Ethical considerations, including user privacy, data fairness, and transparency, are critical for system adoption. Inclusive datasets that reflect diverse dietary habits are essential to ensure fairness and avoid reinforcing cultural biases [2], [4]. Moreover, transparency in prediction confidence and clear communication about the tool’s limitations are vital for responsible use.</w:t>
      </w:r>
    </w:p>
    <w:p w14:paraId="55D3E397" w14:textId="6166CAAB" w:rsidR="005C4148" w:rsidRDefault="005C4148" w:rsidP="005C4148">
      <w:r>
        <w:lastRenderedPageBreak/>
        <w:t>These concerns are amplified in public-facing systems, where inaccuracies or biases can erode trust. Recent works stress the importance of regulatory compliance, such as GDPR, and ethical design principles in the development of dietary monitoring tools [9], [10].</w:t>
      </w:r>
    </w:p>
    <w:p w14:paraId="3CCEF285" w14:textId="77777777" w:rsidR="005C4148" w:rsidRPr="005C4148" w:rsidRDefault="005C4148" w:rsidP="005C4148">
      <w:pPr>
        <w:rPr>
          <w:b/>
          <w:bCs/>
        </w:rPr>
      </w:pPr>
      <w:r w:rsidRPr="005C4148">
        <w:rPr>
          <w:b/>
          <w:bCs/>
        </w:rPr>
        <w:t>2.9 Recent Research Contributions Relevant to This Work</w:t>
      </w:r>
    </w:p>
    <w:p w14:paraId="6A3AA9E9" w14:textId="77777777" w:rsidR="005C4148" w:rsidRDefault="005C4148" w:rsidP="005C4148">
      <w:r>
        <w:t>Several recent studies directly relate to the goals and scope of this project. Al-Saffar and Baiee’s research showed that training machine learning models on multiple datasets can significantly improve nutritional prediction accuracy [1]. However, their models still struggled with complex food structures and varied lighting conditions, underscoring the need for more robust preprocessing methods and generalizable architectures. [6][11][17][25][28]</w:t>
      </w:r>
    </w:p>
    <w:p w14:paraId="6795486D" w14:textId="77777777" w:rsidR="005C4148" w:rsidRDefault="005C4148" w:rsidP="005C4148">
      <w:r>
        <w:t>Mansouri et al. conducted a comprehensive review of deep learning models for nutrition analysis and emphasized the importance of real-world deployment challenges, including generalization across cultures and dishes [2]. Their review supports the direction of this project, particularly in the pursuit of culturally inclusive datasets and adaptive learning methods.</w:t>
      </w:r>
    </w:p>
    <w:p w14:paraId="6508764E" w14:textId="77777777" w:rsidR="005C4148" w:rsidRDefault="005C4148" w:rsidP="005C4148">
      <w:r>
        <w:t>Subhi’s work categorized vision-based dietary systems and concluded that accuracy in uncontrolled environments remains a critical obstacle [4]. Han et al. tackled this issue by incorporating depth prediction in their model, achieving better volume estimation for layered or mixed foods [5]. This aligns with the proposed project's focus on handling food complexity.</w:t>
      </w:r>
    </w:p>
    <w:p w14:paraId="10AF8015" w14:textId="77777777" w:rsidR="005C4148" w:rsidRDefault="005C4148" w:rsidP="005C4148">
      <w:r>
        <w:t xml:space="preserve">The Nutrition5k dataset, introduced by Thames et al., includes contextual data such as ingredients and cooking methods [6]. Their approach demonstrated improved model realism and reliability, supporting the integration of metadata in nutritional systems. Similarly, </w:t>
      </w:r>
      <w:proofErr w:type="spellStart"/>
      <w:r>
        <w:t>Wimalasiri</w:t>
      </w:r>
      <w:proofErr w:type="spellEnd"/>
      <w:r>
        <w:t xml:space="preserve"> and Sahoo’s development of 2D image-based weight estimation addresses one of the core technical challenges targeted in this project [7].</w:t>
      </w:r>
    </w:p>
    <w:p w14:paraId="482C5D29" w14:textId="26B74F37" w:rsidR="005C4148" w:rsidRDefault="005C4148" w:rsidP="005C4148">
      <w:r>
        <w:t>These studies confirm the significance of dataset diversity, adaptive learning, metadata integration, and edge-device deployment all of which form central pillars of the proposed system’s design.</w:t>
      </w:r>
    </w:p>
    <w:p w14:paraId="1346B1B1" w14:textId="37AB9AC9" w:rsidR="005C4148" w:rsidRPr="005C4148" w:rsidRDefault="005C4148" w:rsidP="005C4148">
      <w:pPr>
        <w:rPr>
          <w:b/>
          <w:bCs/>
        </w:rPr>
      </w:pPr>
      <w:r w:rsidRPr="005C4148">
        <w:rPr>
          <w:b/>
          <w:bCs/>
        </w:rPr>
        <w:t>2.10 Technology Review</w:t>
      </w:r>
    </w:p>
    <w:p w14:paraId="1A1B9FCE" w14:textId="77777777" w:rsidR="005C4148" w:rsidRPr="005C4148" w:rsidRDefault="005C4148" w:rsidP="005C4148">
      <w:pPr>
        <w:rPr>
          <w:b/>
          <w:bCs/>
        </w:rPr>
      </w:pPr>
      <w:r w:rsidRPr="005C4148">
        <w:rPr>
          <w:b/>
          <w:bCs/>
        </w:rPr>
        <w:t>2.10.1 Core Deep Learning Architectures</w:t>
      </w:r>
    </w:p>
    <w:p w14:paraId="79497199" w14:textId="53C95C7D" w:rsidR="005C4148" w:rsidRDefault="005C4148" w:rsidP="005C4148">
      <w:r>
        <w:t xml:space="preserve">CNNs such as </w:t>
      </w:r>
      <w:proofErr w:type="spellStart"/>
      <w:r>
        <w:t>ResNet</w:t>
      </w:r>
      <w:proofErr w:type="spellEnd"/>
      <w:r>
        <w:t xml:space="preserve">, </w:t>
      </w:r>
      <w:proofErr w:type="spellStart"/>
      <w:r>
        <w:t>DenseNet</w:t>
      </w:r>
      <w:proofErr w:type="spellEnd"/>
      <w:r>
        <w:t xml:space="preserve">, and </w:t>
      </w:r>
      <w:proofErr w:type="spellStart"/>
      <w:r>
        <w:t>EfficientNet</w:t>
      </w:r>
      <w:proofErr w:type="spellEnd"/>
      <w:r>
        <w:t xml:space="preserve"> are widely used in food recognition due to their ability to extract meaningful features from images. </w:t>
      </w:r>
      <w:proofErr w:type="spellStart"/>
      <w:r>
        <w:t>ResNet's</w:t>
      </w:r>
      <w:proofErr w:type="spellEnd"/>
      <w:r>
        <w:t xml:space="preserve"> residual learning overcomes vanishing gradient issues, </w:t>
      </w:r>
      <w:proofErr w:type="spellStart"/>
      <w:r>
        <w:t>DenseNet</w:t>
      </w:r>
      <w:proofErr w:type="spellEnd"/>
      <w:r>
        <w:t xml:space="preserve"> improves inter-layer connectivity, and </w:t>
      </w:r>
      <w:proofErr w:type="spellStart"/>
      <w:r>
        <w:t>EfficientNet</w:t>
      </w:r>
      <w:proofErr w:type="spellEnd"/>
      <w:r>
        <w:t xml:space="preserve"> balances model scaling [1], [8]. These architectures are foundational but often require enhancements to perform well on food-specific tasks. [2][9][14]</w:t>
      </w:r>
    </w:p>
    <w:p w14:paraId="1197F937" w14:textId="77777777" w:rsidR="005C4148" w:rsidRPr="005C4148" w:rsidRDefault="005C4148" w:rsidP="005C4148">
      <w:pPr>
        <w:rPr>
          <w:b/>
          <w:bCs/>
        </w:rPr>
      </w:pPr>
      <w:r w:rsidRPr="005C4148">
        <w:rPr>
          <w:b/>
          <w:bCs/>
        </w:rPr>
        <w:t>2.10.2 Vision Transformers and Their Advantages</w:t>
      </w:r>
    </w:p>
    <w:p w14:paraId="0E40658F" w14:textId="3F19BEBD" w:rsidR="005C4148" w:rsidRDefault="005C4148" w:rsidP="005C4148">
      <w:r>
        <w:t>Vision Transformers (</w:t>
      </w:r>
      <w:proofErr w:type="spellStart"/>
      <w:r>
        <w:t>ViTs</w:t>
      </w:r>
      <w:proofErr w:type="spellEnd"/>
      <w:r>
        <w:t>) have introduced a new paradigm in image analysis by using self-attention to model spatial relationships. Swin Transformers, a more efficient hierarchical variant, offer better scalability and are increasingly being used in complex food image interpretation tasks [5], [9]. These models provide superior results in recognizing composite or cluttered dishes. [23][25]</w:t>
      </w:r>
    </w:p>
    <w:p w14:paraId="5784E9BA" w14:textId="77777777" w:rsidR="005C4148" w:rsidRPr="005C4148" w:rsidRDefault="005C4148" w:rsidP="005C4148">
      <w:pPr>
        <w:rPr>
          <w:b/>
          <w:bCs/>
        </w:rPr>
      </w:pPr>
      <w:r w:rsidRPr="005C4148">
        <w:rPr>
          <w:b/>
          <w:bCs/>
        </w:rPr>
        <w:t>2.10.3 Ensemble and Hybrid Systems</w:t>
      </w:r>
    </w:p>
    <w:p w14:paraId="2107690D" w14:textId="77777777" w:rsidR="005C4148" w:rsidRDefault="005C4148" w:rsidP="005C4148">
      <w:r>
        <w:t xml:space="preserve">Ensemble systems combine the strengths of multiple models, improving generalization and robustness. Some systems integrate CNNs with classical machine learning algorithms like </w:t>
      </w:r>
      <w:r>
        <w:lastRenderedPageBreak/>
        <w:t>SVMs to improve niche classification tasks. Others incorporate both image and text modalities, such as recipes or meal descriptions, to enhance model understanding [2].</w:t>
      </w:r>
    </w:p>
    <w:p w14:paraId="5DB6EECA" w14:textId="77777777" w:rsidR="005C4148" w:rsidRPr="005C4148" w:rsidRDefault="005C4148" w:rsidP="005C4148">
      <w:pPr>
        <w:rPr>
          <w:b/>
          <w:bCs/>
        </w:rPr>
      </w:pPr>
      <w:r w:rsidRPr="005C4148">
        <w:rPr>
          <w:b/>
          <w:bCs/>
        </w:rPr>
        <w:t>2.10.4 Volume Estimation Technologies</w:t>
      </w:r>
    </w:p>
    <w:p w14:paraId="4DF39871" w14:textId="26739E1C" w:rsidR="005C4148" w:rsidRDefault="005C4148" w:rsidP="005C4148">
      <w:r>
        <w:t>Portion size estimation is notoriously difficult. Vision-based approaches incorporating 3D modelling and AR have shown success in estimating volume more accurately. Depth sensors and visual triangulation are used to infer food structure from images, aiding in calorie estimation and nutrient tracking [5][7] [5][27][28][29]</w:t>
      </w:r>
      <w:r>
        <w:t>.</w:t>
      </w:r>
    </w:p>
    <w:p w14:paraId="579A94ED" w14:textId="77777777" w:rsidR="005C4148" w:rsidRPr="005C4148" w:rsidRDefault="005C4148" w:rsidP="005C4148">
      <w:pPr>
        <w:rPr>
          <w:b/>
          <w:bCs/>
        </w:rPr>
      </w:pPr>
      <w:r w:rsidRPr="005C4148">
        <w:rPr>
          <w:b/>
          <w:bCs/>
        </w:rPr>
        <w:t>2.10.5 Software Frameworks and Deployment Tools</w:t>
      </w:r>
    </w:p>
    <w:p w14:paraId="6050266E" w14:textId="77777777" w:rsidR="005C4148" w:rsidRDefault="005C4148" w:rsidP="005C4148">
      <w:r>
        <w:t xml:space="preserve">Popular platforms like TensorFlow and </w:t>
      </w:r>
      <w:proofErr w:type="spellStart"/>
      <w:r>
        <w:t>PyTorch</w:t>
      </w:r>
      <w:proofErr w:type="spellEnd"/>
      <w:r>
        <w:t xml:space="preserve"> support model development, while TensorFlow Lite and </w:t>
      </w:r>
      <w:proofErr w:type="spellStart"/>
      <w:r>
        <w:t>MobileNet</w:t>
      </w:r>
      <w:proofErr w:type="spellEnd"/>
      <w:r>
        <w:t xml:space="preserve"> are optimized for edge deployment. Cloud platforms such as Google </w:t>
      </w:r>
      <w:proofErr w:type="spellStart"/>
      <w:r>
        <w:t>Colab</w:t>
      </w:r>
      <w:proofErr w:type="spellEnd"/>
      <w:r>
        <w:t xml:space="preserve"> and AWS </w:t>
      </w:r>
      <w:proofErr w:type="spellStart"/>
      <w:r>
        <w:t>SageMaker</w:t>
      </w:r>
      <w:proofErr w:type="spellEnd"/>
      <w:r>
        <w:t xml:space="preserve"> are used for large-scale experimentation [6], [8]. These tools support scalable and reproducible system deployment. CI/CD pipelines and containerization enhance maintainability and streamline updates.</w:t>
      </w:r>
    </w:p>
    <w:p w14:paraId="5B591C0B" w14:textId="4D5DE8C3" w:rsidR="005C4148" w:rsidRPr="005C4148" w:rsidRDefault="005C4148" w:rsidP="005C4148">
      <w:pPr>
        <w:rPr>
          <w:b/>
          <w:bCs/>
        </w:rPr>
      </w:pPr>
      <w:r w:rsidRPr="005C4148">
        <w:rPr>
          <w:b/>
          <w:bCs/>
        </w:rPr>
        <w:t>2.11 Summary and Project Relevance</w:t>
      </w:r>
    </w:p>
    <w:p w14:paraId="0495B50E" w14:textId="77777777" w:rsidR="005C4148" w:rsidRDefault="005C4148" w:rsidP="005C4148">
      <w:r>
        <w:t>The literature and technology landscape show rapid advancement in image-based nutritional analysis, powered by deep learning and semantic modelling. However, real-world deployment challenges, dataset limitations, and ethical concerns remain prevalent. CNNs and emerging models like Swin Transformers show promise but need to be supported by rich, diverse datasets and optimized processing techniques.</w:t>
      </w:r>
    </w:p>
    <w:p w14:paraId="7E4F9281" w14:textId="77777777" w:rsidR="005C4148" w:rsidRPr="00AA6F2F" w:rsidRDefault="005C4148" w:rsidP="005C4148">
      <w:r>
        <w:t>The proposed project directly addresses these challenges by building on insights from recent studies. It incorporates multi-modal data, robust model design, ethical safeguards, and scalable deployment strategies. The integration of Swin Transformers, diverse datasets, and mobile-friendly optimization positions the project to contribute meaningfully to the field of digital nutrition.</w:t>
      </w:r>
    </w:p>
    <w:p w14:paraId="2AED5C77" w14:textId="6949C532" w:rsidR="00F50939" w:rsidRPr="005C4148" w:rsidRDefault="00F50939" w:rsidP="005C4148"/>
    <w:sectPr w:rsidR="00F50939" w:rsidRPr="005C4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BA"/>
    <w:rsid w:val="001F38DB"/>
    <w:rsid w:val="002651C6"/>
    <w:rsid w:val="00374409"/>
    <w:rsid w:val="0042264E"/>
    <w:rsid w:val="005C4148"/>
    <w:rsid w:val="00777233"/>
    <w:rsid w:val="007A3836"/>
    <w:rsid w:val="00901EEA"/>
    <w:rsid w:val="00A25945"/>
    <w:rsid w:val="00AA6F2F"/>
    <w:rsid w:val="00C925BA"/>
    <w:rsid w:val="00CF7CFB"/>
    <w:rsid w:val="00D70C87"/>
    <w:rsid w:val="00F50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5E13"/>
  <w15:chartTrackingRefBased/>
  <w15:docId w15:val="{ADCDB89F-4FE0-4D3B-999F-A4642D28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148"/>
  </w:style>
  <w:style w:type="paragraph" w:styleId="Heading1">
    <w:name w:val="heading 1"/>
    <w:basedOn w:val="Normal"/>
    <w:next w:val="Normal"/>
    <w:link w:val="Heading1Char"/>
    <w:uiPriority w:val="9"/>
    <w:qFormat/>
    <w:rsid w:val="00C925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25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25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925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925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5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25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25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925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925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5BA"/>
    <w:rPr>
      <w:rFonts w:eastAsiaTheme="majorEastAsia" w:cstheme="majorBidi"/>
      <w:color w:val="272727" w:themeColor="text1" w:themeTint="D8"/>
    </w:rPr>
  </w:style>
  <w:style w:type="paragraph" w:styleId="Title">
    <w:name w:val="Title"/>
    <w:basedOn w:val="Normal"/>
    <w:next w:val="Normal"/>
    <w:link w:val="TitleChar"/>
    <w:uiPriority w:val="10"/>
    <w:qFormat/>
    <w:rsid w:val="00C9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5BA"/>
    <w:pPr>
      <w:spacing w:before="160"/>
      <w:jc w:val="center"/>
    </w:pPr>
    <w:rPr>
      <w:i/>
      <w:iCs/>
      <w:color w:val="404040" w:themeColor="text1" w:themeTint="BF"/>
    </w:rPr>
  </w:style>
  <w:style w:type="character" w:customStyle="1" w:styleId="QuoteChar">
    <w:name w:val="Quote Char"/>
    <w:basedOn w:val="DefaultParagraphFont"/>
    <w:link w:val="Quote"/>
    <w:uiPriority w:val="29"/>
    <w:rsid w:val="00C925BA"/>
    <w:rPr>
      <w:i/>
      <w:iCs/>
      <w:color w:val="404040" w:themeColor="text1" w:themeTint="BF"/>
    </w:rPr>
  </w:style>
  <w:style w:type="paragraph" w:styleId="ListParagraph">
    <w:name w:val="List Paragraph"/>
    <w:basedOn w:val="Normal"/>
    <w:uiPriority w:val="34"/>
    <w:qFormat/>
    <w:rsid w:val="00C925BA"/>
    <w:pPr>
      <w:ind w:left="720"/>
      <w:contextualSpacing/>
    </w:pPr>
  </w:style>
  <w:style w:type="character" w:styleId="IntenseEmphasis">
    <w:name w:val="Intense Emphasis"/>
    <w:basedOn w:val="DefaultParagraphFont"/>
    <w:uiPriority w:val="21"/>
    <w:qFormat/>
    <w:rsid w:val="00C925BA"/>
    <w:rPr>
      <w:i/>
      <w:iCs/>
      <w:color w:val="2E74B5" w:themeColor="accent1" w:themeShade="BF"/>
    </w:rPr>
  </w:style>
  <w:style w:type="paragraph" w:styleId="IntenseQuote">
    <w:name w:val="Intense Quote"/>
    <w:basedOn w:val="Normal"/>
    <w:next w:val="Normal"/>
    <w:link w:val="IntenseQuoteChar"/>
    <w:uiPriority w:val="30"/>
    <w:qFormat/>
    <w:rsid w:val="00C925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25BA"/>
    <w:rPr>
      <w:i/>
      <w:iCs/>
      <w:color w:val="2E74B5" w:themeColor="accent1" w:themeShade="BF"/>
    </w:rPr>
  </w:style>
  <w:style w:type="character" w:styleId="IntenseReference">
    <w:name w:val="Intense Reference"/>
    <w:basedOn w:val="DefaultParagraphFont"/>
    <w:uiPriority w:val="32"/>
    <w:qFormat/>
    <w:rsid w:val="00C925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36261">
      <w:bodyDiv w:val="1"/>
      <w:marLeft w:val="0"/>
      <w:marRight w:val="0"/>
      <w:marTop w:val="0"/>
      <w:marBottom w:val="0"/>
      <w:divBdr>
        <w:top w:val="none" w:sz="0" w:space="0" w:color="auto"/>
        <w:left w:val="none" w:sz="0" w:space="0" w:color="auto"/>
        <w:bottom w:val="none" w:sz="0" w:space="0" w:color="auto"/>
        <w:right w:val="none" w:sz="0" w:space="0" w:color="auto"/>
      </w:divBdr>
    </w:div>
    <w:div w:id="335772838">
      <w:bodyDiv w:val="1"/>
      <w:marLeft w:val="0"/>
      <w:marRight w:val="0"/>
      <w:marTop w:val="0"/>
      <w:marBottom w:val="0"/>
      <w:divBdr>
        <w:top w:val="none" w:sz="0" w:space="0" w:color="auto"/>
        <w:left w:val="none" w:sz="0" w:space="0" w:color="auto"/>
        <w:bottom w:val="none" w:sz="0" w:space="0" w:color="auto"/>
        <w:right w:val="none" w:sz="0" w:space="0" w:color="auto"/>
      </w:divBdr>
    </w:div>
    <w:div w:id="893783046">
      <w:bodyDiv w:val="1"/>
      <w:marLeft w:val="0"/>
      <w:marRight w:val="0"/>
      <w:marTop w:val="0"/>
      <w:marBottom w:val="0"/>
      <w:divBdr>
        <w:top w:val="none" w:sz="0" w:space="0" w:color="auto"/>
        <w:left w:val="none" w:sz="0" w:space="0" w:color="auto"/>
        <w:bottom w:val="none" w:sz="0" w:space="0" w:color="auto"/>
        <w:right w:val="none" w:sz="0" w:space="0" w:color="auto"/>
      </w:divBdr>
    </w:div>
    <w:div w:id="941493966">
      <w:bodyDiv w:val="1"/>
      <w:marLeft w:val="0"/>
      <w:marRight w:val="0"/>
      <w:marTop w:val="0"/>
      <w:marBottom w:val="0"/>
      <w:divBdr>
        <w:top w:val="none" w:sz="0" w:space="0" w:color="auto"/>
        <w:left w:val="none" w:sz="0" w:space="0" w:color="auto"/>
        <w:bottom w:val="none" w:sz="0" w:space="0" w:color="auto"/>
        <w:right w:val="none" w:sz="0" w:space="0" w:color="auto"/>
      </w:divBdr>
    </w:div>
    <w:div w:id="1085296344">
      <w:bodyDiv w:val="1"/>
      <w:marLeft w:val="0"/>
      <w:marRight w:val="0"/>
      <w:marTop w:val="0"/>
      <w:marBottom w:val="0"/>
      <w:divBdr>
        <w:top w:val="none" w:sz="0" w:space="0" w:color="auto"/>
        <w:left w:val="none" w:sz="0" w:space="0" w:color="auto"/>
        <w:bottom w:val="none" w:sz="0" w:space="0" w:color="auto"/>
        <w:right w:val="none" w:sz="0" w:space="0" w:color="auto"/>
      </w:divBdr>
    </w:div>
    <w:div w:id="1101225490">
      <w:bodyDiv w:val="1"/>
      <w:marLeft w:val="0"/>
      <w:marRight w:val="0"/>
      <w:marTop w:val="0"/>
      <w:marBottom w:val="0"/>
      <w:divBdr>
        <w:top w:val="none" w:sz="0" w:space="0" w:color="auto"/>
        <w:left w:val="none" w:sz="0" w:space="0" w:color="auto"/>
        <w:bottom w:val="none" w:sz="0" w:space="0" w:color="auto"/>
        <w:right w:val="none" w:sz="0" w:space="0" w:color="auto"/>
      </w:divBdr>
    </w:div>
    <w:div w:id="1373338279">
      <w:bodyDiv w:val="1"/>
      <w:marLeft w:val="0"/>
      <w:marRight w:val="0"/>
      <w:marTop w:val="0"/>
      <w:marBottom w:val="0"/>
      <w:divBdr>
        <w:top w:val="none" w:sz="0" w:space="0" w:color="auto"/>
        <w:left w:val="none" w:sz="0" w:space="0" w:color="auto"/>
        <w:bottom w:val="none" w:sz="0" w:space="0" w:color="auto"/>
        <w:right w:val="none" w:sz="0" w:space="0" w:color="auto"/>
      </w:divBdr>
    </w:div>
    <w:div w:id="1907565504">
      <w:bodyDiv w:val="1"/>
      <w:marLeft w:val="0"/>
      <w:marRight w:val="0"/>
      <w:marTop w:val="0"/>
      <w:marBottom w:val="0"/>
      <w:divBdr>
        <w:top w:val="none" w:sz="0" w:space="0" w:color="auto"/>
        <w:left w:val="none" w:sz="0" w:space="0" w:color="auto"/>
        <w:bottom w:val="none" w:sz="0" w:space="0" w:color="auto"/>
        <w:right w:val="none" w:sz="0" w:space="0" w:color="auto"/>
      </w:divBdr>
    </w:div>
    <w:div w:id="1997565113">
      <w:bodyDiv w:val="1"/>
      <w:marLeft w:val="0"/>
      <w:marRight w:val="0"/>
      <w:marTop w:val="0"/>
      <w:marBottom w:val="0"/>
      <w:divBdr>
        <w:top w:val="none" w:sz="0" w:space="0" w:color="auto"/>
        <w:left w:val="none" w:sz="0" w:space="0" w:color="auto"/>
        <w:bottom w:val="none" w:sz="0" w:space="0" w:color="auto"/>
        <w:right w:val="none" w:sz="0" w:space="0" w:color="auto"/>
      </w:divBdr>
    </w:div>
    <w:div w:id="2073699437">
      <w:bodyDiv w:val="1"/>
      <w:marLeft w:val="0"/>
      <w:marRight w:val="0"/>
      <w:marTop w:val="0"/>
      <w:marBottom w:val="0"/>
      <w:divBdr>
        <w:top w:val="none" w:sz="0" w:space="0" w:color="auto"/>
        <w:left w:val="none" w:sz="0" w:space="0" w:color="auto"/>
        <w:bottom w:val="none" w:sz="0" w:space="0" w:color="auto"/>
        <w:right w:val="none" w:sz="0" w:space="0" w:color="auto"/>
      </w:divBdr>
    </w:div>
    <w:div w:id="2076392446">
      <w:bodyDiv w:val="1"/>
      <w:marLeft w:val="0"/>
      <w:marRight w:val="0"/>
      <w:marTop w:val="0"/>
      <w:marBottom w:val="0"/>
      <w:divBdr>
        <w:top w:val="none" w:sz="0" w:space="0" w:color="auto"/>
        <w:left w:val="none" w:sz="0" w:space="0" w:color="auto"/>
        <w:bottom w:val="none" w:sz="0" w:space="0" w:color="auto"/>
        <w:right w:val="none" w:sz="0" w:space="0" w:color="auto"/>
      </w:divBdr>
    </w:div>
    <w:div w:id="209265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4</Pages>
  <Words>1719</Words>
  <Characters>9804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Chukwuemeka Nwakonobi (Student)</dc:creator>
  <cp:keywords/>
  <dc:description/>
  <cp:lastModifiedBy>Victor Chukwuemeka Nwakonobi (Student)</cp:lastModifiedBy>
  <cp:revision>3</cp:revision>
  <dcterms:created xsi:type="dcterms:W3CDTF">2025-06-09T20:26:00Z</dcterms:created>
  <dcterms:modified xsi:type="dcterms:W3CDTF">2025-06-13T05:33:00Z</dcterms:modified>
</cp:coreProperties>
</file>