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30A0" w:rsidRDefault="000857DF" w:rsidP="00A26C2D">
      <w:pPr>
        <w:pStyle w:val="Heading1"/>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69" type="#_x0000_t75" alt="Australian Competition &amp; Consumer Commission" style="position:absolute;left:0;text-align:left;margin-left:246.15pt;margin-top:-14.4pt;width:190.75pt;height:45.65pt;z-index:251661312;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v:imagedata r:id="rId9" o:title=""/>
          </v:shape>
        </w:pict>
      </w:r>
    </w:p>
    <w:p w:rsidR="000F1353" w:rsidRPr="000F1353" w:rsidRDefault="000F1353" w:rsidP="00A26C2D">
      <w:pPr>
        <w:pStyle w:val="Heading1"/>
      </w:pPr>
      <w:r w:rsidRPr="000F1353">
        <w:t>Statement of Issues</w:t>
      </w:r>
    </w:p>
    <w:p w:rsidR="00E50A22" w:rsidRPr="00E23669" w:rsidRDefault="00A908A7" w:rsidP="00A26C2D">
      <w:pPr>
        <w:pStyle w:val="Date"/>
      </w:pPr>
      <w:r>
        <w:t>5 November</w:t>
      </w:r>
      <w:r w:rsidR="00C32F21">
        <w:t xml:space="preserve"> 2015</w:t>
      </w:r>
    </w:p>
    <w:p w:rsidR="00FB30A0" w:rsidRDefault="00527EBC" w:rsidP="00BC4450">
      <w:pPr>
        <w:pStyle w:val="Heading2"/>
        <w:jc w:val="left"/>
      </w:pPr>
      <w:bookmarkStart w:id="0" w:name="Title"/>
      <w:bookmarkEnd w:id="0"/>
      <w:r>
        <w:t>Iron</w:t>
      </w:r>
      <w:r w:rsidR="00C32F21">
        <w:t xml:space="preserve"> Mountain Incorporated</w:t>
      </w:r>
      <w:r w:rsidR="002A6DE2">
        <w:t xml:space="preserve"> </w:t>
      </w:r>
      <w:r w:rsidR="00E44A40">
        <w:t>–</w:t>
      </w:r>
      <w:r w:rsidR="002A6DE2">
        <w:t xml:space="preserve"> </w:t>
      </w:r>
      <w:r w:rsidR="00E44A40">
        <w:t xml:space="preserve">proposed </w:t>
      </w:r>
      <w:r w:rsidR="002A6DE2">
        <w:t xml:space="preserve">acquisition </w:t>
      </w:r>
      <w:r w:rsidR="00C32F21">
        <w:t>of Recall Holdings Limited</w:t>
      </w:r>
      <w:r w:rsidR="00E44A40">
        <w:t xml:space="preserve"> </w:t>
      </w:r>
    </w:p>
    <w:p w:rsidR="00F617AC" w:rsidRDefault="00F617AC" w:rsidP="002307B6">
      <w:pPr>
        <w:pStyle w:val="Heading3"/>
      </w:pPr>
      <w:r w:rsidRPr="002307B6">
        <w:t>Purpose</w:t>
      </w:r>
    </w:p>
    <w:p w:rsidR="00B43200" w:rsidRDefault="00B43200" w:rsidP="00162883">
      <w:pPr>
        <w:pStyle w:val="NormalParagraph"/>
      </w:pPr>
      <w:r>
        <w:t xml:space="preserve">This </w:t>
      </w:r>
      <w:r w:rsidRPr="00E44A40">
        <w:t xml:space="preserve">Statement of issues </w:t>
      </w:r>
      <w:r w:rsidRPr="00A65CD3">
        <w:t>aims to</w:t>
      </w:r>
      <w:r>
        <w:t>:</w:t>
      </w:r>
    </w:p>
    <w:p w:rsidR="00B43200" w:rsidRDefault="00B43200" w:rsidP="00162883">
      <w:pPr>
        <w:pStyle w:val="Numbered"/>
        <w:numPr>
          <w:ilvl w:val="0"/>
          <w:numId w:val="22"/>
        </w:numPr>
      </w:pPr>
      <w:r>
        <w:t xml:space="preserve">give the preliminary views of the Australian Competition and Consumer </w:t>
      </w:r>
      <w:r w:rsidR="00BE0C8C">
        <w:t xml:space="preserve">Commission </w:t>
      </w:r>
      <w:r>
        <w:t>(</w:t>
      </w:r>
      <w:r>
        <w:rPr>
          <w:b/>
        </w:rPr>
        <w:t>ACCC</w:t>
      </w:r>
      <w:r w:rsidRPr="00134AD5">
        <w:t>)</w:t>
      </w:r>
      <w:r>
        <w:t xml:space="preserve"> on competition issues arising from Iron Mountain Incorporated’s (</w:t>
      </w:r>
      <w:r w:rsidRPr="00B43200">
        <w:rPr>
          <w:b/>
        </w:rPr>
        <w:t>Iron Mountain</w:t>
      </w:r>
      <w:r>
        <w:t>) proposed acquisition of Recall Holdings Limited (</w:t>
      </w:r>
      <w:r w:rsidRPr="00B43200">
        <w:rPr>
          <w:b/>
        </w:rPr>
        <w:t>Recall</w:t>
      </w:r>
      <w:r>
        <w:t>)</w:t>
      </w:r>
    </w:p>
    <w:p w:rsidR="00B43200" w:rsidRDefault="00B43200" w:rsidP="00162883">
      <w:pPr>
        <w:pStyle w:val="Numbered"/>
        <w:numPr>
          <w:ilvl w:val="0"/>
          <w:numId w:val="22"/>
        </w:numPr>
      </w:pPr>
      <w:r>
        <w:t>identify areas of further inquiry</w:t>
      </w:r>
    </w:p>
    <w:p w:rsidR="00B43200" w:rsidRDefault="00B43200" w:rsidP="00162883">
      <w:pPr>
        <w:pStyle w:val="Numbered"/>
        <w:numPr>
          <w:ilvl w:val="0"/>
          <w:numId w:val="22"/>
        </w:numPr>
      </w:pPr>
      <w:r w:rsidRPr="00A65CD3">
        <w:t>g</w:t>
      </w:r>
      <w:r>
        <w:t>i</w:t>
      </w:r>
      <w:r w:rsidRPr="00A65CD3">
        <w:t>ve</w:t>
      </w:r>
      <w:r>
        <w:t xml:space="preserve"> all interested parties an opportunity to comment</w:t>
      </w:r>
    </w:p>
    <w:p w:rsidR="00F617AC" w:rsidRPr="00E82294" w:rsidRDefault="00B43200" w:rsidP="00162883">
      <w:pPr>
        <w:pStyle w:val="Numbered"/>
        <w:numPr>
          <w:ilvl w:val="0"/>
          <w:numId w:val="22"/>
        </w:numPr>
      </w:pPr>
      <w:r>
        <w:t>invite interested parties to submit information to assist us in our assessment of the issues.</w:t>
      </w:r>
    </w:p>
    <w:p w:rsidR="00F617AC" w:rsidRDefault="00F617AC" w:rsidP="002307B6">
      <w:pPr>
        <w:pStyle w:val="Heading3"/>
      </w:pPr>
      <w:r>
        <w:t>Overview of ACCC’s preliminary views</w:t>
      </w:r>
    </w:p>
    <w:p w:rsidR="00F617AC" w:rsidRDefault="00F617AC" w:rsidP="00162883">
      <w:pPr>
        <w:pStyle w:val="Numbered"/>
      </w:pPr>
      <w:r w:rsidRPr="00A0349E">
        <w:t xml:space="preserve">The </w:t>
      </w:r>
      <w:r>
        <w:t xml:space="preserve">legal test which the ACCC applies in </w:t>
      </w:r>
      <w:r w:rsidRPr="00A0349E">
        <w:t xml:space="preserve">considering the </w:t>
      </w:r>
      <w:r>
        <w:t xml:space="preserve">proposed </w:t>
      </w:r>
      <w:r w:rsidRPr="00A0349E">
        <w:t xml:space="preserve">acquisition </w:t>
      </w:r>
      <w:r>
        <w:t xml:space="preserve">is in </w:t>
      </w:r>
      <w:r w:rsidRPr="00A0349E">
        <w:t xml:space="preserve">section 50 of the </w:t>
      </w:r>
      <w:r w:rsidRPr="00A0349E">
        <w:rPr>
          <w:i/>
        </w:rPr>
        <w:t>Competition and Consumer Act 2010</w:t>
      </w:r>
      <w:r w:rsidR="006D7FBB">
        <w:rPr>
          <w:i/>
        </w:rPr>
        <w:t xml:space="preserve"> </w:t>
      </w:r>
      <w:r w:rsidR="006D7FBB" w:rsidRPr="00B517E4">
        <w:t>(</w:t>
      </w:r>
      <w:r w:rsidR="00EA1CB3" w:rsidRPr="00EA1CB3">
        <w:t>the</w:t>
      </w:r>
      <w:r w:rsidR="00EA1CB3" w:rsidRPr="0008189E">
        <w:rPr>
          <w:b/>
        </w:rPr>
        <w:t xml:space="preserve"> </w:t>
      </w:r>
      <w:r w:rsidR="006D7FBB" w:rsidRPr="0008189E">
        <w:rPr>
          <w:b/>
        </w:rPr>
        <w:t>Act</w:t>
      </w:r>
      <w:r w:rsidR="006D7FBB" w:rsidRPr="00B517E4">
        <w:t>)</w:t>
      </w:r>
      <w:r w:rsidRPr="00A0349E">
        <w:t xml:space="preserve">. Section 50 prohibits acquisitions that substantially lessen competition in a market, or are likely to do so. </w:t>
      </w:r>
    </w:p>
    <w:p w:rsidR="00F617AC" w:rsidRDefault="00F617AC" w:rsidP="00162883">
      <w:pPr>
        <w:pStyle w:val="NormalParagraph"/>
      </w:pPr>
      <w:r>
        <w:t>The ACCC divides its preliminary views into three categories, 'issues of concern', 'issues that may raise concerns' and ‘issues unlikely to raise concerns’.</w:t>
      </w:r>
    </w:p>
    <w:p w:rsidR="00F617AC" w:rsidRDefault="00F617AC" w:rsidP="00162883">
      <w:pPr>
        <w:pStyle w:val="Heading4"/>
      </w:pPr>
      <w:r>
        <w:t xml:space="preserve">Issue of </w:t>
      </w:r>
      <w:r w:rsidRPr="002307B6">
        <w:t>concern</w:t>
      </w:r>
    </w:p>
    <w:p w:rsidR="00F617AC" w:rsidRPr="001A3804" w:rsidRDefault="00F617AC" w:rsidP="00162883">
      <w:pPr>
        <w:pStyle w:val="NormalParagraph"/>
      </w:pPr>
      <w:r>
        <w:t xml:space="preserve">The ACCC is concerned that the proposed acquisition would be likely to lead to a substantial lessening of competition in </w:t>
      </w:r>
      <w:r w:rsidR="00EA1CB3">
        <w:t xml:space="preserve">a </w:t>
      </w:r>
      <w:r>
        <w:t>national market for the supply of physical document management services (</w:t>
      </w:r>
      <w:r w:rsidRPr="00B43200">
        <w:rPr>
          <w:b/>
        </w:rPr>
        <w:t>PDMS</w:t>
      </w:r>
      <w:r>
        <w:t>).</w:t>
      </w:r>
    </w:p>
    <w:p w:rsidR="00F617AC" w:rsidRDefault="00F617AC" w:rsidP="00162883">
      <w:pPr>
        <w:pStyle w:val="Heading4"/>
      </w:pPr>
      <w:r>
        <w:t>Issue that may raise concerns</w:t>
      </w:r>
    </w:p>
    <w:p w:rsidR="00F617AC" w:rsidRDefault="00F617AC" w:rsidP="009659C3">
      <w:pPr>
        <w:pStyle w:val="NormalParagraph"/>
      </w:pPr>
      <w:r>
        <w:t>The ACCC is concerned that the proposed acquisition may lead to a substantial lessening of c</w:t>
      </w:r>
      <w:r w:rsidR="00C74126">
        <w:t>ompetition in regional markets</w:t>
      </w:r>
      <w:r w:rsidR="009659C3">
        <w:t>,</w:t>
      </w:r>
      <w:r w:rsidR="00C74126">
        <w:t xml:space="preserve"> </w:t>
      </w:r>
      <w:r w:rsidR="009659C3" w:rsidRPr="009659C3">
        <w:t>centred on each state and territory capital city</w:t>
      </w:r>
      <w:r w:rsidR="009659C3">
        <w:t xml:space="preserve"> (excluding the Northern Territory)</w:t>
      </w:r>
      <w:r w:rsidR="009659C3" w:rsidRPr="009659C3">
        <w:t xml:space="preserve">, </w:t>
      </w:r>
      <w:r>
        <w:t>for the supply of PDMS.</w:t>
      </w:r>
    </w:p>
    <w:p w:rsidR="00F617AC" w:rsidRDefault="00F617AC" w:rsidP="00162883">
      <w:pPr>
        <w:pStyle w:val="Heading4"/>
      </w:pPr>
      <w:r>
        <w:t>Issues unlikely to raise concerns</w:t>
      </w:r>
    </w:p>
    <w:p w:rsidR="00F617AC" w:rsidRDefault="00F617AC" w:rsidP="00E2414A">
      <w:pPr>
        <w:pStyle w:val="NormalParagraph"/>
        <w:keepNext/>
      </w:pPr>
      <w:r>
        <w:t>The ACCC does not consider that the proposed acquisition would be likely to lead to a substantial lessening of competition in markets relati</w:t>
      </w:r>
      <w:r w:rsidR="005B198D">
        <w:t>ng</w:t>
      </w:r>
      <w:r>
        <w:t xml:space="preserve"> to</w:t>
      </w:r>
      <w:r w:rsidR="00C74126">
        <w:t xml:space="preserve"> the supply of</w:t>
      </w:r>
      <w:r>
        <w:t>:</w:t>
      </w:r>
    </w:p>
    <w:p w:rsidR="00F617AC" w:rsidRDefault="00F617AC" w:rsidP="00162883">
      <w:pPr>
        <w:pStyle w:val="NormalParagraph"/>
        <w:numPr>
          <w:ilvl w:val="0"/>
          <w:numId w:val="20"/>
        </w:numPr>
      </w:pPr>
      <w:r>
        <w:t>digital do</w:t>
      </w:r>
      <w:r w:rsidR="0041128C">
        <w:t xml:space="preserve">cument management services </w:t>
      </w:r>
    </w:p>
    <w:p w:rsidR="00F617AC" w:rsidRDefault="00114F35" w:rsidP="00162883">
      <w:pPr>
        <w:pStyle w:val="NormalParagraph"/>
        <w:numPr>
          <w:ilvl w:val="0"/>
          <w:numId w:val="20"/>
        </w:numPr>
      </w:pPr>
      <w:r>
        <w:t>data protection services.</w:t>
      </w:r>
    </w:p>
    <w:p w:rsidR="00F617AC" w:rsidRDefault="00F617AC" w:rsidP="002307B6">
      <w:pPr>
        <w:pStyle w:val="Heading3"/>
      </w:pPr>
      <w:r>
        <w:lastRenderedPageBreak/>
        <w:t>Making a submission</w:t>
      </w:r>
    </w:p>
    <w:p w:rsidR="00F617AC" w:rsidRDefault="00F617AC" w:rsidP="00162883">
      <w:pPr>
        <w:pStyle w:val="NormalParagraph"/>
      </w:pPr>
      <w:r>
        <w:t>The ACCC is seeking submissions from interested parties, particularly on the following key issues:</w:t>
      </w:r>
    </w:p>
    <w:p w:rsidR="006D7FBB" w:rsidRDefault="006D7FBB" w:rsidP="006D7FBB">
      <w:pPr>
        <w:pStyle w:val="NormalParagraph"/>
        <w:numPr>
          <w:ilvl w:val="0"/>
          <w:numId w:val="8"/>
        </w:numPr>
      </w:pPr>
      <w:r>
        <w:t>the geographic dimension of regional markets</w:t>
      </w:r>
      <w:r w:rsidR="00EA1CB3">
        <w:t xml:space="preserve"> for the supply of PDMS</w:t>
      </w:r>
    </w:p>
    <w:p w:rsidR="00EA1CB3" w:rsidRDefault="00EA1CB3" w:rsidP="006D7FBB">
      <w:pPr>
        <w:pStyle w:val="NormalParagraph"/>
        <w:numPr>
          <w:ilvl w:val="0"/>
          <w:numId w:val="8"/>
        </w:numPr>
      </w:pPr>
      <w:r>
        <w:t>whether competition occurs in a multi-regional or national market in addition to regional competition</w:t>
      </w:r>
    </w:p>
    <w:p w:rsidR="00F617AC" w:rsidRDefault="0056465E" w:rsidP="00162883">
      <w:pPr>
        <w:pStyle w:val="NormalParagraph"/>
        <w:numPr>
          <w:ilvl w:val="0"/>
          <w:numId w:val="8"/>
        </w:numPr>
      </w:pPr>
      <w:r>
        <w:t xml:space="preserve">whether small to medium-sized PDMS providers, who do not have a national presence, </w:t>
      </w:r>
      <w:r w:rsidR="00870ED2">
        <w:t xml:space="preserve">could </w:t>
      </w:r>
      <w:r>
        <w:t xml:space="preserve">supply </w:t>
      </w:r>
      <w:r w:rsidR="006D7FBB">
        <w:t xml:space="preserve">large or </w:t>
      </w:r>
      <w:r>
        <w:t>national customers</w:t>
      </w:r>
    </w:p>
    <w:p w:rsidR="00AD0165" w:rsidRDefault="00AD0165" w:rsidP="00162883">
      <w:pPr>
        <w:pStyle w:val="NormalParagraph"/>
        <w:numPr>
          <w:ilvl w:val="0"/>
          <w:numId w:val="8"/>
        </w:numPr>
      </w:pPr>
      <w:r>
        <w:t>the extent to which existing PDMS providers constrain the merger parties</w:t>
      </w:r>
    </w:p>
    <w:p w:rsidR="00F617AC" w:rsidRDefault="0056465E" w:rsidP="00162883">
      <w:pPr>
        <w:pStyle w:val="NormalParagraph"/>
        <w:numPr>
          <w:ilvl w:val="0"/>
          <w:numId w:val="8"/>
        </w:numPr>
      </w:pPr>
      <w:r>
        <w:t>barriers to entry and expansion in PDMS markets</w:t>
      </w:r>
      <w:r w:rsidR="0041128C">
        <w:t>.</w:t>
      </w:r>
    </w:p>
    <w:p w:rsidR="0041128C" w:rsidRDefault="00595494" w:rsidP="00162883">
      <w:pPr>
        <w:pStyle w:val="NormalParagraph"/>
      </w:pPr>
      <w:r>
        <w:t>This Statement of Issues contains d</w:t>
      </w:r>
      <w:r w:rsidR="0041128C">
        <w:t xml:space="preserve">etailed discussion of these and other issues, along with specific questions. </w:t>
      </w:r>
    </w:p>
    <w:p w:rsidR="0041128C" w:rsidRDefault="0041128C" w:rsidP="00162883">
      <w:pPr>
        <w:pStyle w:val="NormalParagraph"/>
      </w:pPr>
      <w:r>
        <w:t xml:space="preserve">Interested parties should provide submissions by </w:t>
      </w:r>
      <w:r w:rsidRPr="00A0349E">
        <w:t xml:space="preserve">no later than </w:t>
      </w:r>
      <w:r>
        <w:t xml:space="preserve">5pm on </w:t>
      </w:r>
      <w:r w:rsidR="00AF4B13">
        <w:rPr>
          <w:b/>
        </w:rPr>
        <w:t>19</w:t>
      </w:r>
      <w:r w:rsidR="00D60D88">
        <w:rPr>
          <w:b/>
        </w:rPr>
        <w:t> </w:t>
      </w:r>
      <w:r w:rsidRPr="0041128C">
        <w:rPr>
          <w:b/>
        </w:rPr>
        <w:t>November 2015</w:t>
      </w:r>
      <w:r w:rsidRPr="00A0349E">
        <w:t xml:space="preserve">. Responses may be emailed to </w:t>
      </w:r>
      <w:hyperlink r:id="rId10" w:history="1">
        <w:r w:rsidRPr="00F97A9E">
          <w:rPr>
            <w:rStyle w:val="Hyperlink"/>
          </w:rPr>
          <w:t>mergers@accc.gov.au</w:t>
        </w:r>
      </w:hyperlink>
      <w:r>
        <w:t xml:space="preserve"> </w:t>
      </w:r>
      <w:r w:rsidRPr="00A0349E">
        <w:t xml:space="preserve">with the title: </w:t>
      </w:r>
      <w:r w:rsidR="00846631">
        <w:t>Submission re: Iron Mountain proposed acquisition of Recall - attention Jason Byrne</w:t>
      </w:r>
      <w:r w:rsidRPr="00E44A40">
        <w:t>.</w:t>
      </w:r>
      <w:r>
        <w:t xml:space="preserve"> If you would like to discuss the matter with ACCC officers over the telephone or in person, or have any questions about this </w:t>
      </w:r>
      <w:r w:rsidR="00530C51">
        <w:t>SOI</w:t>
      </w:r>
      <w:r>
        <w:t xml:space="preserve">, </w:t>
      </w:r>
      <w:r w:rsidRPr="00A0349E">
        <w:t>please c</w:t>
      </w:r>
      <w:r>
        <w:t xml:space="preserve">ontact </w:t>
      </w:r>
      <w:r w:rsidR="00846631">
        <w:t>Jason Byrne on (02) 6243 1279</w:t>
      </w:r>
      <w:r w:rsidRPr="00A0349E">
        <w:t xml:space="preserve">. </w:t>
      </w:r>
    </w:p>
    <w:p w:rsidR="0041128C" w:rsidRDefault="0041128C" w:rsidP="00162883">
      <w:pPr>
        <w:pStyle w:val="NormalParagraph"/>
      </w:pPr>
      <w:r>
        <w:t xml:space="preserve">The ACCC anticipates making a final decision on </w:t>
      </w:r>
      <w:r w:rsidR="00AF4B13">
        <w:rPr>
          <w:b/>
        </w:rPr>
        <w:t xml:space="preserve">15 December </w:t>
      </w:r>
      <w:r w:rsidR="003E29B7">
        <w:rPr>
          <w:b/>
        </w:rPr>
        <w:t>201</w:t>
      </w:r>
      <w:r w:rsidR="00AF4B13">
        <w:rPr>
          <w:b/>
        </w:rPr>
        <w:t>5</w:t>
      </w:r>
      <w:r>
        <w:t xml:space="preserve">, however, this timeline can change. To keep abreast of possible changes in relation to timing and to find relevant documents, interested parties should visit the Mergers Register on the ACCC's website at </w:t>
      </w:r>
      <w:hyperlink r:id="rId11" w:history="1">
        <w:r w:rsidR="00846631" w:rsidRPr="00F97A9E">
          <w:rPr>
            <w:rStyle w:val="Hyperlink"/>
          </w:rPr>
          <w:t>www.accc.gov.au/mergersregister</w:t>
        </w:r>
      </w:hyperlink>
      <w:r>
        <w:t>.</w:t>
      </w:r>
    </w:p>
    <w:p w:rsidR="00846631" w:rsidRDefault="00846631" w:rsidP="00162883">
      <w:pPr>
        <w:pStyle w:val="Heading4"/>
      </w:pPr>
      <w:r w:rsidRPr="00E44A40">
        <w:t>Confidentiality of submissions</w:t>
      </w:r>
    </w:p>
    <w:p w:rsidR="00846631" w:rsidRPr="00FB28B6" w:rsidRDefault="00846631" w:rsidP="00162883">
      <w:pPr>
        <w:pStyle w:val="Numbered"/>
      </w:pPr>
      <w:r w:rsidRPr="00041F71">
        <w:t xml:space="preserve">The ACCC will not publish submissions </w:t>
      </w:r>
      <w:r>
        <w:t>regarding the</w:t>
      </w:r>
      <w:r w:rsidRPr="00041F71">
        <w:t xml:space="preserve"> proposed acquisition. We will not disclose submissions to third parties</w:t>
      </w:r>
      <w:r w:rsidRPr="00E44A40">
        <w:rPr>
          <w:rStyle w:val="FootnoteReference"/>
          <w:color w:val="000000"/>
        </w:rPr>
        <w:t xml:space="preserve"> </w:t>
      </w:r>
      <w:r>
        <w:t>(except our advisors/consultants)</w:t>
      </w:r>
      <w:r w:rsidRPr="00041F71">
        <w:t xml:space="preserve"> unless compelled by law (for example, under freedom of information legislation or during court proceedings) or in accordance with s155AAA of the </w:t>
      </w:r>
      <w:r w:rsidRPr="00E44A40">
        <w:rPr>
          <w:i/>
        </w:rPr>
        <w:t>Competition and Consumer Act 2010</w:t>
      </w:r>
      <w:r w:rsidRPr="00041F71">
        <w:t xml:space="preserve">. Where the ACCC is required to disclose confidential information, the ACCC will notify you in advance where possible so that you may have an opportunity to be heard. </w:t>
      </w:r>
      <w:r>
        <w:t>Therefore, i</w:t>
      </w:r>
      <w:r w:rsidRPr="008F6743">
        <w:t xml:space="preserve">f the information provided to the ACCC is of a confidential nature, please indicate as such. </w:t>
      </w:r>
      <w:r w:rsidRPr="00041F71">
        <w:t xml:space="preserve">Our </w:t>
      </w:r>
      <w:hyperlink r:id="rId12" w:history="1">
        <w:r w:rsidRPr="00E44A40">
          <w:rPr>
            <w:rStyle w:val="Hyperlink"/>
            <w:i/>
          </w:rPr>
          <w:t>Informal Merger Review Process Guidelines</w:t>
        </w:r>
      </w:hyperlink>
      <w:r w:rsidRPr="00E44A40">
        <w:rPr>
          <w:i/>
        </w:rPr>
        <w:t xml:space="preserve"> </w:t>
      </w:r>
      <w:r w:rsidRPr="00041F71">
        <w:t>contain more information.</w:t>
      </w:r>
    </w:p>
    <w:p w:rsidR="00F617AC" w:rsidRDefault="00F617AC" w:rsidP="002307B6">
      <w:pPr>
        <w:pStyle w:val="Heading3"/>
      </w:pPr>
      <w:r>
        <w:t>About ACCC ‘Statements of Issues’</w:t>
      </w:r>
    </w:p>
    <w:p w:rsidR="00846631" w:rsidRDefault="00846631" w:rsidP="00162883">
      <w:pPr>
        <w:pStyle w:val="NormalParagraph"/>
      </w:pPr>
      <w:r>
        <w:t>A Statement of Issues published by the ACCC is not a final decision about a proposed acquisition, but provides the ACCC’s preliminary views, drawing attention to particular issues of varying degrees of competition concern, as well as identifying the lines of further inquiry that the ACCC wishes to undertake.</w:t>
      </w:r>
    </w:p>
    <w:p w:rsidR="00F617AC" w:rsidRPr="00FB28B6" w:rsidRDefault="00846631" w:rsidP="00162883">
      <w:pPr>
        <w:pStyle w:val="NormalParagraph"/>
      </w:pPr>
      <w:r>
        <w:t xml:space="preserve">A Statement of Issues provides an opportunity for all interested parties (including customers, competitors, shareholders and other stakeholders) to consider the primary issues identified by the ACCC. It is also intended to provide the merger parties and other interested parties with the basis for making further submissions should they </w:t>
      </w:r>
      <w:r w:rsidR="006D7FBB">
        <w:t>wish to do so</w:t>
      </w:r>
      <w:r>
        <w:t>.</w:t>
      </w:r>
    </w:p>
    <w:p w:rsidR="00F617AC" w:rsidRPr="009057A6" w:rsidRDefault="00F617AC" w:rsidP="002307B6">
      <w:pPr>
        <w:pStyle w:val="Heading3"/>
      </w:pPr>
      <w:r>
        <w:lastRenderedPageBreak/>
        <w:t>Timeline</w:t>
      </w:r>
    </w:p>
    <w:tbl>
      <w:tblPr>
        <w:tblStyle w:val="TableGrid"/>
        <w:tblW w:w="0" w:type="auto"/>
        <w:tblInd w:w="357" w:type="dxa"/>
        <w:tblLook w:val="04A0" w:firstRow="1" w:lastRow="0" w:firstColumn="1" w:lastColumn="0" w:noHBand="0" w:noVBand="1"/>
      </w:tblPr>
      <w:tblGrid>
        <w:gridCol w:w="2844"/>
        <w:gridCol w:w="5463"/>
      </w:tblGrid>
      <w:tr w:rsidR="00F617AC" w:rsidTr="005F3E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tcPr>
          <w:p w:rsidR="00F617AC" w:rsidRPr="005441C4" w:rsidRDefault="00F617AC" w:rsidP="005F3E52">
            <w:pPr>
              <w:pStyle w:val="Numberedlist"/>
              <w:numPr>
                <w:ilvl w:val="0"/>
                <w:numId w:val="0"/>
              </w:numPr>
              <w:rPr>
                <w:b w:val="0"/>
              </w:rPr>
            </w:pPr>
            <w:r w:rsidRPr="005441C4">
              <w:t>Date</w:t>
            </w:r>
          </w:p>
        </w:tc>
        <w:tc>
          <w:tcPr>
            <w:tcW w:w="5873" w:type="dxa"/>
          </w:tcPr>
          <w:p w:rsidR="00F617AC" w:rsidRPr="005441C4" w:rsidRDefault="00F617AC" w:rsidP="005F3E52">
            <w:pPr>
              <w:pStyle w:val="Numberedlist"/>
              <w:numPr>
                <w:ilvl w:val="0"/>
                <w:numId w:val="0"/>
              </w:numPr>
              <w:cnfStyle w:val="100000000000" w:firstRow="1" w:lastRow="0" w:firstColumn="0" w:lastColumn="0" w:oddVBand="0" w:evenVBand="0" w:oddHBand="0" w:evenHBand="0" w:firstRowFirstColumn="0" w:firstRowLastColumn="0" w:lastRowFirstColumn="0" w:lastRowLastColumn="0"/>
              <w:rPr>
                <w:b w:val="0"/>
              </w:rPr>
            </w:pPr>
            <w:r w:rsidRPr="005441C4">
              <w:t>Event</w:t>
            </w:r>
          </w:p>
        </w:tc>
      </w:tr>
      <w:tr w:rsidR="00F617AC" w:rsidTr="005F3E52">
        <w:tc>
          <w:tcPr>
            <w:cnfStyle w:val="001000000000" w:firstRow="0" w:lastRow="0" w:firstColumn="1" w:lastColumn="0" w:oddVBand="0" w:evenVBand="0" w:oddHBand="0" w:evenHBand="0" w:firstRowFirstColumn="0" w:firstRowLastColumn="0" w:lastRowFirstColumn="0" w:lastRowLastColumn="0"/>
            <w:tcW w:w="3012" w:type="dxa"/>
          </w:tcPr>
          <w:p w:rsidR="00F617AC" w:rsidRPr="005441C4" w:rsidRDefault="00F617AC" w:rsidP="005F3E52">
            <w:pPr>
              <w:pStyle w:val="Numberedlist"/>
              <w:numPr>
                <w:ilvl w:val="0"/>
                <w:numId w:val="0"/>
              </w:numPr>
            </w:pPr>
            <w:r>
              <w:t>25 August 2015</w:t>
            </w:r>
          </w:p>
        </w:tc>
        <w:tc>
          <w:tcPr>
            <w:tcW w:w="5873" w:type="dxa"/>
          </w:tcPr>
          <w:p w:rsidR="00F617AC" w:rsidRPr="005441C4" w:rsidRDefault="00F617AC" w:rsidP="005F3E52">
            <w:pPr>
              <w:pStyle w:val="Numberedlist"/>
              <w:numPr>
                <w:ilvl w:val="0"/>
                <w:numId w:val="0"/>
              </w:numPr>
              <w:cnfStyle w:val="000000000000" w:firstRow="0" w:lastRow="0" w:firstColumn="0" w:lastColumn="0" w:oddVBand="0" w:evenVBand="0" w:oddHBand="0" w:evenHBand="0" w:firstRowFirstColumn="0" w:firstRowLastColumn="0" w:lastRowFirstColumn="0" w:lastRowLastColumn="0"/>
            </w:pPr>
            <w:r w:rsidRPr="005441C4">
              <w:t xml:space="preserve">ACCC </w:t>
            </w:r>
            <w:r>
              <w:t xml:space="preserve">commenced </w:t>
            </w:r>
            <w:r w:rsidRPr="005441C4">
              <w:t>review of the proposed acquisition</w:t>
            </w:r>
          </w:p>
        </w:tc>
      </w:tr>
      <w:tr w:rsidR="00F617AC" w:rsidTr="005F3E52">
        <w:tc>
          <w:tcPr>
            <w:cnfStyle w:val="001000000000" w:firstRow="0" w:lastRow="0" w:firstColumn="1" w:lastColumn="0" w:oddVBand="0" w:evenVBand="0" w:oddHBand="0" w:evenHBand="0" w:firstRowFirstColumn="0" w:firstRowLastColumn="0" w:lastRowFirstColumn="0" w:lastRowLastColumn="0"/>
            <w:tcW w:w="3012" w:type="dxa"/>
          </w:tcPr>
          <w:p w:rsidR="00F617AC" w:rsidRPr="005441C4" w:rsidRDefault="00F617AC" w:rsidP="005F3E52">
            <w:pPr>
              <w:pStyle w:val="Numberedlist"/>
              <w:numPr>
                <w:ilvl w:val="0"/>
                <w:numId w:val="0"/>
              </w:numPr>
            </w:pPr>
            <w:r>
              <w:t>5 November 2015</w:t>
            </w:r>
          </w:p>
        </w:tc>
        <w:tc>
          <w:tcPr>
            <w:tcW w:w="5873" w:type="dxa"/>
          </w:tcPr>
          <w:p w:rsidR="00F617AC" w:rsidRPr="005441C4" w:rsidRDefault="00F617AC" w:rsidP="00677BE5">
            <w:pPr>
              <w:pStyle w:val="Numberedlist"/>
              <w:numPr>
                <w:ilvl w:val="0"/>
                <w:numId w:val="0"/>
              </w:numPr>
              <w:cnfStyle w:val="000000000000" w:firstRow="0" w:lastRow="0" w:firstColumn="0" w:lastColumn="0" w:oddVBand="0" w:evenVBand="0" w:oddHBand="0" w:evenHBand="0" w:firstRowFirstColumn="0" w:firstRowLastColumn="0" w:lastRowFirstColumn="0" w:lastRowLastColumn="0"/>
            </w:pPr>
            <w:r w:rsidRPr="005441C4">
              <w:t xml:space="preserve">ACCC publication of </w:t>
            </w:r>
            <w:r w:rsidR="00677BE5">
              <w:t>S</w:t>
            </w:r>
            <w:r w:rsidRPr="005441C4">
              <w:t xml:space="preserve">tatement of </w:t>
            </w:r>
            <w:r w:rsidR="00677BE5">
              <w:t>I</w:t>
            </w:r>
            <w:r w:rsidRPr="005441C4">
              <w:t>ssues</w:t>
            </w:r>
          </w:p>
        </w:tc>
      </w:tr>
      <w:tr w:rsidR="00F617AC" w:rsidTr="005F3E52">
        <w:tc>
          <w:tcPr>
            <w:cnfStyle w:val="001000000000" w:firstRow="0" w:lastRow="0" w:firstColumn="1" w:lastColumn="0" w:oddVBand="0" w:evenVBand="0" w:oddHBand="0" w:evenHBand="0" w:firstRowFirstColumn="0" w:firstRowLastColumn="0" w:lastRowFirstColumn="0" w:lastRowLastColumn="0"/>
            <w:tcW w:w="3012" w:type="dxa"/>
          </w:tcPr>
          <w:p w:rsidR="00F617AC" w:rsidRPr="005441C4" w:rsidRDefault="00AF4B13" w:rsidP="005F3E52">
            <w:pPr>
              <w:pStyle w:val="Numberedlist"/>
              <w:numPr>
                <w:ilvl w:val="0"/>
                <w:numId w:val="0"/>
              </w:numPr>
            </w:pPr>
            <w:r>
              <w:t xml:space="preserve">19 </w:t>
            </w:r>
            <w:r w:rsidR="003E29B7">
              <w:t>November 2015</w:t>
            </w:r>
          </w:p>
        </w:tc>
        <w:tc>
          <w:tcPr>
            <w:tcW w:w="5873" w:type="dxa"/>
          </w:tcPr>
          <w:p w:rsidR="00F617AC" w:rsidRPr="005441C4" w:rsidRDefault="009D385B" w:rsidP="005314BE">
            <w:pPr>
              <w:pStyle w:val="Numberedlist"/>
              <w:numPr>
                <w:ilvl w:val="0"/>
                <w:numId w:val="0"/>
              </w:numPr>
              <w:cnfStyle w:val="000000000000" w:firstRow="0" w:lastRow="0" w:firstColumn="0" w:lastColumn="0" w:oddVBand="0" w:evenVBand="0" w:oddHBand="0" w:evenHBand="0" w:firstRowFirstColumn="0" w:firstRowLastColumn="0" w:lastRowFirstColumn="0" w:lastRowLastColumn="0"/>
            </w:pPr>
            <w:r>
              <w:t xml:space="preserve">Closing date for </w:t>
            </w:r>
            <w:r w:rsidR="00F617AC" w:rsidRPr="005441C4">
              <w:t xml:space="preserve">submissions </w:t>
            </w:r>
            <w:r>
              <w:t>relating</w:t>
            </w:r>
            <w:r w:rsidR="00F617AC" w:rsidRPr="005441C4">
              <w:t xml:space="preserve"> to </w:t>
            </w:r>
            <w:r w:rsidR="00F617AC">
              <w:t>Statement of I</w:t>
            </w:r>
            <w:r w:rsidR="00F617AC" w:rsidRPr="005441C4">
              <w:t>ssues</w:t>
            </w:r>
          </w:p>
        </w:tc>
      </w:tr>
      <w:tr w:rsidR="00F617AC" w:rsidTr="005F3E52">
        <w:tc>
          <w:tcPr>
            <w:cnfStyle w:val="001000000000" w:firstRow="0" w:lastRow="0" w:firstColumn="1" w:lastColumn="0" w:oddVBand="0" w:evenVBand="0" w:oddHBand="0" w:evenHBand="0" w:firstRowFirstColumn="0" w:firstRowLastColumn="0" w:lastRowFirstColumn="0" w:lastRowLastColumn="0"/>
            <w:tcW w:w="3012" w:type="dxa"/>
          </w:tcPr>
          <w:p w:rsidR="00F617AC" w:rsidRPr="005441C4" w:rsidRDefault="00AF4B13" w:rsidP="00AF4B13">
            <w:pPr>
              <w:pStyle w:val="Numberedlist"/>
              <w:numPr>
                <w:ilvl w:val="0"/>
                <w:numId w:val="0"/>
              </w:numPr>
            </w:pPr>
            <w:r>
              <w:t xml:space="preserve">15 December </w:t>
            </w:r>
            <w:r w:rsidR="003E29B7">
              <w:t>201</w:t>
            </w:r>
            <w:r>
              <w:t>5</w:t>
            </w:r>
          </w:p>
        </w:tc>
        <w:tc>
          <w:tcPr>
            <w:tcW w:w="5873" w:type="dxa"/>
          </w:tcPr>
          <w:p w:rsidR="00F617AC" w:rsidRPr="005441C4" w:rsidRDefault="009D385B" w:rsidP="009D385B">
            <w:pPr>
              <w:pStyle w:val="Numberedlist"/>
              <w:numPr>
                <w:ilvl w:val="0"/>
                <w:numId w:val="0"/>
              </w:numPr>
              <w:cnfStyle w:val="000000000000" w:firstRow="0" w:lastRow="0" w:firstColumn="0" w:lastColumn="0" w:oddVBand="0" w:evenVBand="0" w:oddHBand="0" w:evenHBand="0" w:firstRowFirstColumn="0" w:firstRowLastColumn="0" w:lastRowFirstColumn="0" w:lastRowLastColumn="0"/>
            </w:pPr>
            <w:r>
              <w:t xml:space="preserve">Proposed </w:t>
            </w:r>
            <w:r w:rsidR="00F617AC">
              <w:t xml:space="preserve">date for </w:t>
            </w:r>
            <w:r>
              <w:t xml:space="preserve">announcement of </w:t>
            </w:r>
            <w:r w:rsidR="00F617AC" w:rsidRPr="005441C4">
              <w:t>ACCC</w:t>
            </w:r>
            <w:r>
              <w:t>’s</w:t>
            </w:r>
            <w:r w:rsidR="00F617AC" w:rsidRPr="005441C4">
              <w:t xml:space="preserve"> final decision</w:t>
            </w:r>
            <w:r w:rsidR="00F617AC">
              <w:t xml:space="preserve"> </w:t>
            </w:r>
          </w:p>
        </w:tc>
      </w:tr>
    </w:tbl>
    <w:p w:rsidR="00F617AC" w:rsidRDefault="00F617AC" w:rsidP="002307B6">
      <w:pPr>
        <w:pStyle w:val="Heading3"/>
      </w:pPr>
      <w:r>
        <w:t xml:space="preserve">The </w:t>
      </w:r>
      <w:r w:rsidRPr="000F1353">
        <w:t>parties</w:t>
      </w:r>
    </w:p>
    <w:p w:rsidR="00F617AC" w:rsidRDefault="00F617AC" w:rsidP="00162883">
      <w:pPr>
        <w:pStyle w:val="Heading4"/>
      </w:pPr>
      <w:r>
        <w:t>The acquirer: Iron Mountain Inc</w:t>
      </w:r>
      <w:r w:rsidR="0071263A">
        <w:t>orporated</w:t>
      </w:r>
    </w:p>
    <w:p w:rsidR="00F617AC" w:rsidRDefault="00D232D0" w:rsidP="00162883">
      <w:pPr>
        <w:pStyle w:val="NormalParagraph"/>
      </w:pPr>
      <w:r>
        <w:t>Iron Mountain</w:t>
      </w:r>
      <w:r w:rsidR="00F617AC">
        <w:t xml:space="preserve"> </w:t>
      </w:r>
      <w:r>
        <w:t>is a global supplier in the information management industry. It is headquartered in the United States and listed on the New York Stock Exchange. In 2014, Iron Mountain had revenues of US$3.1 billion.</w:t>
      </w:r>
    </w:p>
    <w:p w:rsidR="00F617AC" w:rsidRDefault="00D232D0" w:rsidP="00162883">
      <w:pPr>
        <w:pStyle w:val="NormalParagraph"/>
      </w:pPr>
      <w:r>
        <w:t>In Australia, Iron Mountain</w:t>
      </w:r>
      <w:r w:rsidR="00F617AC">
        <w:t xml:space="preserve"> c</w:t>
      </w:r>
      <w:r>
        <w:t xml:space="preserve">arries on business </w:t>
      </w:r>
      <w:r w:rsidR="00F617AC">
        <w:t xml:space="preserve">through its subsidiary </w:t>
      </w:r>
      <w:r>
        <w:t>Iron Mountain Australia Pty Ltd</w:t>
      </w:r>
      <w:r w:rsidR="00326F40">
        <w:t>. As a national supplier, it</w:t>
      </w:r>
      <w:r w:rsidR="002A1E7A">
        <w:t xml:space="preserve"> has a presence i</w:t>
      </w:r>
      <w:r w:rsidR="00326F40">
        <w:t>n</w:t>
      </w:r>
      <w:r w:rsidR="002A1E7A">
        <w:t xml:space="preserve"> every state and territory.</w:t>
      </w:r>
    </w:p>
    <w:p w:rsidR="00F617AC" w:rsidRDefault="00F617AC" w:rsidP="00162883">
      <w:pPr>
        <w:pStyle w:val="Heading4"/>
      </w:pPr>
      <w:r>
        <w:t xml:space="preserve">The vendor: Recall Holdings </w:t>
      </w:r>
      <w:r w:rsidR="0071263A">
        <w:t>Limited</w:t>
      </w:r>
    </w:p>
    <w:p w:rsidR="002A1E7A" w:rsidRDefault="00F617AC" w:rsidP="00162883">
      <w:pPr>
        <w:pStyle w:val="NormalParagraph"/>
      </w:pPr>
      <w:r>
        <w:t>Recall is an A</w:t>
      </w:r>
      <w:r w:rsidR="00D232D0">
        <w:t>ustralian listed public company that is a global supplier in the information management industry. In 2014, Recall had revenues of US$836 million.</w:t>
      </w:r>
    </w:p>
    <w:p w:rsidR="002A1E7A" w:rsidRDefault="002A1E7A" w:rsidP="00162883">
      <w:pPr>
        <w:pStyle w:val="NormalParagraph"/>
      </w:pPr>
      <w:r>
        <w:t xml:space="preserve">Recall </w:t>
      </w:r>
      <w:r w:rsidR="00326F40">
        <w:t xml:space="preserve">is a large national supplier, </w:t>
      </w:r>
      <w:r>
        <w:t>operat</w:t>
      </w:r>
      <w:r w:rsidR="00326F40">
        <w:t>ing</w:t>
      </w:r>
      <w:r>
        <w:t xml:space="preserve"> in every</w:t>
      </w:r>
      <w:r w:rsidR="00266D8A">
        <w:t xml:space="preserve"> Australian state and territory, except the Northern Territory.</w:t>
      </w:r>
    </w:p>
    <w:p w:rsidR="00F617AC" w:rsidRDefault="00F617AC" w:rsidP="002307B6">
      <w:pPr>
        <w:pStyle w:val="Heading3"/>
      </w:pPr>
      <w:r>
        <w:t xml:space="preserve">Other industry </w:t>
      </w:r>
      <w:r w:rsidRPr="009057A6">
        <w:t>participants</w:t>
      </w:r>
    </w:p>
    <w:p w:rsidR="00F617AC" w:rsidRDefault="00F617AC" w:rsidP="00162883">
      <w:pPr>
        <w:pStyle w:val="Heading4"/>
      </w:pPr>
      <w:r>
        <w:t xml:space="preserve">Grace Records Management </w:t>
      </w:r>
    </w:p>
    <w:p w:rsidR="001D34C1" w:rsidRDefault="00F617AC" w:rsidP="00162883">
      <w:pPr>
        <w:pStyle w:val="NormalParagraph"/>
      </w:pPr>
      <w:r>
        <w:t>Grace Records Management Pty Ltd</w:t>
      </w:r>
      <w:r w:rsidR="002A1E7A">
        <w:t xml:space="preserve"> (</w:t>
      </w:r>
      <w:r w:rsidR="002A1E7A" w:rsidRPr="002A1E7A">
        <w:rPr>
          <w:b/>
        </w:rPr>
        <w:t>Grace</w:t>
      </w:r>
      <w:r w:rsidR="002A1E7A">
        <w:t>)</w:t>
      </w:r>
      <w:r>
        <w:t xml:space="preserve"> is </w:t>
      </w:r>
      <w:r w:rsidR="003B11DD">
        <w:t xml:space="preserve">a </w:t>
      </w:r>
      <w:r w:rsidR="00326F40">
        <w:t xml:space="preserve">national </w:t>
      </w:r>
      <w:r w:rsidR="003B11DD">
        <w:t>supplier of information management services</w:t>
      </w:r>
      <w:r w:rsidR="001D34C1">
        <w:t xml:space="preserve"> in Australia</w:t>
      </w:r>
      <w:r w:rsidR="003B11DD">
        <w:t>, with operations in every state and territory. It is an Australian private company and part of the Crown Worldwide Group</w:t>
      </w:r>
      <w:r w:rsidR="001D34C1">
        <w:t xml:space="preserve"> (</w:t>
      </w:r>
      <w:r w:rsidR="001D34C1" w:rsidRPr="001D34C1">
        <w:rPr>
          <w:b/>
        </w:rPr>
        <w:t>Crown</w:t>
      </w:r>
      <w:r w:rsidR="001D34C1">
        <w:t>)</w:t>
      </w:r>
      <w:r w:rsidR="003B11DD">
        <w:t xml:space="preserve">. </w:t>
      </w:r>
      <w:r w:rsidR="001D34C1">
        <w:t>Crown is a global transportation, relocation, logistics and storage business with a presence in 60 count</w:t>
      </w:r>
      <w:r w:rsidR="00E53E6C">
        <w:t>r</w:t>
      </w:r>
      <w:r w:rsidR="001D34C1">
        <w:t>ies. Records management is one of six divisions of Crown.</w:t>
      </w:r>
    </w:p>
    <w:p w:rsidR="00F617AC" w:rsidRDefault="00F617AC" w:rsidP="00162883">
      <w:pPr>
        <w:pStyle w:val="Heading4"/>
      </w:pPr>
      <w:r>
        <w:t>The Inf</w:t>
      </w:r>
      <w:r w:rsidR="002A1E7A">
        <w:t xml:space="preserve">ormation Management Group </w:t>
      </w:r>
    </w:p>
    <w:p w:rsidR="00F617AC" w:rsidRDefault="00F617AC" w:rsidP="00162883">
      <w:pPr>
        <w:pStyle w:val="NormalParagraph"/>
      </w:pPr>
      <w:r>
        <w:t>T</w:t>
      </w:r>
      <w:r w:rsidR="001D34C1">
        <w:t xml:space="preserve">he </w:t>
      </w:r>
      <w:r>
        <w:t>I</w:t>
      </w:r>
      <w:r w:rsidR="001D34C1">
        <w:t xml:space="preserve">nformation </w:t>
      </w:r>
      <w:r>
        <w:t>M</w:t>
      </w:r>
      <w:r w:rsidR="001D34C1">
        <w:t xml:space="preserve">anagement </w:t>
      </w:r>
      <w:r>
        <w:t>G</w:t>
      </w:r>
      <w:r w:rsidR="001D34C1">
        <w:t>roup (</w:t>
      </w:r>
      <w:r w:rsidR="001D34C1" w:rsidRPr="001D34C1">
        <w:rPr>
          <w:b/>
        </w:rPr>
        <w:t>TIMG</w:t>
      </w:r>
      <w:r w:rsidR="001D34C1">
        <w:t>)</w:t>
      </w:r>
      <w:r>
        <w:t xml:space="preserve"> is a</w:t>
      </w:r>
      <w:r w:rsidR="001D34C1">
        <w:t xml:space="preserve"> supplier of information m</w:t>
      </w:r>
      <w:r w:rsidR="00C02D42">
        <w:t>anagement services in Australia that operates in every state and territory.</w:t>
      </w:r>
      <w:r w:rsidR="001D34C1">
        <w:t xml:space="preserve"> It is</w:t>
      </w:r>
      <w:r>
        <w:t xml:space="preserve"> </w:t>
      </w:r>
      <w:r w:rsidR="00E63320">
        <w:t xml:space="preserve">a </w:t>
      </w:r>
      <w:r>
        <w:t>wholly owned subsidiary of Freightways Limited, a New</w:t>
      </w:r>
      <w:r w:rsidR="00B12F8C">
        <w:t xml:space="preserve"> Zealand listed public company that provides express package and business mail services in New Zealand and information management se</w:t>
      </w:r>
      <w:r w:rsidR="00941A2D">
        <w:t>rvices across Australia and New </w:t>
      </w:r>
      <w:r w:rsidR="00B12F8C">
        <w:t>Zealand.</w:t>
      </w:r>
    </w:p>
    <w:p w:rsidR="00F617AC" w:rsidRDefault="00F617AC" w:rsidP="00162883">
      <w:pPr>
        <w:pStyle w:val="Heading4"/>
      </w:pPr>
      <w:r>
        <w:lastRenderedPageBreak/>
        <w:t>Compu-stor</w:t>
      </w:r>
    </w:p>
    <w:p w:rsidR="005638F4" w:rsidRDefault="00F617AC" w:rsidP="00162883">
      <w:pPr>
        <w:pStyle w:val="NormalParagraph"/>
      </w:pPr>
      <w:r>
        <w:t xml:space="preserve">Compu-stor is </w:t>
      </w:r>
      <w:r w:rsidR="0071263A">
        <w:t xml:space="preserve">a </w:t>
      </w:r>
      <w:r>
        <w:t xml:space="preserve">privately owned Australian </w:t>
      </w:r>
      <w:r w:rsidR="00B12F8C">
        <w:t xml:space="preserve">information management </w:t>
      </w:r>
      <w:r>
        <w:t>company.</w:t>
      </w:r>
      <w:r w:rsidR="00B12F8C">
        <w:t xml:space="preserve"> </w:t>
      </w:r>
      <w:r w:rsidR="00EA1CB3">
        <w:t>Established in 1987</w:t>
      </w:r>
      <w:r w:rsidR="00B12F8C">
        <w:t xml:space="preserve"> in Perth, it </w:t>
      </w:r>
      <w:r w:rsidR="009835CD">
        <w:t xml:space="preserve">has </w:t>
      </w:r>
      <w:r w:rsidR="00B12F8C">
        <w:t>expanded to V</w:t>
      </w:r>
      <w:r w:rsidR="009835CD">
        <w:t xml:space="preserve">ictoria </w:t>
      </w:r>
      <w:r w:rsidR="00EA1CB3">
        <w:t xml:space="preserve">(in 2007) </w:t>
      </w:r>
      <w:r w:rsidR="009835CD">
        <w:t xml:space="preserve">and </w:t>
      </w:r>
      <w:r w:rsidR="00B12F8C">
        <w:t>NSW</w:t>
      </w:r>
      <w:r w:rsidR="00EA1CB3">
        <w:t xml:space="preserve"> (in 2015)</w:t>
      </w:r>
      <w:r w:rsidR="008F6E3E">
        <w:t>.</w:t>
      </w:r>
      <w:r w:rsidR="00B12F8C">
        <w:t xml:space="preserve"> </w:t>
      </w:r>
    </w:p>
    <w:p w:rsidR="005638F4" w:rsidRDefault="005638F4" w:rsidP="003D27E9">
      <w:pPr>
        <w:pStyle w:val="Heading4"/>
      </w:pPr>
      <w:r>
        <w:t>Archivewise</w:t>
      </w:r>
    </w:p>
    <w:p w:rsidR="00F617AC" w:rsidRDefault="005638F4" w:rsidP="00162883">
      <w:pPr>
        <w:pStyle w:val="Numbered"/>
      </w:pPr>
      <w:r>
        <w:t>Archivewise is a privately owned Australian information management company based and operating in Perth.</w:t>
      </w:r>
    </w:p>
    <w:p w:rsidR="00896AFC" w:rsidRDefault="00896AFC" w:rsidP="00162883">
      <w:pPr>
        <w:pStyle w:val="Heading4"/>
      </w:pPr>
      <w:r>
        <w:t>Other providers</w:t>
      </w:r>
    </w:p>
    <w:p w:rsidR="000E5C21" w:rsidRDefault="003E22CB" w:rsidP="00162883">
      <w:pPr>
        <w:pStyle w:val="NormalParagraph"/>
      </w:pPr>
      <w:r>
        <w:t>T</w:t>
      </w:r>
      <w:r w:rsidR="000E5C21">
        <w:t xml:space="preserve">hree other </w:t>
      </w:r>
      <w:r w:rsidR="00E63320">
        <w:t xml:space="preserve">non-national </w:t>
      </w:r>
      <w:r w:rsidR="000E5C21">
        <w:t>PDMS providers operate in more than one state: Advance Record Management, Fileman and Save My Records. Advance Record Management has</w:t>
      </w:r>
      <w:r>
        <w:t xml:space="preserve"> operations in NSW, Queensland, South Australia, Tasmania and Victoria. Both Fileman and Save My Records operate in NSW, Queensland and Victoria. </w:t>
      </w:r>
    </w:p>
    <w:p w:rsidR="00896AFC" w:rsidRDefault="003E22CB" w:rsidP="00162883">
      <w:pPr>
        <w:pStyle w:val="NormalParagraph"/>
      </w:pPr>
      <w:r>
        <w:t>There are a</w:t>
      </w:r>
      <w:r w:rsidR="00896AFC">
        <w:t xml:space="preserve"> number of smal</w:t>
      </w:r>
      <w:r>
        <w:t>l to</w:t>
      </w:r>
      <w:r w:rsidR="00896AFC">
        <w:t xml:space="preserve"> medium-sized </w:t>
      </w:r>
      <w:r>
        <w:t xml:space="preserve">PDMS </w:t>
      </w:r>
      <w:r w:rsidR="00896AFC">
        <w:t>providers</w:t>
      </w:r>
      <w:r>
        <w:t xml:space="preserve"> that are</w:t>
      </w:r>
      <w:r w:rsidR="00896AFC">
        <w:t xml:space="preserve"> based in </w:t>
      </w:r>
      <w:r>
        <w:t xml:space="preserve">major city centres. </w:t>
      </w:r>
      <w:r w:rsidR="00C728D3">
        <w:t>Most of these providers operate within one region only.</w:t>
      </w:r>
      <w:r w:rsidR="00C728D3" w:rsidRPr="00D53256">
        <w:t xml:space="preserve"> </w:t>
      </w:r>
      <w:r w:rsidR="004B23A1">
        <w:t xml:space="preserve">These </w:t>
      </w:r>
      <w:r w:rsidR="00941A2D">
        <w:t xml:space="preserve">providers </w:t>
      </w:r>
      <w:r w:rsidR="004B23A1">
        <w:t xml:space="preserve">include Document Management Solutions (Sydney), </w:t>
      </w:r>
      <w:r w:rsidR="005638F4">
        <w:t xml:space="preserve">CTI Records Management </w:t>
      </w:r>
      <w:r w:rsidR="004B23A1">
        <w:t xml:space="preserve">(Perth), </w:t>
      </w:r>
      <w:r w:rsidR="00C54929">
        <w:t>RecDoc (Melbourne) and M.S.S</w:t>
      </w:r>
      <w:r w:rsidR="000B341A">
        <w:t>.</w:t>
      </w:r>
      <w:r w:rsidR="00C54929">
        <w:t xml:space="preserve"> Records Management Services (Canberra).</w:t>
      </w:r>
    </w:p>
    <w:p w:rsidR="0025180F" w:rsidRDefault="0025180F" w:rsidP="0025180F">
      <w:pPr>
        <w:pStyle w:val="Heading3"/>
      </w:pPr>
      <w:r>
        <w:t>The proposed acquisition</w:t>
      </w:r>
    </w:p>
    <w:p w:rsidR="0025180F" w:rsidRDefault="0025180F" w:rsidP="00162883">
      <w:pPr>
        <w:pStyle w:val="NormalParagraph"/>
      </w:pPr>
      <w:r>
        <w:t xml:space="preserve">Iron Mountain proposes to acquire Recall by </w:t>
      </w:r>
      <w:r w:rsidR="00C54929">
        <w:t xml:space="preserve">a </w:t>
      </w:r>
      <w:r w:rsidR="006E56CC">
        <w:t>s</w:t>
      </w:r>
      <w:r>
        <w:t xml:space="preserve">cheme of </w:t>
      </w:r>
      <w:r w:rsidR="006E56CC">
        <w:t>a</w:t>
      </w:r>
      <w:r>
        <w:t>rrangement.</w:t>
      </w:r>
      <w:r w:rsidR="00C54929">
        <w:t xml:space="preserve"> </w:t>
      </w:r>
      <w:r w:rsidR="005F6214">
        <w:t>Under the proposed transaction, Iron Mountain will acquire</w:t>
      </w:r>
      <w:r w:rsidR="00EF2410">
        <w:t xml:space="preserve"> all of</w:t>
      </w:r>
      <w:r w:rsidR="005F6214">
        <w:t xml:space="preserve"> Recall’s </w:t>
      </w:r>
      <w:r w:rsidR="00EF2410">
        <w:t xml:space="preserve">operations, including in </w:t>
      </w:r>
      <w:r w:rsidR="006D7FBB">
        <w:t xml:space="preserve">Australia, </w:t>
      </w:r>
      <w:r w:rsidR="00EF2410">
        <w:t>North America, South America, Europe and the As</w:t>
      </w:r>
      <w:r w:rsidR="000A3A82">
        <w:t>i</w:t>
      </w:r>
      <w:r w:rsidR="00EF2410">
        <w:t>a-Pacific.</w:t>
      </w:r>
    </w:p>
    <w:p w:rsidR="005314BE" w:rsidRDefault="00004141" w:rsidP="00162883">
      <w:pPr>
        <w:pStyle w:val="NormalParagraph"/>
      </w:pPr>
      <w:r>
        <w:t xml:space="preserve">The proposed acquisition is </w:t>
      </w:r>
      <w:r w:rsidR="006D7FBB">
        <w:t xml:space="preserve">also </w:t>
      </w:r>
      <w:r>
        <w:t>being considered by competition authorities in the United States, United Kingdom and Canada.</w:t>
      </w:r>
    </w:p>
    <w:p w:rsidR="009E077E" w:rsidRDefault="00346285" w:rsidP="002307B6">
      <w:pPr>
        <w:pStyle w:val="Heading3"/>
      </w:pPr>
      <w:r>
        <w:t>I</w:t>
      </w:r>
      <w:r w:rsidR="009E077E">
        <w:t>ndustry</w:t>
      </w:r>
      <w:r>
        <w:t xml:space="preserve"> background</w:t>
      </w:r>
    </w:p>
    <w:p w:rsidR="00C32538" w:rsidRPr="00133AFC" w:rsidRDefault="00C32538" w:rsidP="00162883">
      <w:pPr>
        <w:pStyle w:val="Numbered"/>
        <w:rPr>
          <w:lang w:eastAsia="en-AU"/>
        </w:rPr>
      </w:pPr>
      <w:r w:rsidRPr="00133AFC">
        <w:rPr>
          <w:lang w:eastAsia="en-AU"/>
        </w:rPr>
        <w:t xml:space="preserve">The information management industry in Australia provides services relating to the storage, protection, retrieval and disposal of physical (paper) </w:t>
      </w:r>
      <w:r w:rsidRPr="00133AFC">
        <w:t>and</w:t>
      </w:r>
      <w:r w:rsidRPr="00133AFC">
        <w:rPr>
          <w:lang w:eastAsia="en-AU"/>
        </w:rPr>
        <w:t xml:space="preserve"> digital records.</w:t>
      </w:r>
    </w:p>
    <w:p w:rsidR="00C32538" w:rsidRPr="00C32538" w:rsidRDefault="00C32538" w:rsidP="00162883">
      <w:pPr>
        <w:pStyle w:val="Numbered"/>
      </w:pPr>
      <w:bookmarkStart w:id="1" w:name="_Ref434410163"/>
      <w:r w:rsidRPr="00C32538">
        <w:t>Information management services include four lines of business:</w:t>
      </w:r>
      <w:bookmarkEnd w:id="1"/>
    </w:p>
    <w:p w:rsidR="00C32538" w:rsidRPr="00C32538" w:rsidRDefault="00C32538" w:rsidP="00162883">
      <w:pPr>
        <w:pStyle w:val="Numbered"/>
        <w:numPr>
          <w:ilvl w:val="0"/>
          <w:numId w:val="10"/>
        </w:numPr>
      </w:pPr>
      <w:r w:rsidRPr="00C32538">
        <w:t>Physical document management services – the storage and retrieval of physical documents for archiving or destruction.</w:t>
      </w:r>
    </w:p>
    <w:p w:rsidR="00C32538" w:rsidRPr="00C32538" w:rsidRDefault="00C32538" w:rsidP="00162883">
      <w:pPr>
        <w:pStyle w:val="Numbered"/>
        <w:numPr>
          <w:ilvl w:val="0"/>
          <w:numId w:val="10"/>
        </w:numPr>
      </w:pPr>
      <w:r w:rsidRPr="00C32538">
        <w:t>Digital document management services – scanning and electronically storing large numbers of physical records for easier retrieval, archiving or as part of a business process such as mail room.</w:t>
      </w:r>
    </w:p>
    <w:p w:rsidR="00C32538" w:rsidRPr="00C32538" w:rsidRDefault="00C32538" w:rsidP="00162883">
      <w:pPr>
        <w:pStyle w:val="Numbered"/>
        <w:numPr>
          <w:ilvl w:val="0"/>
          <w:numId w:val="10"/>
        </w:numPr>
      </w:pPr>
      <w:r w:rsidRPr="00C32538">
        <w:t>Data protection services – the storage of backup or archival data on tapes, disk and/or cloud mediums.</w:t>
      </w:r>
    </w:p>
    <w:p w:rsidR="00C32538" w:rsidRDefault="00C32538" w:rsidP="00162883">
      <w:pPr>
        <w:pStyle w:val="Numbered"/>
        <w:numPr>
          <w:ilvl w:val="0"/>
          <w:numId w:val="10"/>
        </w:numPr>
      </w:pPr>
      <w:r w:rsidRPr="00C32538">
        <w:t>Secure destruction services – collecting, shredding and disposing of hard copy documents securely.</w:t>
      </w:r>
    </w:p>
    <w:p w:rsidR="00677BE5" w:rsidRPr="00C32538" w:rsidRDefault="00677BE5" w:rsidP="00162883">
      <w:pPr>
        <w:pStyle w:val="Numbered"/>
      </w:pPr>
      <w:r>
        <w:t>This Statement of Issu</w:t>
      </w:r>
      <w:r w:rsidR="00EF2410">
        <w:t>es focuses on PDMS, because this</w:t>
      </w:r>
      <w:r>
        <w:t xml:space="preserve"> is the main area of overlap between the </w:t>
      </w:r>
      <w:r w:rsidR="00EF2410">
        <w:t xml:space="preserve">merger </w:t>
      </w:r>
      <w:r>
        <w:t>parties</w:t>
      </w:r>
      <w:r w:rsidR="00EF2410">
        <w:t xml:space="preserve"> that raises competition concerns</w:t>
      </w:r>
      <w:r>
        <w:t xml:space="preserve"> (as discussed at paragraph </w:t>
      </w:r>
      <w:r>
        <w:fldChar w:fldCharType="begin"/>
      </w:r>
      <w:r>
        <w:instrText xml:space="preserve"> REF _Ref433363718 \r \p \h </w:instrText>
      </w:r>
      <w:r>
        <w:fldChar w:fldCharType="separate"/>
      </w:r>
      <w:r w:rsidR="000857DF">
        <w:t>43 below</w:t>
      </w:r>
      <w:r>
        <w:fldChar w:fldCharType="end"/>
      </w:r>
      <w:r w:rsidR="00EF2410">
        <w:t>).</w:t>
      </w:r>
    </w:p>
    <w:p w:rsidR="00463B15" w:rsidRDefault="00463B15" w:rsidP="00162883">
      <w:pPr>
        <w:pStyle w:val="Heading4"/>
      </w:pPr>
      <w:r>
        <w:lastRenderedPageBreak/>
        <w:t>Physical document management services</w:t>
      </w:r>
    </w:p>
    <w:p w:rsidR="00F01C7B" w:rsidRDefault="00F01C7B" w:rsidP="00162883">
      <w:pPr>
        <w:pStyle w:val="Heading5"/>
        <w:keepNext/>
      </w:pPr>
      <w:r>
        <w:t>Overview of PDMS</w:t>
      </w:r>
    </w:p>
    <w:p w:rsidR="006C5131" w:rsidRDefault="00FD761E" w:rsidP="00162883">
      <w:pPr>
        <w:pStyle w:val="Numbered"/>
      </w:pPr>
      <w:r>
        <w:t>Broadly, t</w:t>
      </w:r>
      <w:r w:rsidR="00EF2410">
        <w:t xml:space="preserve">he supply of PDMS </w:t>
      </w:r>
      <w:r w:rsidR="001E5BF4">
        <w:t>encompasses</w:t>
      </w:r>
      <w:r w:rsidR="00EF2410">
        <w:t xml:space="preserve"> the storage of boxes or files and </w:t>
      </w:r>
      <w:r w:rsidR="001E5BF4">
        <w:t xml:space="preserve">the </w:t>
      </w:r>
      <w:r w:rsidR="00EF2410">
        <w:t>activities associated with the stored boxes</w:t>
      </w:r>
      <w:r w:rsidR="001E5BF4">
        <w:t xml:space="preserve"> or files.</w:t>
      </w:r>
      <w:r w:rsidR="00EF2410">
        <w:t xml:space="preserve"> </w:t>
      </w:r>
      <w:r w:rsidR="007547B0">
        <w:t xml:space="preserve">The processes </w:t>
      </w:r>
      <w:r w:rsidR="00AD0165">
        <w:t>involved in PDMS</w:t>
      </w:r>
      <w:r w:rsidR="007547B0">
        <w:t xml:space="preserve"> are i</w:t>
      </w:r>
      <w:r w:rsidR="005811A9">
        <w:t>llustrated in the figure below.</w:t>
      </w:r>
    </w:p>
    <w:p w:rsidR="006C5131" w:rsidRDefault="000857DF" w:rsidP="006C5131">
      <w:pPr>
        <w:spacing w:after="120"/>
        <w:ind w:left="567"/>
        <w:rPr>
          <w:rFonts w:ascii="Arial" w:hAnsi="Arial" w:cs="Arial"/>
          <w:b/>
          <w:sz w:val="22"/>
          <w:szCs w:val="22"/>
        </w:rPr>
      </w:pPr>
      <w:r>
        <w:rPr>
          <w:noProof/>
        </w:rPr>
        <w:pict>
          <v:group id="Group 12" o:spid="_x0000_s1056" style="position:absolute;left:0;text-align:left;margin-left:0;margin-top:24.5pt;width:468pt;height:126pt;z-index:-251657216" coordsize="59436,16002" wrapcoords="-35 -129 -35 21600 4604 21600 21635 21600 21635 -129 4050 -129 -35 -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">
            <v:shapetype id="_x0000_t202" coordsize="21600,21600" o:spt="202" path="m,l,21600r21600,l21600,xe">
              <v:stroke joinstyle="miter"/>
              <v:path gradientshapeok="t" o:connecttype="rect"/>
            </v:shapetype>
            <v:shape id="Text Box 2" o:spid="_x0000_s1057" type="#_x0000_t202" style="position:absolute;width:10953;height:159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Ks8UA&#10;AADcAAAADwAAAGRycy9kb3ducmV2LnhtbESPT2sCMRTE74V+h/CEXopmW0XtdqNIQdFba0Wvj83b&#10;P7h5WZN03X77RhB6HGbmN0y27E0jOnK+tqzgZZSAIM6trrlUcPheD+cgfEDW2FgmBb/kYbl4fMgw&#10;1fbKX9TtQykihH2KCqoQ2lRKn1dk0I9sSxy9wjqDIUpXSu3wGuGmka9JMpUGa44LFbb0UVF+3v8Y&#10;BfPJtjv53fjzmE+L5i08z7rNxSn1NOhX7yAC9eE/fG9vtYJxMoPbmXgE5O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cqzxQAAANwAAAAPAAAAAAAAAAAAAAAAAJgCAABkcnMv&#10;ZG93bnJldi54bWxQSwUGAAAAAAQABAD1AAAAigMAAAAA&#10;">
              <v:textbox style="mso-next-textbox:#Text Box 2">
                <w:txbxContent>
                  <w:p w:rsidR="00B3340F" w:rsidRPr="00DC58C7" w:rsidRDefault="00B3340F" w:rsidP="007547B0">
                    <w:pPr>
                      <w:jc w:val="center"/>
                      <w:rPr>
                        <w:rFonts w:ascii="Arial" w:hAnsi="Arial" w:cs="Arial"/>
                        <w:b/>
                        <w:sz w:val="20"/>
                        <w:szCs w:val="20"/>
                      </w:rPr>
                    </w:pPr>
                    <w:r w:rsidRPr="00DC58C7">
                      <w:rPr>
                        <w:rFonts w:ascii="Arial" w:hAnsi="Arial" w:cs="Arial"/>
                        <w:b/>
                        <w:sz w:val="20"/>
                        <w:szCs w:val="20"/>
                      </w:rPr>
                      <w:t>Pick-up &amp; Transport</w:t>
                    </w:r>
                    <w:r>
                      <w:rPr>
                        <w:rFonts w:ascii="Arial" w:hAnsi="Arial" w:cs="Arial"/>
                        <w:b/>
                        <w:sz w:val="20"/>
                        <w:szCs w:val="20"/>
                      </w:rPr>
                      <w:br/>
                    </w:r>
                  </w:p>
                  <w:p w:rsidR="00B3340F" w:rsidRPr="00DC58C7" w:rsidRDefault="00B3340F" w:rsidP="007547B0">
                    <w:pPr>
                      <w:jc w:val="center"/>
                      <w:rPr>
                        <w:rFonts w:ascii="Arial" w:hAnsi="Arial" w:cs="Arial"/>
                        <w:b/>
                        <w:sz w:val="20"/>
                        <w:szCs w:val="20"/>
                      </w:rPr>
                    </w:pPr>
                    <w:r w:rsidRPr="00DC58C7">
                      <w:rPr>
                        <w:rFonts w:ascii="Arial" w:hAnsi="Arial" w:cs="Arial"/>
                        <w:sz w:val="20"/>
                        <w:szCs w:val="20"/>
                      </w:rPr>
                      <w:t>Pick-up of customer’s records and transporting to storage facility</w:t>
                    </w:r>
                    <w:r w:rsidRPr="00DC58C7">
                      <w:rPr>
                        <w:rFonts w:ascii="Arial" w:hAnsi="Arial" w:cs="Arial"/>
                        <w:b/>
                        <w:sz w:val="20"/>
                        <w:szCs w:val="20"/>
                      </w:rPr>
                      <w:br/>
                    </w:r>
                    <w:r w:rsidRPr="00DC58C7">
                      <w:rPr>
                        <w:rFonts w:ascii="Arial" w:hAnsi="Arial" w:cs="Arial"/>
                        <w:b/>
                        <w:sz w:val="20"/>
                        <w:szCs w:val="20"/>
                      </w:rPr>
                      <w:br/>
                    </w:r>
                  </w:p>
                  <w:p w:rsidR="00B3340F" w:rsidRPr="00431FC8" w:rsidRDefault="00B3340F" w:rsidP="007547B0">
                    <w:pPr>
                      <w:rPr>
                        <w:b/>
                      </w:rPr>
                    </w:pPr>
                  </w:p>
                </w:txbxContent>
              </v:textbox>
            </v:shape>
            <v:shape id="Text Box 2" o:spid="_x0000_s1058" type="#_x0000_t202" style="position:absolute;left:12954;top:95;width:10477;height:159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y4acEA&#10;AADaAAAADwAAAGRycy9kb3ducmV2LnhtbERPS2sCMRC+C/0PYQpexM22FWu3RpGCojdrpb0Om9kH&#10;3UzWJK7bf28Eoafh43vOfNmbRnTkfG1ZwVOSgiDOra65VHD8Wo9nIHxA1thYJgV/5GG5eBjMMdP2&#10;wp/UHUIpYgj7DBVUIbSZlD6vyKBPbEscucI6gyFCV0rt8BLDTSOf03QqDdYcGyps6aOi/PdwNgpm&#10;k23343cv++98WjRvYfTabU5OqeFjv3oHEagP/+K7e6vjfLi9crtyc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b8uGnBAAAA2gAAAA8AAAAAAAAAAAAAAAAAmAIAAGRycy9kb3du&#10;cmV2LnhtbFBLBQYAAAAABAAEAPUAAACGAwAAAAA=&#10;">
              <v:textbox>
                <w:txbxContent>
                  <w:p w:rsidR="00B3340F" w:rsidRPr="00431FC8" w:rsidRDefault="00B3340F" w:rsidP="007547B0">
                    <w:pPr>
                      <w:jc w:val="center"/>
                      <w:rPr>
                        <w:rFonts w:ascii="Arial" w:hAnsi="Arial" w:cs="Arial"/>
                        <w:b/>
                      </w:rPr>
                    </w:pPr>
                    <w:r w:rsidRPr="00DC58C7">
                      <w:rPr>
                        <w:rFonts w:ascii="Arial" w:hAnsi="Arial" w:cs="Arial"/>
                        <w:b/>
                        <w:sz w:val="20"/>
                        <w:szCs w:val="20"/>
                      </w:rPr>
                      <w:t>Cataloguing</w:t>
                    </w:r>
                    <w:r>
                      <w:rPr>
                        <w:rFonts w:ascii="Arial" w:hAnsi="Arial" w:cs="Arial"/>
                        <w:b/>
                      </w:rPr>
                      <w:br/>
                    </w:r>
                    <w:r>
                      <w:rPr>
                        <w:rFonts w:ascii="Arial" w:hAnsi="Arial" w:cs="Arial"/>
                      </w:rPr>
                      <w:br/>
                    </w:r>
                    <w:r w:rsidRPr="00DC58C7">
                      <w:rPr>
                        <w:rFonts w:ascii="Arial" w:hAnsi="Arial" w:cs="Arial"/>
                        <w:sz w:val="20"/>
                        <w:szCs w:val="20"/>
                      </w:rPr>
                      <w:t xml:space="preserve">Cataloguing records into </w:t>
                    </w:r>
                    <w:r>
                      <w:rPr>
                        <w:rFonts w:ascii="Arial" w:hAnsi="Arial" w:cs="Arial"/>
                        <w:sz w:val="20"/>
                        <w:szCs w:val="20"/>
                      </w:rPr>
                      <w:t xml:space="preserve">an </w:t>
                    </w:r>
                    <w:r w:rsidRPr="00DC58C7">
                      <w:rPr>
                        <w:rFonts w:ascii="Arial" w:hAnsi="Arial" w:cs="Arial"/>
                        <w:sz w:val="20"/>
                        <w:szCs w:val="20"/>
                      </w:rPr>
                      <w:t>electronic document management system</w:t>
                    </w:r>
                    <w:r>
                      <w:rPr>
                        <w:rFonts w:ascii="Arial" w:hAnsi="Arial" w:cs="Arial"/>
                      </w:rPr>
                      <w:t xml:space="preserve"> </w:t>
                    </w:r>
                    <w:r>
                      <w:rPr>
                        <w:rFonts w:ascii="Arial" w:hAnsi="Arial" w:cs="Arial"/>
                        <w:b/>
                      </w:rPr>
                      <w:br/>
                    </w:r>
                    <w:r w:rsidRPr="00431FC8">
                      <w:rPr>
                        <w:rFonts w:ascii="Arial" w:hAnsi="Arial" w:cs="Arial"/>
                        <w:b/>
                      </w:rPr>
                      <w:br/>
                    </w:r>
                  </w:p>
                  <w:p w:rsidR="00B3340F" w:rsidRPr="00431FC8" w:rsidRDefault="00B3340F" w:rsidP="007547B0">
                    <w:pPr>
                      <w:rPr>
                        <w:b/>
                      </w:rPr>
                    </w:pPr>
                  </w:p>
                </w:txbxContent>
              </v:textbox>
            </v:shape>
            <v:shape id="Text Box 2" o:spid="_x0000_s1059" type="#_x0000_t202" style="position:absolute;left:25527;top:95;width:9144;height:159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4mHsQA&#10;AADaAAAADwAAAGRycy9kb3ducmV2LnhtbESPT2sCMRTE70K/Q3gFL+Jma0Xt1igitNibVdHrY/P2&#10;D928rEm6br99UxB6HGbmN8xy3ZtGdOR8bVnBU5KCIM6trrlUcDq+jRcgfEDW2FgmBT/kYb16GCwx&#10;0/bGn9QdQikihH2GCqoQ2kxKn1dk0Ce2JY5eYZ3BEKUrpXZ4i3DTyEmazqTBmuNChS1tK8q/Dt9G&#10;wWK66y7+43l/zmdF8xJG8+796pQaPvabVxCB+vAfvrd3WsEE/q7EGyB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YuJh7EAAAA2gAAAA8AAAAAAAAAAAAAAAAAmAIAAGRycy9k&#10;b3ducmV2LnhtbFBLBQYAAAAABAAEAPUAAACJAwAAAAA=&#10;">
              <v:textbox>
                <w:txbxContent>
                  <w:p w:rsidR="00B3340F" w:rsidRPr="00431FC8" w:rsidRDefault="00B3340F" w:rsidP="007547B0">
                    <w:pPr>
                      <w:jc w:val="center"/>
                      <w:rPr>
                        <w:rFonts w:ascii="Arial" w:hAnsi="Arial" w:cs="Arial"/>
                        <w:b/>
                      </w:rPr>
                    </w:pPr>
                    <w:r w:rsidRPr="00DC58C7">
                      <w:rPr>
                        <w:rFonts w:ascii="Arial" w:hAnsi="Arial" w:cs="Arial"/>
                        <w:b/>
                        <w:sz w:val="20"/>
                        <w:szCs w:val="20"/>
                      </w:rPr>
                      <w:t>Storage</w:t>
                    </w:r>
                    <w:r>
                      <w:rPr>
                        <w:rFonts w:ascii="Arial" w:hAnsi="Arial" w:cs="Arial"/>
                        <w:b/>
                      </w:rPr>
                      <w:br/>
                    </w:r>
                    <w:r>
                      <w:rPr>
                        <w:rFonts w:ascii="Arial" w:hAnsi="Arial" w:cs="Arial"/>
                      </w:rPr>
                      <w:br/>
                    </w:r>
                    <w:r w:rsidRPr="00DC58C7">
                      <w:rPr>
                        <w:rFonts w:ascii="Arial" w:hAnsi="Arial" w:cs="Arial"/>
                        <w:sz w:val="20"/>
                        <w:szCs w:val="20"/>
                      </w:rPr>
                      <w:t>Securely storing records in provider’s storage facility</w:t>
                    </w:r>
                    <w:r>
                      <w:rPr>
                        <w:rFonts w:ascii="Arial" w:hAnsi="Arial" w:cs="Arial"/>
                        <w:b/>
                      </w:rPr>
                      <w:br/>
                    </w:r>
                    <w:r w:rsidRPr="00431FC8">
                      <w:rPr>
                        <w:rFonts w:ascii="Arial" w:hAnsi="Arial" w:cs="Arial"/>
                        <w:b/>
                      </w:rPr>
                      <w:br/>
                    </w:r>
                  </w:p>
                  <w:p w:rsidR="00B3340F" w:rsidRPr="00431FC8" w:rsidRDefault="00B3340F" w:rsidP="007547B0">
                    <w:pPr>
                      <w:rPr>
                        <w:b/>
                      </w:rPr>
                    </w:pPr>
                  </w:p>
                </w:txbxContent>
              </v:textbox>
            </v:shape>
            <v:shape id="Text Box 3" o:spid="_x0000_s1060" type="#_x0000_t202" style="position:absolute;left:36766;top:95;width:12287;height:159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KDhcQA&#10;AADaAAAADwAAAGRycy9kb3ducmV2LnhtbESPT2sCMRTE74V+h/AKvRQ3WxW1W6OI0GJvVkWvj83b&#10;P3Tzsibpun57UxB6HGbmN8x82ZtGdOR8bVnBa5KCIM6trrlUcNh/DGYgfEDW2FgmBVfysFw8Pswx&#10;0/bC39TtQikihH2GCqoQ2kxKn1dk0Ce2JY5eYZ3BEKUrpXZ4iXDTyGGaTqTBmuNChS2tK8p/dr9G&#10;wWy86U7+a7Q95pOieQsv0+7z7JR6fupX7yAC9eE/fG9vtIIR/F2JN0A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ig4XEAAAA2gAAAA8AAAAAAAAAAAAAAAAAmAIAAGRycy9k&#10;b3ducmV2LnhtbFBLBQYAAAAABAAEAPUAAACJAwAAAAA=&#10;">
              <v:textbox style="mso-next-textbox:#Text Box 3">
                <w:txbxContent>
                  <w:p w:rsidR="00B3340F" w:rsidRPr="00431FC8" w:rsidRDefault="00B3340F" w:rsidP="007547B0">
                    <w:pPr>
                      <w:jc w:val="center"/>
                      <w:rPr>
                        <w:rFonts w:ascii="Arial" w:hAnsi="Arial" w:cs="Arial"/>
                        <w:b/>
                      </w:rPr>
                    </w:pPr>
                    <w:r w:rsidRPr="00DC58C7">
                      <w:rPr>
                        <w:rFonts w:ascii="Arial" w:hAnsi="Arial" w:cs="Arial"/>
                        <w:b/>
                        <w:sz w:val="20"/>
                        <w:szCs w:val="20"/>
                      </w:rPr>
                      <w:t>Retrieval</w:t>
                    </w:r>
                    <w:r>
                      <w:rPr>
                        <w:rFonts w:ascii="Arial" w:hAnsi="Arial" w:cs="Arial"/>
                        <w:b/>
                      </w:rPr>
                      <w:br/>
                    </w:r>
                    <w:r>
                      <w:rPr>
                        <w:rFonts w:ascii="Arial" w:hAnsi="Arial" w:cs="Arial"/>
                      </w:rPr>
                      <w:br/>
                    </w:r>
                    <w:r w:rsidRPr="00DC58C7">
                      <w:rPr>
                        <w:rFonts w:ascii="Arial" w:hAnsi="Arial" w:cs="Arial"/>
                        <w:sz w:val="20"/>
                        <w:szCs w:val="20"/>
                      </w:rPr>
                      <w:t>Retrieving records</w:t>
                    </w:r>
                    <w:r>
                      <w:rPr>
                        <w:rFonts w:ascii="Arial" w:hAnsi="Arial" w:cs="Arial"/>
                        <w:sz w:val="20"/>
                        <w:szCs w:val="20"/>
                      </w:rPr>
                      <w:t xml:space="preserve"> (sometimes permanently)</w:t>
                    </w:r>
                    <w:r w:rsidRPr="00DC58C7">
                      <w:rPr>
                        <w:rFonts w:ascii="Arial" w:hAnsi="Arial" w:cs="Arial"/>
                        <w:sz w:val="20"/>
                        <w:szCs w:val="20"/>
                      </w:rPr>
                      <w:t xml:space="preserve"> and delivering to customer</w:t>
                    </w:r>
                    <w:r>
                      <w:rPr>
                        <w:rFonts w:ascii="Arial" w:hAnsi="Arial" w:cs="Arial"/>
                        <w:b/>
                      </w:rPr>
                      <w:br/>
                    </w:r>
                    <w:r w:rsidRPr="00431FC8">
                      <w:rPr>
                        <w:rFonts w:ascii="Arial" w:hAnsi="Arial" w:cs="Arial"/>
                        <w:b/>
                      </w:rPr>
                      <w:br/>
                    </w:r>
                  </w:p>
                  <w:p w:rsidR="00B3340F" w:rsidRPr="00431FC8" w:rsidRDefault="00B3340F" w:rsidP="007547B0">
                    <w:pPr>
                      <w:rPr>
                        <w:b/>
                      </w:rPr>
                    </w:pPr>
                  </w:p>
                </w:txbxContent>
              </v:textbox>
            </v:shape>
            <v:shape id="Text Box 4" o:spid="_x0000_s1061" type="#_x0000_t202" style="position:absolute;left:51149;top:95;width:8287;height:15907;visibility:visible;mso-wrap-style:square;v-text-anchor:top">
              <v:textbox style="mso-next-textbox:#Text Box 4" inset="1.5mm,,1mm">
                <w:txbxContent>
                  <w:p w:rsidR="00B3340F" w:rsidRPr="00431FC8" w:rsidRDefault="00B3340F" w:rsidP="007547B0">
                    <w:pPr>
                      <w:jc w:val="center"/>
                      <w:rPr>
                        <w:rFonts w:ascii="Arial" w:hAnsi="Arial" w:cs="Arial"/>
                        <w:b/>
                      </w:rPr>
                    </w:pPr>
                    <w:r w:rsidRPr="00DC58C7">
                      <w:rPr>
                        <w:rFonts w:ascii="Arial" w:hAnsi="Arial" w:cs="Arial"/>
                        <w:b/>
                        <w:sz w:val="20"/>
                        <w:szCs w:val="20"/>
                      </w:rPr>
                      <w:t>Destruction</w:t>
                    </w:r>
                    <w:r>
                      <w:rPr>
                        <w:rFonts w:ascii="Arial" w:hAnsi="Arial" w:cs="Arial"/>
                        <w:b/>
                      </w:rPr>
                      <w:br/>
                    </w:r>
                    <w:r>
                      <w:rPr>
                        <w:rFonts w:ascii="Arial" w:hAnsi="Arial" w:cs="Arial"/>
                      </w:rPr>
                      <w:br/>
                    </w:r>
                    <w:r w:rsidRPr="00DC58C7">
                      <w:rPr>
                        <w:rFonts w:ascii="Arial" w:hAnsi="Arial" w:cs="Arial"/>
                        <w:sz w:val="20"/>
                        <w:szCs w:val="20"/>
                      </w:rPr>
                      <w:t>Securely destroying records at end of life</w:t>
                    </w:r>
                    <w:r>
                      <w:rPr>
                        <w:rFonts w:ascii="Arial" w:hAnsi="Arial" w:cs="Arial"/>
                        <w:b/>
                      </w:rPr>
                      <w:br/>
                    </w:r>
                    <w:r w:rsidRPr="00431FC8">
                      <w:rPr>
                        <w:rFonts w:ascii="Arial" w:hAnsi="Arial" w:cs="Arial"/>
                        <w:b/>
                      </w:rPr>
                      <w:br/>
                    </w:r>
                  </w:p>
                  <w:p w:rsidR="00B3340F" w:rsidRPr="00431FC8" w:rsidRDefault="00B3340F" w:rsidP="007547B0">
                    <w:pPr>
                      <w:rPr>
                        <w:b/>
                      </w:rPr>
                    </w:pPr>
                  </w:p>
                </w:txbxContent>
              </v:textbox>
            </v:shape>
            <v:shapetype id="_x0000_t32" coordsize="21600,21600" o:spt="32" o:oned="t" path="m,l21600,21600e" filled="f">
              <v:path arrowok="t" fillok="f" o:connecttype="none"/>
              <o:lock v:ext="edit" shapetype="t"/>
            </v:shapetype>
            <v:shape id="Straight Arrow Connector 7" o:spid="_x0000_s1062" type="#_x0000_t32" style="position:absolute;left:11049;top:2000;width:180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sJyh8IAAADaAAAADwAAAGRycy9kb3ducmV2LnhtbESPQWvCQBSE74X+h+UJXkrdGKlKdJUi&#10;VIWe1ILXR/YlG8y+DdltjP/eFQSPw8x8wyzXva1FR62vHCsYjxIQxLnTFZcK/k4/n3MQPiBrrB2T&#10;ght5WK/e35aYaXflA3XHUIoIYZ+hAhNCk0npc0MW/cg1xNErXGsxRNmWUrd4jXBbyzRJptJixXHB&#10;YEMbQ/nl+G8VFKmm8cflbHazLyw2v5O06+qtUsNB/70AEagPr/CzvdcKZvC4Em+AXN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sJyh8IAAADaAAAADwAAAAAAAAAAAAAA&#10;AAChAgAAZHJzL2Rvd25yZXYueG1sUEsFBgAAAAAEAAQA+QAAAJADAAAAAA==&#10;">
              <v:stroke endarrow="open"/>
            </v:shape>
            <v:shape id="Straight Arrow Connector 8" o:spid="_x0000_s1063" type="#_x0000_t32" style="position:absolute;left:23622;top:1809;width:180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13m9b8AAADaAAAADwAAAGRycy9kb3ducmV2LnhtbERPy4rCMBTdD/gP4QqzGTS1w6hUo4gw&#10;KszKB7i9NLdNsbkpTaz1781iwOXhvJfr3taio9ZXjhVMxgkI4tzpiksFl/PvaA7CB2SNtWNS8CQP&#10;69XgY4mZdg8+UncKpYgh7DNUYEJoMil9bsiiH7uGOHKFay2GCNtS6hYfMdzWMk2SqbRYcWww2NDW&#10;UH473a2CItU0+bpdzX72g8X27zvtunqn1Oew3yxABOrDW/zvPmgFcWu8Em+AXL0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y13m9b8AAADaAAAADwAAAAAAAAAAAAAAAACh&#10;AgAAZHJzL2Rvd25yZXYueG1sUEsFBgAAAAAEAAQA+QAAAI0DAAAAAA==&#10;">
              <v:stroke endarrow="open"/>
            </v:shape>
            <v:shape id="Straight Arrow Connector 9" o:spid="_x0000_s1064" type="#_x0000_t32" style="position:absolute;left:34766;top:1714;width:181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FDbsMAAADaAAAADwAAAGRycy9kb3ducmV2LnhtbESPQWvCQBSE7wX/w/IEL6VujLTW6CaI&#10;YFvwVC30+si+ZIPZtyG7xvTfu4VCj8PMfMNsi9G2YqDeN44VLOYJCOLS6YZrBV/nw9MrCB+QNbaO&#10;ScEPeSjyycMWM+1u/EnDKdQiQthnqMCE0GVS+tKQRT93HXH0KtdbDFH2tdQ93iLctjJNkhdpseG4&#10;YLCjvaHycrpaBVWqafF4+Tbvq2es9sdlOgztm1Kz6bjbgAg0hv/wX/tDK1jD75V4A2R+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QRQ27DAAAA2gAAAA8AAAAAAAAAAAAA&#10;AAAAoQIAAGRycy9kb3ducmV2LnhtbFBLBQYAAAAABAAEAPkAAACRAwAAAAA=&#10;">
              <v:stroke endarrow="open"/>
            </v:shape>
            <v:shape id="Straight Arrow Connector 10" o:spid="_x0000_s1065" type="#_x0000_t32" style="position:absolute;left:49149;top:1714;width:180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m/tCcQAAADbAAAADwAAAGRycy9kb3ducmV2LnhtbESPQWvCQBCF74X+h2UKvRTdmNIq0VWK&#10;0Cr0pBW8DtlJNpidDdltTP+9cyh4m+G9ee+b1Wb0rRqoj01gA7NpBoq4DLbh2sDp53OyABUTssU2&#10;MBn4owib9ePDCgsbrnyg4ZhqJSEcCzTgUuoKrWPpyGOcho5YtCr0HpOsfa1tj1cJ963Os+xde2xY&#10;Ghx2tHVUXo6/3kCVW5q9XM5uN3/Davv9mg9D+2XM89P4sQSVaEx38//13gq+0MsvMoBe3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0JxAAAANsAAAAPAAAAAAAAAAAA&#10;AAAAAKECAABkcnMvZG93bnJldi54bWxQSwUGAAAAAAQABAD5AAAAkgMAAAAA&#10;">
              <v:stroke endarrow="open"/>
            </v:shape>
            <w10:wrap type="tight"/>
          </v:group>
        </w:pict>
      </w:r>
      <w:r w:rsidR="006C5131">
        <w:rPr>
          <w:rFonts w:ascii="Arial" w:hAnsi="Arial" w:cs="Arial"/>
          <w:b/>
          <w:sz w:val="22"/>
          <w:szCs w:val="22"/>
        </w:rPr>
        <w:t>Figure 1</w:t>
      </w:r>
      <w:r w:rsidR="006C5131" w:rsidRPr="00C3583A">
        <w:rPr>
          <w:rFonts w:ascii="Arial" w:hAnsi="Arial" w:cs="Arial"/>
          <w:b/>
          <w:sz w:val="22"/>
          <w:szCs w:val="22"/>
        </w:rPr>
        <w:t xml:space="preserve">: </w:t>
      </w:r>
      <w:r w:rsidR="006C5131">
        <w:rPr>
          <w:rFonts w:ascii="Arial" w:hAnsi="Arial" w:cs="Arial"/>
          <w:b/>
          <w:sz w:val="22"/>
          <w:szCs w:val="22"/>
        </w:rPr>
        <w:t>Overview of PDMS processes</w:t>
      </w:r>
    </w:p>
    <w:p w:rsidR="00576DFD" w:rsidRDefault="00576DFD" w:rsidP="00162883">
      <w:pPr>
        <w:pStyle w:val="Heading5"/>
      </w:pPr>
      <w:r>
        <w:t>Charges</w:t>
      </w:r>
      <w:r w:rsidR="00662E26">
        <w:t xml:space="preserve"> and costs</w:t>
      </w:r>
    </w:p>
    <w:p w:rsidR="00662E26" w:rsidRDefault="005D5B2E" w:rsidP="00BA3C2C">
      <w:pPr>
        <w:pStyle w:val="Numbered"/>
      </w:pPr>
      <w:r>
        <w:t xml:space="preserve">Many customers </w:t>
      </w:r>
      <w:r w:rsidR="001052FF">
        <w:t>conduct tender processes for PDMS or hire procurement firms to conduct such processes.</w:t>
      </w:r>
      <w:r w:rsidR="00BA3C2C">
        <w:t xml:space="preserve"> </w:t>
      </w:r>
      <w:r w:rsidR="001052FF">
        <w:t>Charges to customer</w:t>
      </w:r>
      <w:r w:rsidR="00BA3C2C">
        <w:t>s can vary</w:t>
      </w:r>
      <w:r w:rsidR="00576DFD">
        <w:t xml:space="preserve"> for a range of reasons, including the intensity of competition, the size of the customer (customers may </w:t>
      </w:r>
      <w:r w:rsidR="00EA1CB3">
        <w:t>pay</w:t>
      </w:r>
      <w:r w:rsidR="00E63320">
        <w:t xml:space="preserve"> </w:t>
      </w:r>
      <w:r w:rsidR="00576DFD">
        <w:t xml:space="preserve">lower </w:t>
      </w:r>
      <w:r w:rsidR="00421468">
        <w:t>prices</w:t>
      </w:r>
      <w:r w:rsidR="00576DFD">
        <w:t xml:space="preserve"> for higher volumes) and </w:t>
      </w:r>
      <w:r w:rsidR="00E53E6C">
        <w:t>the supplier’s cost base</w:t>
      </w:r>
      <w:r w:rsidR="00576DFD">
        <w:t xml:space="preserve">. </w:t>
      </w:r>
      <w:r w:rsidR="00BA3C2C">
        <w:t xml:space="preserve">Physical document storage is typically charged monthly per box or file. </w:t>
      </w:r>
    </w:p>
    <w:p w:rsidR="005D5B2E" w:rsidRDefault="00662E26" w:rsidP="001052FF">
      <w:pPr>
        <w:pStyle w:val="Numbered"/>
      </w:pPr>
      <w:r>
        <w:t xml:space="preserve">Many of the costs of providing PDMS are fixed in the short to medium term. </w:t>
      </w:r>
      <w:r w:rsidR="00B97112">
        <w:t>Larger</w:t>
      </w:r>
      <w:r w:rsidR="00E935A4">
        <w:t xml:space="preserve"> PDMS supplier</w:t>
      </w:r>
      <w:r w:rsidR="00B97112">
        <w:t>s</w:t>
      </w:r>
      <w:r w:rsidR="00E935A4">
        <w:t xml:space="preserve"> enjoy economies of scale from storing higher volumes and spreading</w:t>
      </w:r>
      <w:r>
        <w:t xml:space="preserve"> such</w:t>
      </w:r>
      <w:r w:rsidR="00E935A4">
        <w:t xml:space="preserve"> fixed costs, resulting in lower per unit (box) costs.</w:t>
      </w:r>
    </w:p>
    <w:p w:rsidR="00F01C7B" w:rsidRDefault="00F01C7B" w:rsidP="00162883">
      <w:pPr>
        <w:pStyle w:val="Heading5"/>
      </w:pPr>
      <w:r>
        <w:t>Consumers of PDMS</w:t>
      </w:r>
    </w:p>
    <w:p w:rsidR="00FD761E" w:rsidRDefault="00FD761E" w:rsidP="00162883">
      <w:pPr>
        <w:pStyle w:val="Numbered"/>
      </w:pPr>
      <w:r>
        <w:t xml:space="preserve">The main </w:t>
      </w:r>
      <w:r w:rsidR="00130649">
        <w:t>types of</w:t>
      </w:r>
      <w:r w:rsidR="00EA1CB3">
        <w:t xml:space="preserve"> PDMS</w:t>
      </w:r>
      <w:r w:rsidR="00130649">
        <w:t xml:space="preserve"> customers </w:t>
      </w:r>
      <w:r w:rsidR="00784EEE">
        <w:t>are:</w:t>
      </w:r>
    </w:p>
    <w:p w:rsidR="00784EEE" w:rsidRDefault="00EC3057" w:rsidP="00162883">
      <w:pPr>
        <w:pStyle w:val="Numbered"/>
        <w:numPr>
          <w:ilvl w:val="0"/>
          <w:numId w:val="43"/>
        </w:numPr>
      </w:pPr>
      <w:r>
        <w:t>financial services</w:t>
      </w:r>
    </w:p>
    <w:p w:rsidR="00784EEE" w:rsidRDefault="00784EEE" w:rsidP="00E935A4">
      <w:pPr>
        <w:pStyle w:val="Numbered"/>
        <w:numPr>
          <w:ilvl w:val="0"/>
          <w:numId w:val="43"/>
        </w:numPr>
      </w:pPr>
      <w:r>
        <w:t>government</w:t>
      </w:r>
      <w:r w:rsidR="00421468">
        <w:t xml:space="preserve"> agencies</w:t>
      </w:r>
    </w:p>
    <w:p w:rsidR="00C96ED3" w:rsidRDefault="00130649" w:rsidP="00326F40">
      <w:pPr>
        <w:pStyle w:val="Numbered"/>
        <w:numPr>
          <w:ilvl w:val="0"/>
          <w:numId w:val="43"/>
        </w:numPr>
      </w:pPr>
      <w:r>
        <w:t>h</w:t>
      </w:r>
      <w:r w:rsidR="00027560">
        <w:t>ealth services</w:t>
      </w:r>
    </w:p>
    <w:p w:rsidR="00027560" w:rsidRDefault="00027560" w:rsidP="00326F40">
      <w:pPr>
        <w:pStyle w:val="Numbered"/>
        <w:numPr>
          <w:ilvl w:val="0"/>
          <w:numId w:val="43"/>
        </w:numPr>
      </w:pPr>
      <w:r>
        <w:t>professional services.</w:t>
      </w:r>
    </w:p>
    <w:p w:rsidR="00027560" w:rsidRDefault="009E6799" w:rsidP="00162883">
      <w:pPr>
        <w:pStyle w:val="Numbered"/>
      </w:pPr>
      <w:r>
        <w:t>The customer base includes a large number of small to medium enterprises</w:t>
      </w:r>
      <w:r w:rsidR="00B3340F">
        <w:t xml:space="preserve"> and</w:t>
      </w:r>
      <w:r>
        <w:t xml:space="preserve"> </w:t>
      </w:r>
      <w:r w:rsidR="00351A90">
        <w:t xml:space="preserve">non-profit organisations, </w:t>
      </w:r>
      <w:r>
        <w:t xml:space="preserve">and ranges up to Australia’s largest businesses and government departments. </w:t>
      </w:r>
      <w:r w:rsidR="00027560">
        <w:t xml:space="preserve">Some of these customers </w:t>
      </w:r>
      <w:r>
        <w:t xml:space="preserve">have a </w:t>
      </w:r>
      <w:r w:rsidR="00142E52">
        <w:t xml:space="preserve">national </w:t>
      </w:r>
      <w:r w:rsidR="00421468">
        <w:t xml:space="preserve">or semi-national </w:t>
      </w:r>
      <w:r>
        <w:t xml:space="preserve">presence, with </w:t>
      </w:r>
      <w:r w:rsidR="00421468">
        <w:t xml:space="preserve">PDMS requirements in more than one </w:t>
      </w:r>
      <w:r>
        <w:t>region</w:t>
      </w:r>
      <w:r w:rsidR="00421468">
        <w:t xml:space="preserve">. Some customers </w:t>
      </w:r>
      <w:r w:rsidR="009659C3">
        <w:t xml:space="preserve">have PDMS requirements that mean they </w:t>
      </w:r>
      <w:r w:rsidR="00421468">
        <w:t xml:space="preserve">value </w:t>
      </w:r>
      <w:r w:rsidR="00142E52">
        <w:t xml:space="preserve">dealing with a single </w:t>
      </w:r>
      <w:r w:rsidR="00421468">
        <w:t xml:space="preserve">PDMS </w:t>
      </w:r>
      <w:r w:rsidR="00142E52">
        <w:t>supplier.</w:t>
      </w:r>
    </w:p>
    <w:p w:rsidR="00293B71" w:rsidRDefault="00293B71" w:rsidP="00162883">
      <w:pPr>
        <w:pStyle w:val="Numbered"/>
      </w:pPr>
      <w:r w:rsidRPr="00BC0B2F">
        <w:t xml:space="preserve">Many businesses and organisations retain and protect records to comply with statutory or business requirements. While some organisations undertake these activities themselves, others outsource to third party providers. These arrangements are </w:t>
      </w:r>
      <w:r w:rsidR="00421468">
        <w:t xml:space="preserve">generally </w:t>
      </w:r>
      <w:r w:rsidRPr="00BC0B2F">
        <w:t>referred to in the industry as ‘unvended’ and ‘vended’ respectively.</w:t>
      </w:r>
      <w:r w:rsidR="00AD0165">
        <w:t xml:space="preserve"> </w:t>
      </w:r>
      <w:r w:rsidR="009E6799">
        <w:t>M</w:t>
      </w:r>
      <w:r w:rsidR="00AD0165">
        <w:t xml:space="preserve">any vended organisations also </w:t>
      </w:r>
      <w:r w:rsidR="00C330B9">
        <w:t xml:space="preserve">store some records in-house, in particular records that </w:t>
      </w:r>
      <w:r w:rsidR="00DD379A">
        <w:t>are highly active.</w:t>
      </w:r>
    </w:p>
    <w:p w:rsidR="00F01C7B" w:rsidRDefault="00F01C7B" w:rsidP="0008189E">
      <w:pPr>
        <w:pStyle w:val="Heading5"/>
        <w:keepNext/>
      </w:pPr>
      <w:r>
        <w:t>Suppliers of PDMS</w:t>
      </w:r>
    </w:p>
    <w:p w:rsidR="00524945" w:rsidRDefault="008A456D" w:rsidP="00162883">
      <w:pPr>
        <w:pStyle w:val="Numbered"/>
      </w:pPr>
      <w:r>
        <w:t>PDMS supplie</w:t>
      </w:r>
      <w:r w:rsidR="00FB1E54">
        <w:t>r</w:t>
      </w:r>
      <w:r>
        <w:t xml:space="preserve">s tend to be located </w:t>
      </w:r>
      <w:r w:rsidR="00E53E6C">
        <w:t>in</w:t>
      </w:r>
      <w:r>
        <w:t xml:space="preserve"> capital cities</w:t>
      </w:r>
      <w:r w:rsidR="00C330B9">
        <w:t xml:space="preserve"> </w:t>
      </w:r>
      <w:r>
        <w:t xml:space="preserve">where the concentration of business </w:t>
      </w:r>
      <w:r w:rsidR="00E63320">
        <w:t xml:space="preserve">activity </w:t>
      </w:r>
      <w:r>
        <w:t xml:space="preserve">lies. </w:t>
      </w:r>
      <w:r w:rsidR="00316FB2">
        <w:t xml:space="preserve">Storage facilities are usually situated relatively close to </w:t>
      </w:r>
      <w:r w:rsidR="00041F98">
        <w:lastRenderedPageBreak/>
        <w:t xml:space="preserve">where </w:t>
      </w:r>
      <w:r w:rsidR="00316FB2">
        <w:t>customer</w:t>
      </w:r>
      <w:r w:rsidR="00041F98">
        <w:t>s are</w:t>
      </w:r>
      <w:r w:rsidR="00316FB2">
        <w:t xml:space="preserve"> in major city</w:t>
      </w:r>
      <w:r w:rsidR="0025223B">
        <w:t xml:space="preserve"> or regional</w:t>
      </w:r>
      <w:r w:rsidR="00316FB2">
        <w:t xml:space="preserve"> centres to limit transport co</w:t>
      </w:r>
      <w:r w:rsidR="00DF38EF">
        <w:t>sts and provide timely services (such as document retrieval).</w:t>
      </w:r>
      <w:r w:rsidR="00316FB2">
        <w:t xml:space="preserve"> </w:t>
      </w:r>
    </w:p>
    <w:p w:rsidR="00F01C7B" w:rsidRDefault="00F01C7B" w:rsidP="00BB0710">
      <w:pPr>
        <w:pStyle w:val="Heading5"/>
        <w:keepNext/>
      </w:pPr>
      <w:r>
        <w:t>Industry trends</w:t>
      </w:r>
    </w:p>
    <w:p w:rsidR="00BB0710" w:rsidRDefault="00F72537" w:rsidP="00162883">
      <w:pPr>
        <w:pStyle w:val="Numbered"/>
      </w:pPr>
      <w:r>
        <w:t>The growth of digitisation in recent years has led to an increase in demand for digital storage, impacting the growt</w:t>
      </w:r>
      <w:r w:rsidR="00762A72">
        <w:t xml:space="preserve">h of physical storage services. Some </w:t>
      </w:r>
      <w:r w:rsidR="009D0319">
        <w:t xml:space="preserve">companies are transitioning towards ‘paper-light’ operations, creating and storing only digital records. </w:t>
      </w:r>
    </w:p>
    <w:p w:rsidR="00BB0710" w:rsidRDefault="00200409" w:rsidP="00162883">
      <w:pPr>
        <w:pStyle w:val="Numbered"/>
      </w:pPr>
      <w:r>
        <w:t xml:space="preserve">Despite this </w:t>
      </w:r>
      <w:r w:rsidR="00757216">
        <w:t>trend, the PDMS market is still expected to grow over the coming years</w:t>
      </w:r>
      <w:r w:rsidR="00607487">
        <w:t xml:space="preserve"> (although more slowly than in the past)</w:t>
      </w:r>
      <w:r w:rsidR="00757216">
        <w:t xml:space="preserve">. This is because </w:t>
      </w:r>
      <w:r w:rsidR="00041F98">
        <w:t xml:space="preserve">some businesses and organisations are still creating physical records to satisfy their business needs, with </w:t>
      </w:r>
      <w:r w:rsidR="00757216">
        <w:t xml:space="preserve">many records </w:t>
      </w:r>
      <w:r w:rsidR="00041F98">
        <w:t xml:space="preserve">being </w:t>
      </w:r>
      <w:r w:rsidR="00757216">
        <w:t xml:space="preserve">stored </w:t>
      </w:r>
      <w:r w:rsidR="00762A72">
        <w:t>for substantial periods of time</w:t>
      </w:r>
      <w:r w:rsidR="00041F98">
        <w:t xml:space="preserve">. </w:t>
      </w:r>
    </w:p>
    <w:p w:rsidR="0025223B" w:rsidRDefault="00041F98" w:rsidP="00162883">
      <w:pPr>
        <w:pStyle w:val="Numbered"/>
      </w:pPr>
      <w:r>
        <w:t>Legislative requirements further drive demand in the PDMS market. Organisations are required by law to create and store certain records, such as tax records and health records, for a specified period of time. T</w:t>
      </w:r>
      <w:r w:rsidR="00A40F66">
        <w:t>herefore</w:t>
      </w:r>
      <w:r>
        <w:t>,</w:t>
      </w:r>
      <w:r w:rsidR="00A40F66">
        <w:t xml:space="preserve"> new storage capacity is continuously required. </w:t>
      </w:r>
    </w:p>
    <w:p w:rsidR="00BB0710" w:rsidRDefault="00BB0710" w:rsidP="00BB0710">
      <w:pPr>
        <w:pStyle w:val="Numbered"/>
      </w:pPr>
      <w:r>
        <w:t>PDMS currently accounts for approximately 56% of the revenue in the information management industry, while digitisation services makes up 23%.</w:t>
      </w:r>
      <w:r w:rsidR="0008189E">
        <w:rPr>
          <w:rStyle w:val="FootnoteReference"/>
        </w:rPr>
        <w:footnoteReference w:id="1"/>
      </w:r>
    </w:p>
    <w:p w:rsidR="0025223B" w:rsidRDefault="009D0319" w:rsidP="00162883">
      <w:pPr>
        <w:pStyle w:val="Numbered"/>
      </w:pPr>
      <w:r>
        <w:t>T</w:t>
      </w:r>
      <w:r w:rsidR="0025223B">
        <w:t>here has</w:t>
      </w:r>
      <w:r>
        <w:t xml:space="preserve"> also</w:t>
      </w:r>
      <w:r w:rsidR="0025223B">
        <w:t xml:space="preserve"> been a trend of consolidation within the industry</w:t>
      </w:r>
      <w:r>
        <w:t xml:space="preserve"> in recent years</w:t>
      </w:r>
      <w:r w:rsidR="0025223B">
        <w:t xml:space="preserve">. Smaller </w:t>
      </w:r>
      <w:r w:rsidR="00DF38EF">
        <w:t xml:space="preserve">PDMS </w:t>
      </w:r>
      <w:r w:rsidR="0025223B">
        <w:t xml:space="preserve">providers are being acquired as companies seek to increase market share, expand their national footprint and achieve economies of scale. </w:t>
      </w:r>
    </w:p>
    <w:p w:rsidR="00194D5D" w:rsidRDefault="00C50CFC" w:rsidP="002307B6">
      <w:pPr>
        <w:pStyle w:val="Heading3"/>
      </w:pPr>
      <w:r>
        <w:t>Future with and without the acquisition</w:t>
      </w:r>
      <w:r w:rsidR="00194D5D">
        <w:t xml:space="preserve"> </w:t>
      </w:r>
    </w:p>
    <w:p w:rsidR="00194D5D" w:rsidRDefault="00194D5D" w:rsidP="00162883">
      <w:pPr>
        <w:pStyle w:val="NormalParagraph"/>
      </w:pPr>
      <w:r>
        <w:t>Section 50 of the Act prohibits mergers or acquisitions that would have the effect or be likely to have the effect of substantially lessening competition in a market. In assessing a proposed acquisition pursuant to section 50 of the Act, the ACCC considers the effects of the acquisition by comparing the likely future competitive environment post-acquisition if the acquisition proceeds (the “with” position) to the likely future competitive environment if the acquisition does not proceed (the “without” position) to determine whether the proposed acquisition is likely to substantially lessen competition in any relevant market.</w:t>
      </w:r>
    </w:p>
    <w:p w:rsidR="0081112E" w:rsidRDefault="005618AE" w:rsidP="00162883">
      <w:pPr>
        <w:pStyle w:val="NormalParagraph"/>
      </w:pPr>
      <w:r>
        <w:t xml:space="preserve">On the basis of the information currently available, the ACCC considers </w:t>
      </w:r>
      <w:r w:rsidR="00C32F21">
        <w:t>that</w:t>
      </w:r>
      <w:r w:rsidR="009219BB">
        <w:t xml:space="preserve"> in a future without the proposed acquisition</w:t>
      </w:r>
      <w:r w:rsidR="00C32F21">
        <w:t xml:space="preserve"> </w:t>
      </w:r>
      <w:r w:rsidR="002307B6">
        <w:t>Iron Mountain and Recall would continue operating as independent businesses</w:t>
      </w:r>
      <w:r w:rsidR="00C32F21">
        <w:t>.</w:t>
      </w:r>
    </w:p>
    <w:p w:rsidR="00A24847" w:rsidRPr="008A71D1" w:rsidRDefault="00A24847" w:rsidP="00A24847">
      <w:pPr>
        <w:pStyle w:val="Heading3"/>
      </w:pPr>
      <w:r>
        <w:t>Areas of overlap</w:t>
      </w:r>
    </w:p>
    <w:p w:rsidR="00A24847" w:rsidRDefault="00A24847" w:rsidP="00162883">
      <w:pPr>
        <w:pStyle w:val="Numbered"/>
      </w:pPr>
      <w:bookmarkStart w:id="2" w:name="_Ref433363718"/>
      <w:r>
        <w:t>The merger parties overlap in the supply of:</w:t>
      </w:r>
      <w:bookmarkEnd w:id="2"/>
    </w:p>
    <w:p w:rsidR="00A24847" w:rsidRDefault="00A24847" w:rsidP="00162883">
      <w:pPr>
        <w:pStyle w:val="Numbered"/>
        <w:numPr>
          <w:ilvl w:val="0"/>
          <w:numId w:val="17"/>
        </w:numPr>
      </w:pPr>
      <w:r>
        <w:t>PDMS</w:t>
      </w:r>
    </w:p>
    <w:p w:rsidR="00A24847" w:rsidRDefault="00A24847" w:rsidP="00E935A4">
      <w:pPr>
        <w:pStyle w:val="Numbered"/>
        <w:numPr>
          <w:ilvl w:val="0"/>
          <w:numId w:val="17"/>
        </w:numPr>
      </w:pPr>
      <w:r>
        <w:t>digital document management services</w:t>
      </w:r>
    </w:p>
    <w:p w:rsidR="00A24847" w:rsidRDefault="00A24847" w:rsidP="00BB0710">
      <w:pPr>
        <w:pStyle w:val="Numbered"/>
        <w:numPr>
          <w:ilvl w:val="0"/>
          <w:numId w:val="17"/>
        </w:numPr>
      </w:pPr>
      <w:r>
        <w:t>data protection services</w:t>
      </w:r>
      <w:r w:rsidR="00DF38EF">
        <w:t>.</w:t>
      </w:r>
    </w:p>
    <w:p w:rsidR="00E63E33" w:rsidRDefault="00A24847" w:rsidP="00162883">
      <w:pPr>
        <w:pStyle w:val="NormalParagraph"/>
      </w:pPr>
      <w:r>
        <w:t xml:space="preserve">Feedback from market participants </w:t>
      </w:r>
      <w:r w:rsidR="00E63320">
        <w:t xml:space="preserve">has </w:t>
      </w:r>
      <w:r w:rsidR="00274F7D">
        <w:t xml:space="preserve">primarily </w:t>
      </w:r>
      <w:r>
        <w:t xml:space="preserve">focused on the potential for adverse competition effects in the market for the supply of PDMS. The merger parties are not large suppliers of digital document management services. As </w:t>
      </w:r>
      <w:r>
        <w:lastRenderedPageBreak/>
        <w:t xml:space="preserve">such, they do not have a </w:t>
      </w:r>
      <w:r w:rsidR="000A3A82">
        <w:t>substantial</w:t>
      </w:r>
      <w:r>
        <w:t xml:space="preserve"> share of the market(s) in relation the supply of </w:t>
      </w:r>
      <w:r w:rsidR="00274F7D">
        <w:t xml:space="preserve">these </w:t>
      </w:r>
      <w:r w:rsidR="00E63E33">
        <w:t xml:space="preserve">services. </w:t>
      </w:r>
    </w:p>
    <w:p w:rsidR="00274F7D" w:rsidRDefault="00274F7D" w:rsidP="00162883">
      <w:pPr>
        <w:pStyle w:val="NormalParagraph"/>
      </w:pPr>
      <w:r>
        <w:t xml:space="preserve">The merger parties </w:t>
      </w:r>
      <w:r w:rsidR="00BD5B9A">
        <w:t>are</w:t>
      </w:r>
      <w:r>
        <w:t xml:space="preserve"> large </w:t>
      </w:r>
      <w:r w:rsidR="00BD5B9A">
        <w:t>suppliers</w:t>
      </w:r>
      <w:r>
        <w:t xml:space="preserve"> of data protection services (mainly tape and disk storage, </w:t>
      </w:r>
      <w:r w:rsidR="00BD5B9A">
        <w:t>as well as</w:t>
      </w:r>
      <w:r>
        <w:t xml:space="preserve"> tape sales)</w:t>
      </w:r>
      <w:r w:rsidR="00EA0D6A">
        <w:t xml:space="preserve">. </w:t>
      </w:r>
      <w:r w:rsidR="009E6799">
        <w:t xml:space="preserve">However, </w:t>
      </w:r>
      <w:r w:rsidR="00861A15">
        <w:t>the ACCC has not received market feedback to date suggesting the proposed acquisition would give rise to competition concerns in this market</w:t>
      </w:r>
      <w:r w:rsidR="00185A99">
        <w:t>.</w:t>
      </w:r>
      <w:r w:rsidR="00BD5B9A">
        <w:t xml:space="preserve"> </w:t>
      </w:r>
    </w:p>
    <w:p w:rsidR="00F61D52" w:rsidRDefault="00F61D52" w:rsidP="00162883">
      <w:pPr>
        <w:pStyle w:val="NormalParagraph"/>
      </w:pPr>
      <w:r>
        <w:t xml:space="preserve">The ACCC notes that while Recall supplies secure destruction services, Iron Mountain no longer provides such services, having recently sold its </w:t>
      </w:r>
      <w:r w:rsidR="00624C97">
        <w:t xml:space="preserve">shredding </w:t>
      </w:r>
      <w:r>
        <w:t>business.</w:t>
      </w:r>
      <w:r w:rsidR="00DF38EF">
        <w:t xml:space="preserve"> The parties therefore do not overlap in the supply of these services.</w:t>
      </w:r>
      <w:r>
        <w:t xml:space="preserve"> </w:t>
      </w:r>
    </w:p>
    <w:p w:rsidR="00A24847" w:rsidRDefault="00A24847" w:rsidP="00162883">
      <w:pPr>
        <w:pStyle w:val="NormalParagraph"/>
      </w:pPr>
      <w:r>
        <w:t xml:space="preserve">Accordingly, this Statement of Issues focuses on the market </w:t>
      </w:r>
      <w:r w:rsidR="00152CBD">
        <w:t>for</w:t>
      </w:r>
      <w:r>
        <w:t xml:space="preserve"> the supply of PDMS.</w:t>
      </w:r>
    </w:p>
    <w:p w:rsidR="0081112E" w:rsidRPr="0081112E" w:rsidRDefault="00346285" w:rsidP="002307B6">
      <w:pPr>
        <w:pStyle w:val="Heading3"/>
      </w:pPr>
      <w:r>
        <w:t xml:space="preserve">Market </w:t>
      </w:r>
      <w:r w:rsidR="002307B6">
        <w:t>d</w:t>
      </w:r>
      <w:r>
        <w:t>efinition</w:t>
      </w:r>
    </w:p>
    <w:p w:rsidR="00D50133" w:rsidRDefault="00081A7F" w:rsidP="00162883">
      <w:pPr>
        <w:pStyle w:val="Numbered"/>
      </w:pPr>
      <w:r>
        <w:t xml:space="preserve">The ACCC’s starting point for delineating relevant markets to assess the </w:t>
      </w:r>
      <w:r w:rsidR="00B12ECE">
        <w:t>competitive</w:t>
      </w:r>
      <w:r>
        <w:t xml:space="preserve"> effects of the proposed acquisition involves identifying the products actually or potentially supplied by the merger parties.</w:t>
      </w:r>
      <w:r w:rsidR="00D53256">
        <w:t xml:space="preserve"> </w:t>
      </w:r>
      <w:r>
        <w:t xml:space="preserve">The ACCC then considers what other products constitute </w:t>
      </w:r>
      <w:r w:rsidR="00373725">
        <w:t xml:space="preserve">sufficiently </w:t>
      </w:r>
      <w:r>
        <w:t xml:space="preserve">close substitutes </w:t>
      </w:r>
      <w:r w:rsidR="00373725">
        <w:t>to</w:t>
      </w:r>
      <w:r>
        <w:t xml:space="preserve"> provide a significant source of constraint on the merged entity.</w:t>
      </w:r>
      <w:r w:rsidR="00E53E6C">
        <w:t xml:space="preserve"> For the reasons set out above, the ACCC is focused on PDMS.</w:t>
      </w:r>
    </w:p>
    <w:p w:rsidR="00D53A5B" w:rsidRDefault="00D53A5B" w:rsidP="00162883">
      <w:pPr>
        <w:pStyle w:val="Heading4"/>
      </w:pPr>
      <w:r>
        <w:t>Product dimension</w:t>
      </w:r>
    </w:p>
    <w:p w:rsidR="00D30373" w:rsidRDefault="00052EB7" w:rsidP="00162883">
      <w:pPr>
        <w:pStyle w:val="NormalParagraph"/>
      </w:pPr>
      <w:r>
        <w:t>The ACCC</w:t>
      </w:r>
      <w:r w:rsidR="007818FA">
        <w:t xml:space="preserve"> is considering whether</w:t>
      </w:r>
      <w:r w:rsidR="00F927B7">
        <w:t xml:space="preserve"> digital document storage</w:t>
      </w:r>
      <w:r w:rsidR="00BE3755">
        <w:t xml:space="preserve"> </w:t>
      </w:r>
      <w:r w:rsidR="00624C97">
        <w:t>is</w:t>
      </w:r>
      <w:r w:rsidR="000D7536">
        <w:t xml:space="preserve"> </w:t>
      </w:r>
      <w:r w:rsidR="00624C97">
        <w:t>a</w:t>
      </w:r>
      <w:r w:rsidR="007818FA">
        <w:t xml:space="preserve"> </w:t>
      </w:r>
      <w:r w:rsidR="00F927B7">
        <w:t xml:space="preserve">close substitute for physical document storage. </w:t>
      </w:r>
    </w:p>
    <w:p w:rsidR="00770A19" w:rsidRDefault="00770A19" w:rsidP="00162883">
      <w:pPr>
        <w:pStyle w:val="NormalParagraph"/>
      </w:pPr>
      <w:r>
        <w:t>T</w:t>
      </w:r>
      <w:r w:rsidR="008B4529">
        <w:t xml:space="preserve">here is a trend towards the </w:t>
      </w:r>
      <w:r w:rsidR="00F927B7">
        <w:t>digitisation of documents,</w:t>
      </w:r>
      <w:r w:rsidR="006D7FBB">
        <w:t xml:space="preserve"> </w:t>
      </w:r>
      <w:r>
        <w:t xml:space="preserve">as discussed above. However, this does not necessarily mean that digital document storage should be considered part of the relevant market for assessing the proposed acquisition. </w:t>
      </w:r>
    </w:p>
    <w:p w:rsidR="00770A19" w:rsidRDefault="00770A19" w:rsidP="00162883">
      <w:pPr>
        <w:pStyle w:val="NormalParagraph"/>
      </w:pPr>
      <w:r w:rsidRPr="00E2414A">
        <w:t xml:space="preserve">The ACCC draws on the </w:t>
      </w:r>
      <w:r w:rsidR="00D60D88">
        <w:t xml:space="preserve">conceptual framework provided by the </w:t>
      </w:r>
      <w:r w:rsidRPr="00E2414A">
        <w:t xml:space="preserve">hypothetical monopolist test </w:t>
      </w:r>
      <w:r w:rsidR="00D60D88">
        <w:t xml:space="preserve">to </w:t>
      </w:r>
      <w:r>
        <w:t>defin</w:t>
      </w:r>
      <w:r w:rsidR="00D60D88">
        <w:t>e</w:t>
      </w:r>
      <w:r w:rsidRPr="00E2414A">
        <w:t xml:space="preserve"> relevant markets. The hypothetical monopolist test asks whether customers would switch to an alternative product</w:t>
      </w:r>
      <w:r>
        <w:t xml:space="preserve"> (such as digital document storage)</w:t>
      </w:r>
      <w:r w:rsidRPr="00E2414A">
        <w:t xml:space="preserve"> in the event of a small but significant non-transitory increase in price (such as </w:t>
      </w:r>
      <w:r>
        <w:t>a 5</w:t>
      </w:r>
      <w:r>
        <w:noBreakHyphen/>
      </w:r>
      <w:r w:rsidRPr="00770A19">
        <w:t>10</w:t>
      </w:r>
      <w:r>
        <w:t> </w:t>
      </w:r>
      <w:r w:rsidRPr="00E2414A">
        <w:t>per cent</w:t>
      </w:r>
      <w:r>
        <w:t xml:space="preserve"> increase in PDMS prices</w:t>
      </w:r>
      <w:r w:rsidRPr="00E2414A">
        <w:t xml:space="preserve">). If </w:t>
      </w:r>
      <w:r w:rsidR="008319FB">
        <w:t xml:space="preserve">enough </w:t>
      </w:r>
      <w:r w:rsidRPr="00E2414A">
        <w:t>customers switch to an alternative product, then that product may be considered a close substitute and may be included in the product dimension of the relevant market.</w:t>
      </w:r>
    </w:p>
    <w:p w:rsidR="00770A19" w:rsidRPr="00E2414A" w:rsidRDefault="00770A19" w:rsidP="00162883">
      <w:pPr>
        <w:pStyle w:val="NormalParagraph"/>
      </w:pPr>
      <w:r>
        <w:t>The ACCC’s market inquiries indicate that a 5</w:t>
      </w:r>
      <w:r>
        <w:noBreakHyphen/>
        <w:t xml:space="preserve">10 per cent price increase in PDMS would not be likely to </w:t>
      </w:r>
      <w:r w:rsidR="00861A15">
        <w:t xml:space="preserve">materially </w:t>
      </w:r>
      <w:r>
        <w:t>affect the rate at which custome</w:t>
      </w:r>
      <w:r w:rsidR="00861A15">
        <w:t>r</w:t>
      </w:r>
      <w:r>
        <w:t>s are switching from paper to digital records.</w:t>
      </w:r>
    </w:p>
    <w:p w:rsidR="00BE3755" w:rsidRDefault="006D7FBB" w:rsidP="00162883">
      <w:pPr>
        <w:pStyle w:val="NormalParagraph"/>
      </w:pPr>
      <w:r>
        <w:t>Further, s</w:t>
      </w:r>
      <w:r w:rsidR="00A85536">
        <w:t>ome organisations</w:t>
      </w:r>
      <w:r>
        <w:t xml:space="preserve"> are not able</w:t>
      </w:r>
      <w:r w:rsidR="00765BE2">
        <w:t xml:space="preserve"> to switch</w:t>
      </w:r>
      <w:r>
        <w:t xml:space="preserve"> to digital records</w:t>
      </w:r>
      <w:r w:rsidR="008B4529">
        <w:t xml:space="preserve">, given </w:t>
      </w:r>
      <w:r w:rsidR="00A85536">
        <w:t xml:space="preserve">they must comply with </w:t>
      </w:r>
      <w:r w:rsidR="0073666D">
        <w:t xml:space="preserve">statutory </w:t>
      </w:r>
      <w:r w:rsidR="00A85536">
        <w:t xml:space="preserve">or other </w:t>
      </w:r>
      <w:r w:rsidR="0073666D">
        <w:t>requirements to retain certain d</w:t>
      </w:r>
      <w:r w:rsidR="00765BE2">
        <w:t>ocuments in hard copy.</w:t>
      </w:r>
    </w:p>
    <w:p w:rsidR="00F927B7" w:rsidRDefault="00770A19" w:rsidP="00162883">
      <w:pPr>
        <w:pStyle w:val="NormalParagraph"/>
      </w:pPr>
      <w:r>
        <w:t>M</w:t>
      </w:r>
      <w:r w:rsidR="0073666D">
        <w:t xml:space="preserve">arket </w:t>
      </w:r>
      <w:r w:rsidR="003D71DA">
        <w:t xml:space="preserve">inquiries </w:t>
      </w:r>
      <w:r>
        <w:t xml:space="preserve">also </w:t>
      </w:r>
      <w:r w:rsidR="003D71DA">
        <w:t xml:space="preserve">suggest that it </w:t>
      </w:r>
      <w:r w:rsidR="00DD379A">
        <w:t>is generally</w:t>
      </w:r>
      <w:r w:rsidR="003D71DA">
        <w:t xml:space="preserve"> more cost effective</w:t>
      </w:r>
      <w:r w:rsidR="0073666D">
        <w:t xml:space="preserve"> </w:t>
      </w:r>
      <w:r w:rsidR="003D71DA">
        <w:t xml:space="preserve">to </w:t>
      </w:r>
      <w:r w:rsidR="00A85536">
        <w:t xml:space="preserve">retain </w:t>
      </w:r>
      <w:r w:rsidR="003D71DA">
        <w:t xml:space="preserve">holdings in hard copy until </w:t>
      </w:r>
      <w:r w:rsidR="0073666D">
        <w:t xml:space="preserve">destruction </w:t>
      </w:r>
      <w:r w:rsidR="003D71DA">
        <w:t xml:space="preserve">than convert them to digital format. </w:t>
      </w:r>
    </w:p>
    <w:p w:rsidR="00A85536" w:rsidRDefault="00915188" w:rsidP="00162883">
      <w:pPr>
        <w:pStyle w:val="NormalParagraph"/>
      </w:pPr>
      <w:r>
        <w:t>Interested parties</w:t>
      </w:r>
      <w:r w:rsidR="00524945">
        <w:t xml:space="preserve"> have also indicated that </w:t>
      </w:r>
      <w:r w:rsidR="00AE7587">
        <w:t>it can be costly</w:t>
      </w:r>
      <w:r w:rsidR="00A85536">
        <w:t xml:space="preserve">, or create significant business disruption, </w:t>
      </w:r>
      <w:r w:rsidR="00AE7587">
        <w:t xml:space="preserve">to </w:t>
      </w:r>
      <w:r w:rsidR="000D7536">
        <w:t xml:space="preserve">redesign </w:t>
      </w:r>
      <w:r w:rsidR="008B4529">
        <w:t xml:space="preserve">established </w:t>
      </w:r>
      <w:r w:rsidR="000D7536">
        <w:t xml:space="preserve">business </w:t>
      </w:r>
      <w:r w:rsidR="00AE7587">
        <w:t xml:space="preserve">practices </w:t>
      </w:r>
      <w:r w:rsidR="000D7536">
        <w:t xml:space="preserve">to </w:t>
      </w:r>
      <w:r w:rsidR="00AE7587">
        <w:t xml:space="preserve">create </w:t>
      </w:r>
      <w:r w:rsidR="000D7536">
        <w:t>only digital docume</w:t>
      </w:r>
      <w:r w:rsidR="006E0935">
        <w:t xml:space="preserve">nts. </w:t>
      </w:r>
    </w:p>
    <w:p w:rsidR="00D30373" w:rsidRDefault="006D7FBB" w:rsidP="00162883">
      <w:pPr>
        <w:pStyle w:val="NormalParagraph"/>
      </w:pPr>
      <w:r>
        <w:t xml:space="preserve">Organisations that have an ongoing demand for document storage are still creating physical documents. </w:t>
      </w:r>
      <w:r w:rsidR="00A85536">
        <w:t xml:space="preserve">The ongoing demand for </w:t>
      </w:r>
      <w:r w:rsidR="00D12F0B">
        <w:t xml:space="preserve">physical </w:t>
      </w:r>
      <w:r w:rsidR="00A85536">
        <w:t xml:space="preserve">document storage and PDMS more broadly can be seen in the existence of specialised </w:t>
      </w:r>
      <w:r w:rsidR="00A85536">
        <w:lastRenderedPageBreak/>
        <w:t>PDMS providers that seek to meet the needs of customers by providing such a service</w:t>
      </w:r>
      <w:r w:rsidR="00D30373">
        <w:t>.</w:t>
      </w:r>
    </w:p>
    <w:p w:rsidR="005917A2" w:rsidRDefault="0014271B" w:rsidP="00162883">
      <w:pPr>
        <w:pStyle w:val="NormalParagraph"/>
      </w:pPr>
      <w:r>
        <w:t>Given the</w:t>
      </w:r>
      <w:r w:rsidR="0071147D">
        <w:t xml:space="preserve"> above</w:t>
      </w:r>
      <w:r>
        <w:t xml:space="preserve"> factors, the ACCC</w:t>
      </w:r>
      <w:r w:rsidR="007818FA">
        <w:t xml:space="preserve">’s preliminary view is that </w:t>
      </w:r>
      <w:r>
        <w:t xml:space="preserve">digital document </w:t>
      </w:r>
      <w:r w:rsidR="00C96ED3">
        <w:t>storage services</w:t>
      </w:r>
      <w:r>
        <w:t xml:space="preserve"> </w:t>
      </w:r>
      <w:r w:rsidR="00D12F0B">
        <w:t xml:space="preserve">are a relatively weak substitute for </w:t>
      </w:r>
      <w:r w:rsidR="005917A2">
        <w:t xml:space="preserve">PDMS where customers require such a service. </w:t>
      </w:r>
      <w:r w:rsidR="002C392F">
        <w:t xml:space="preserve">This does not mean that digitisation is excluded from the ACCC’s analysis. </w:t>
      </w:r>
      <w:r w:rsidR="00642184">
        <w:t xml:space="preserve">The ACCC is further considering the extent to which digitisation </w:t>
      </w:r>
      <w:r w:rsidR="00D12F0B">
        <w:t xml:space="preserve">would </w:t>
      </w:r>
      <w:r w:rsidR="00642184">
        <w:t xml:space="preserve">provide a constraint </w:t>
      </w:r>
      <w:r w:rsidR="00D12F0B">
        <w:t>on</w:t>
      </w:r>
      <w:r w:rsidR="00642184">
        <w:t xml:space="preserve"> the merged entity</w:t>
      </w:r>
      <w:r w:rsidR="00770A19">
        <w:t>, particularly in light of broader trends</w:t>
      </w:r>
      <w:r w:rsidR="00642184">
        <w:t xml:space="preserve"> (see paragraph </w:t>
      </w:r>
      <w:r w:rsidR="00642184">
        <w:fldChar w:fldCharType="begin"/>
      </w:r>
      <w:r w:rsidR="00642184">
        <w:instrText xml:space="preserve"> REF _Ref433894913 \r \h </w:instrText>
      </w:r>
      <w:r w:rsidR="00642184">
        <w:fldChar w:fldCharType="separate"/>
      </w:r>
      <w:r w:rsidR="000857DF">
        <w:t>88</w:t>
      </w:r>
      <w:r w:rsidR="00642184">
        <w:fldChar w:fldCharType="end"/>
      </w:r>
      <w:r w:rsidR="00642184">
        <w:t xml:space="preserve"> below).</w:t>
      </w:r>
    </w:p>
    <w:p w:rsidR="00346285" w:rsidRDefault="00346285" w:rsidP="00162883">
      <w:pPr>
        <w:pStyle w:val="Heading4"/>
      </w:pPr>
      <w:r>
        <w:t xml:space="preserve">Geographic </w:t>
      </w:r>
      <w:r w:rsidR="003E2F67">
        <w:t>dimension</w:t>
      </w:r>
      <w:r w:rsidR="00274EAA">
        <w:t xml:space="preserve"> </w:t>
      </w:r>
    </w:p>
    <w:p w:rsidR="007818FA" w:rsidRDefault="002C392F" w:rsidP="00162883">
      <w:pPr>
        <w:pStyle w:val="Numbered"/>
      </w:pPr>
      <w:r>
        <w:t xml:space="preserve">The ACCC considers that competition may occur at more than one geographic level. </w:t>
      </w:r>
      <w:r w:rsidR="00977E44">
        <w:t xml:space="preserve">The ACCC’s preliminary view is </w:t>
      </w:r>
      <w:r w:rsidR="00F601BD">
        <w:t>that the market for the supply of PDMS</w:t>
      </w:r>
      <w:r w:rsidR="003E0BBF">
        <w:t xml:space="preserve"> covers two geographic levels</w:t>
      </w:r>
      <w:r w:rsidR="007818FA">
        <w:t>:</w:t>
      </w:r>
      <w:r w:rsidR="003E0BBF">
        <w:t xml:space="preserve"> regional and national.</w:t>
      </w:r>
    </w:p>
    <w:p w:rsidR="003E0BBF" w:rsidRDefault="003E0BBF" w:rsidP="006075BC">
      <w:pPr>
        <w:pStyle w:val="Heading5"/>
      </w:pPr>
      <w:r>
        <w:t>Regional markets</w:t>
      </w:r>
    </w:p>
    <w:p w:rsidR="00F4428B" w:rsidRDefault="00F4428B" w:rsidP="00F4428B">
      <w:pPr>
        <w:pStyle w:val="Numbered"/>
      </w:pPr>
      <w:r>
        <w:t>Inquiries indicate that customers with holdings in a particular region use suppliers in the same region. For retrieval purposes, time-sensitive customers value access to their documents at short notice. In addition, inquiries suggest that customers are attentive to costs and do not consider suppliers of PDMS in more distant locations (e.g. in a different state) to be close substitutes for suppliers based in the same region as the customer, given transport costs.</w:t>
      </w:r>
    </w:p>
    <w:p w:rsidR="003E0BBF" w:rsidRDefault="003E0BBF" w:rsidP="00E2414A">
      <w:pPr>
        <w:pStyle w:val="Numbered"/>
      </w:pPr>
      <w:r>
        <w:t>The ACCC’s preliminary view is that regional markets are mainly centred on state or territory capital cities</w:t>
      </w:r>
      <w:r w:rsidR="00F4428B">
        <w:t xml:space="preserve"> where there is a large customer base</w:t>
      </w:r>
      <w:r>
        <w:t>. However the ACCC has not sought to precisely define the geographic dimension of each regional market for the purposes of this Statement of Issues. The competition issues in each regional market are unlikely to be materially affected by consideration of the precise geographic boundary of the market.</w:t>
      </w:r>
    </w:p>
    <w:p w:rsidR="003E0BBF" w:rsidRPr="001A4F55" w:rsidRDefault="003E0BBF" w:rsidP="00326F40">
      <w:pPr>
        <w:pStyle w:val="Heading5"/>
      </w:pPr>
      <w:r>
        <w:t>National market</w:t>
      </w:r>
    </w:p>
    <w:p w:rsidR="005348F6" w:rsidRDefault="00052EB7" w:rsidP="00162883">
      <w:pPr>
        <w:pStyle w:val="NormalParagraph"/>
      </w:pPr>
      <w:r>
        <w:t xml:space="preserve">Inquiries indicate that </w:t>
      </w:r>
      <w:r w:rsidR="002C392F">
        <w:t xml:space="preserve">large </w:t>
      </w:r>
      <w:r w:rsidR="00435B15">
        <w:t xml:space="preserve">customers </w:t>
      </w:r>
      <w:r w:rsidR="00806AA4">
        <w:t xml:space="preserve">with a national </w:t>
      </w:r>
      <w:r w:rsidR="00495431">
        <w:t xml:space="preserve">or multi-regional </w:t>
      </w:r>
      <w:r w:rsidR="00806AA4">
        <w:t>presence</w:t>
      </w:r>
      <w:r w:rsidR="00495431">
        <w:t>,</w:t>
      </w:r>
      <w:r w:rsidR="00806AA4">
        <w:t xml:space="preserve"> </w:t>
      </w:r>
      <w:r w:rsidR="00435B15">
        <w:t xml:space="preserve">such as large corporate and government customers </w:t>
      </w:r>
      <w:r w:rsidR="002C392F">
        <w:t>tender for, and contract with,</w:t>
      </w:r>
      <w:r w:rsidR="00435B15">
        <w:t xml:space="preserve"> a single provider who can </w:t>
      </w:r>
      <w:r w:rsidR="00495431">
        <w:t xml:space="preserve">meet their </w:t>
      </w:r>
      <w:r w:rsidR="00435B15">
        <w:t xml:space="preserve">PDMS </w:t>
      </w:r>
      <w:r w:rsidR="00495431">
        <w:t>needs in all their locations</w:t>
      </w:r>
      <w:r w:rsidR="00435B15">
        <w:t xml:space="preserve">. This arrangement allows </w:t>
      </w:r>
      <w:r w:rsidR="00C96ED3">
        <w:t xml:space="preserve">such </w:t>
      </w:r>
      <w:r w:rsidR="00435B15">
        <w:t>customers to receive significant volume-based discounts</w:t>
      </w:r>
      <w:r w:rsidR="005673B7">
        <w:t>.</w:t>
      </w:r>
      <w:r w:rsidR="00DD379A">
        <w:t xml:space="preserve"> </w:t>
      </w:r>
      <w:r w:rsidR="005673B7">
        <w:t>D</w:t>
      </w:r>
      <w:r w:rsidR="00DD379A">
        <w:t>ealing with only one supplier</w:t>
      </w:r>
      <w:r w:rsidR="005673B7">
        <w:t xml:space="preserve"> also simplifies and reduces the c</w:t>
      </w:r>
      <w:r w:rsidR="00B12083">
        <w:t xml:space="preserve">osts of procurement </w:t>
      </w:r>
      <w:r w:rsidR="005348F6">
        <w:t>and contract management</w:t>
      </w:r>
      <w:r w:rsidR="002C392F">
        <w:t>, and allows a central approach to document management and retrieval</w:t>
      </w:r>
      <w:r w:rsidR="00495431">
        <w:t>, even where documents are held in multiple locations</w:t>
      </w:r>
      <w:r w:rsidR="002C392F">
        <w:t>.</w:t>
      </w:r>
    </w:p>
    <w:p w:rsidR="00AF25E7" w:rsidRDefault="00D00FDE" w:rsidP="00162883">
      <w:pPr>
        <w:pStyle w:val="NormalParagraph"/>
      </w:pPr>
      <w:r>
        <w:t xml:space="preserve">Iron Mountain, Recall, Grace and </w:t>
      </w:r>
      <w:r w:rsidR="00AE7587">
        <w:t xml:space="preserve">to a lesser extent </w:t>
      </w:r>
      <w:r>
        <w:t xml:space="preserve">TIMG have a national presence with multiple warehouses in different locations. They have the </w:t>
      </w:r>
      <w:r w:rsidR="00F366B4">
        <w:t xml:space="preserve">footprint </w:t>
      </w:r>
      <w:r w:rsidR="002C392F">
        <w:t xml:space="preserve">and systems </w:t>
      </w:r>
      <w:r w:rsidR="00F366B4">
        <w:t>to service the needs of customers</w:t>
      </w:r>
      <w:r w:rsidR="002C392F">
        <w:t xml:space="preserve"> requiring a national </w:t>
      </w:r>
      <w:r w:rsidR="00495431">
        <w:t xml:space="preserve">or multi-regional </w:t>
      </w:r>
      <w:r w:rsidR="002C392F">
        <w:t>solution</w:t>
      </w:r>
      <w:r w:rsidR="00F366B4">
        <w:t>.</w:t>
      </w:r>
      <w:r>
        <w:t xml:space="preserve"> </w:t>
      </w:r>
      <w:r w:rsidR="00BE3644">
        <w:t>Inquiries suggest that s</w:t>
      </w:r>
      <w:r w:rsidR="0071147D">
        <w:t>maller provider</w:t>
      </w:r>
      <w:r w:rsidR="0059007D">
        <w:t xml:space="preserve">s that </w:t>
      </w:r>
      <w:r w:rsidR="00E15F67">
        <w:t>do not have a national presence</w:t>
      </w:r>
      <w:r w:rsidR="0071147D">
        <w:t xml:space="preserve"> cannot readily </w:t>
      </w:r>
      <w:r w:rsidR="002C392F">
        <w:t xml:space="preserve">expand their offer </w:t>
      </w:r>
      <w:r w:rsidR="0071147D">
        <w:t>without significant new investment</w:t>
      </w:r>
      <w:r w:rsidR="002C392F">
        <w:t>. Inquir</w:t>
      </w:r>
      <w:r w:rsidR="00A75D37">
        <w:t>i</w:t>
      </w:r>
      <w:r w:rsidR="002C392F">
        <w:t>es suggest that it is difficult for smaller providers to secure committed business necessary to achieve the economies of scale required to underwrite investment in additional warehouse capacity</w:t>
      </w:r>
      <w:r w:rsidR="00495431">
        <w:t>.</w:t>
      </w:r>
    </w:p>
    <w:p w:rsidR="00495431" w:rsidRDefault="00495431" w:rsidP="00495431">
      <w:pPr>
        <w:pStyle w:val="NormalParagraph"/>
      </w:pPr>
      <w:r>
        <w:t xml:space="preserve">Therefore, this Statement of Issues considers the effect of the proposed acquisition in a national PDMS market. For this purpose, a reference to </w:t>
      </w:r>
      <w:r w:rsidR="00530C51">
        <w:t xml:space="preserve">a </w:t>
      </w:r>
      <w:r>
        <w:t xml:space="preserve">‘national’ </w:t>
      </w:r>
      <w:r w:rsidR="00530C51">
        <w:t xml:space="preserve">supplier </w:t>
      </w:r>
      <w:r w:rsidR="00C51E36">
        <w:t xml:space="preserve">or customer </w:t>
      </w:r>
      <w:r>
        <w:t>includes large customers that operate in more than one state or territory (that is, multi-regional)</w:t>
      </w:r>
      <w:r w:rsidR="00B3340F">
        <w:t>, and suppliers that can service their needs</w:t>
      </w:r>
      <w:r>
        <w:t>.</w:t>
      </w:r>
    </w:p>
    <w:p w:rsidR="0081112E" w:rsidRPr="006134B8" w:rsidRDefault="00FF2AB2" w:rsidP="00162883">
      <w:pPr>
        <w:pStyle w:val="Heading4"/>
      </w:pPr>
      <w:r w:rsidRPr="00491672">
        <w:lastRenderedPageBreak/>
        <w:t xml:space="preserve">Preliminary </w:t>
      </w:r>
      <w:r w:rsidR="000761BD" w:rsidRPr="00491672">
        <w:t>view</w:t>
      </w:r>
      <w:r w:rsidR="00B942DF" w:rsidRPr="00491672">
        <w:t xml:space="preserve"> </w:t>
      </w:r>
      <w:r w:rsidR="00604DD2" w:rsidRPr="00491672">
        <w:t>on</w:t>
      </w:r>
      <w:r w:rsidR="0081112E" w:rsidRPr="00491672">
        <w:t xml:space="preserve"> relevant market</w:t>
      </w:r>
      <w:r w:rsidR="00274EAA">
        <w:t>s</w:t>
      </w:r>
    </w:p>
    <w:p w:rsidR="00346285" w:rsidRDefault="00346285" w:rsidP="00162883">
      <w:pPr>
        <w:pStyle w:val="Numbered"/>
      </w:pPr>
      <w:r>
        <w:t xml:space="preserve">Based on information received by the ACCC to date, </w:t>
      </w:r>
      <w:r w:rsidR="00E01127">
        <w:t>t</w:t>
      </w:r>
      <w:r>
        <w:t>he ACCC’s preliminary view is that the markets relevant for assessing the competition effects of the acquisition are:</w:t>
      </w:r>
    </w:p>
    <w:p w:rsidR="00495431" w:rsidRDefault="00495431" w:rsidP="00495431">
      <w:pPr>
        <w:pStyle w:val="Numbered"/>
        <w:numPr>
          <w:ilvl w:val="0"/>
          <w:numId w:val="13"/>
        </w:numPr>
      </w:pPr>
      <w:r>
        <w:t>regional markets, centred on each state and territory capital city, for the supply of PDMS</w:t>
      </w:r>
    </w:p>
    <w:p w:rsidR="00346285" w:rsidRDefault="00495431" w:rsidP="00162883">
      <w:pPr>
        <w:pStyle w:val="Numbered"/>
        <w:numPr>
          <w:ilvl w:val="0"/>
          <w:numId w:val="13"/>
        </w:numPr>
      </w:pPr>
      <w:r>
        <w:t xml:space="preserve">a </w:t>
      </w:r>
      <w:r w:rsidR="003B073A">
        <w:t>national market for the supply of PDMS</w:t>
      </w:r>
      <w:r>
        <w:t xml:space="preserve"> (including multi-regional supply).</w:t>
      </w:r>
    </w:p>
    <w:p w:rsidR="006D0531" w:rsidRDefault="006D0531" w:rsidP="00162883">
      <w:pPr>
        <w:pStyle w:val="Heading4"/>
      </w:pPr>
      <w:r>
        <w:t>Questions for interested parties</w:t>
      </w:r>
    </w:p>
    <w:p w:rsidR="00194D5D" w:rsidRPr="004D3271" w:rsidRDefault="00194D5D" w:rsidP="00162883">
      <w:pPr>
        <w:pStyle w:val="commentbox"/>
      </w:pPr>
      <w:r w:rsidRPr="004D3271">
        <w:t xml:space="preserve">The ACCC invites comments from market participants on its </w:t>
      </w:r>
      <w:r w:rsidR="000028A1">
        <w:t>preliminary views about the</w:t>
      </w:r>
      <w:r w:rsidR="000028A1" w:rsidRPr="004D3271">
        <w:t xml:space="preserve"> </w:t>
      </w:r>
      <w:r w:rsidRPr="004D3271">
        <w:t>de</w:t>
      </w:r>
      <w:r w:rsidR="001E654E" w:rsidRPr="004D3271">
        <w:t>finition of the relevant market</w:t>
      </w:r>
      <w:r w:rsidR="000028A1">
        <w:t>(s)</w:t>
      </w:r>
      <w:r w:rsidRPr="004D3271">
        <w:t>. In particular market participants may wish to comment on</w:t>
      </w:r>
      <w:r w:rsidR="000A206B">
        <w:t xml:space="preserve"> the following</w:t>
      </w:r>
      <w:r w:rsidRPr="004D3271">
        <w:t>:</w:t>
      </w:r>
    </w:p>
    <w:p w:rsidR="003B073A" w:rsidRDefault="00ED23CA" w:rsidP="00162883">
      <w:pPr>
        <w:pStyle w:val="commentbox"/>
        <w:numPr>
          <w:ilvl w:val="0"/>
          <w:numId w:val="4"/>
        </w:numPr>
      </w:pPr>
      <w:r>
        <w:t>Would</w:t>
      </w:r>
      <w:r w:rsidR="003B073A">
        <w:t xml:space="preserve"> customers and</w:t>
      </w:r>
      <w:r w:rsidR="00624C97">
        <w:t>/or</w:t>
      </w:r>
      <w:r w:rsidR="003B073A">
        <w:t xml:space="preserve"> suppliers </w:t>
      </w:r>
      <w:r w:rsidR="000A206B">
        <w:t xml:space="preserve">substitute </w:t>
      </w:r>
      <w:r>
        <w:t xml:space="preserve">digital </w:t>
      </w:r>
      <w:r w:rsidR="00624C97">
        <w:t xml:space="preserve">document </w:t>
      </w:r>
      <w:r>
        <w:t xml:space="preserve">storage </w:t>
      </w:r>
      <w:r w:rsidR="000A206B">
        <w:t xml:space="preserve">for </w:t>
      </w:r>
      <w:r w:rsidR="00624C97">
        <w:t xml:space="preserve">physical document storage </w:t>
      </w:r>
      <w:r w:rsidR="000A206B">
        <w:t>if the price of PDMS were to increase</w:t>
      </w:r>
      <w:r w:rsidR="00624C97">
        <w:t xml:space="preserve"> by 5-10 per cent</w:t>
      </w:r>
      <w:r w:rsidR="000A206B">
        <w:t>?</w:t>
      </w:r>
      <w:r w:rsidR="007A6AD6">
        <w:t xml:space="preserve"> Why</w:t>
      </w:r>
      <w:r w:rsidR="005917A2">
        <w:t xml:space="preserve"> or </w:t>
      </w:r>
      <w:r w:rsidR="007A6AD6">
        <w:t>why not? Please provide examples.</w:t>
      </w:r>
    </w:p>
    <w:p w:rsidR="00495431" w:rsidRDefault="00322CAB" w:rsidP="00162883">
      <w:pPr>
        <w:pStyle w:val="commentbox"/>
        <w:numPr>
          <w:ilvl w:val="0"/>
          <w:numId w:val="4"/>
        </w:numPr>
      </w:pPr>
      <w:r>
        <w:t xml:space="preserve">Could </w:t>
      </w:r>
      <w:r w:rsidR="00495431">
        <w:t xml:space="preserve">PDMS </w:t>
      </w:r>
      <w:r>
        <w:t xml:space="preserve">suppliers only </w:t>
      </w:r>
      <w:r w:rsidR="00152CBD">
        <w:t xml:space="preserve">operating </w:t>
      </w:r>
      <w:r>
        <w:t xml:space="preserve">in one region </w:t>
      </w:r>
      <w:r w:rsidR="00624C97">
        <w:t xml:space="preserve">readily </w:t>
      </w:r>
      <w:r w:rsidR="00FA7AB5">
        <w:t xml:space="preserve">expand </w:t>
      </w:r>
      <w:r w:rsidR="00624C97">
        <w:t xml:space="preserve">to </w:t>
      </w:r>
      <w:r>
        <w:t>serve customers in another region</w:t>
      </w:r>
      <w:r w:rsidR="004A595E">
        <w:t>, or expand into several regions to meet the needs of a large national supply contract</w:t>
      </w:r>
      <w:r w:rsidR="00495431">
        <w:t>?</w:t>
      </w:r>
    </w:p>
    <w:p w:rsidR="001E325D" w:rsidRDefault="00BA3C2C" w:rsidP="00162883">
      <w:pPr>
        <w:pStyle w:val="commentbox"/>
        <w:numPr>
          <w:ilvl w:val="0"/>
          <w:numId w:val="4"/>
        </w:numPr>
      </w:pPr>
      <w:r>
        <w:t>How far do PDMS suppliers travel to service customers? Do these distances differ depending on whether the customer is a national customer</w:t>
      </w:r>
      <w:r w:rsidR="00B3340F">
        <w:t xml:space="preserve"> or not</w:t>
      </w:r>
      <w:r>
        <w:t xml:space="preserve">? </w:t>
      </w:r>
    </w:p>
    <w:p w:rsidR="00415A17" w:rsidRDefault="00346285" w:rsidP="002307B6">
      <w:pPr>
        <w:pStyle w:val="Heading3"/>
      </w:pPr>
      <w:r>
        <w:t>Issue</w:t>
      </w:r>
      <w:r w:rsidR="008D7DC6">
        <w:t xml:space="preserve"> </w:t>
      </w:r>
      <w:r w:rsidR="00823218">
        <w:t>of</w:t>
      </w:r>
      <w:r w:rsidR="00FB30A0" w:rsidRPr="004B1DAE">
        <w:t xml:space="preserve"> concern</w:t>
      </w:r>
      <w:r>
        <w:t xml:space="preserve">: </w:t>
      </w:r>
      <w:r w:rsidR="00915750">
        <w:t>Reduction in competition</w:t>
      </w:r>
      <w:r w:rsidR="008D7DC6">
        <w:t xml:space="preserve"> </w:t>
      </w:r>
      <w:r w:rsidR="00485716">
        <w:t>in the national PDMS market</w:t>
      </w:r>
    </w:p>
    <w:p w:rsidR="00415A17" w:rsidRDefault="00415A17" w:rsidP="00162883">
      <w:pPr>
        <w:pStyle w:val="NormalParagraph"/>
      </w:pPr>
      <w:r>
        <w:t>Based upon its inquiries to date, the ACCC</w:t>
      </w:r>
      <w:r w:rsidR="001C42C7">
        <w:t>’s preliminary view</w:t>
      </w:r>
      <w:r w:rsidR="0021005E">
        <w:t xml:space="preserve"> </w:t>
      </w:r>
      <w:r>
        <w:t xml:space="preserve">is that the proposed acquisition </w:t>
      </w:r>
      <w:r w:rsidR="00823218">
        <w:t>is likely to</w:t>
      </w:r>
      <w:r w:rsidR="00130F2C">
        <w:t xml:space="preserve"> </w:t>
      </w:r>
      <w:r w:rsidR="00B62813">
        <w:t xml:space="preserve">lead to a </w:t>
      </w:r>
      <w:r w:rsidR="0021005E">
        <w:t>substantial lessen</w:t>
      </w:r>
      <w:r w:rsidR="00B62813">
        <w:t>ing of</w:t>
      </w:r>
      <w:r w:rsidR="005E0448">
        <w:t xml:space="preserve"> </w:t>
      </w:r>
      <w:r>
        <w:t xml:space="preserve">competition </w:t>
      </w:r>
      <w:r w:rsidR="00130F2C">
        <w:t xml:space="preserve">in the national PDMS market </w:t>
      </w:r>
      <w:r w:rsidR="005E0448">
        <w:t xml:space="preserve">as a result of the </w:t>
      </w:r>
      <w:r w:rsidR="00B62813">
        <w:t xml:space="preserve">elimination of </w:t>
      </w:r>
      <w:r w:rsidR="005E0448">
        <w:t xml:space="preserve">close and significant </w:t>
      </w:r>
      <w:r w:rsidR="00B62813">
        <w:t xml:space="preserve">competition between Recall and </w:t>
      </w:r>
      <w:r w:rsidR="00FA7AB5">
        <w:t>Iron Mountain</w:t>
      </w:r>
      <w:r w:rsidR="005E0448">
        <w:t xml:space="preserve">. This would lessen the constraints faced by Iron Mountain and </w:t>
      </w:r>
      <w:r w:rsidR="004A595E">
        <w:t xml:space="preserve">would be likely to </w:t>
      </w:r>
      <w:r w:rsidR="005E0448">
        <w:t>lead to an increase in prices and/or a reduction in service.</w:t>
      </w:r>
    </w:p>
    <w:p w:rsidR="002C3D31" w:rsidRDefault="002C3D31" w:rsidP="00162883">
      <w:pPr>
        <w:pStyle w:val="Heading4"/>
      </w:pPr>
      <w:r>
        <w:t xml:space="preserve">Market </w:t>
      </w:r>
      <w:r w:rsidR="001A0C66">
        <w:t>concentration</w:t>
      </w:r>
    </w:p>
    <w:p w:rsidR="002C3D31" w:rsidRDefault="005E0448" w:rsidP="00FA7AB5">
      <w:pPr>
        <w:pStyle w:val="NormalParagraph"/>
      </w:pPr>
      <w:r>
        <w:t xml:space="preserve">Based on data supplied by </w:t>
      </w:r>
      <w:r w:rsidR="00326F40">
        <w:t xml:space="preserve">different </w:t>
      </w:r>
      <w:r>
        <w:t xml:space="preserve">interested parties, </w:t>
      </w:r>
      <w:r w:rsidR="00530C51">
        <w:t xml:space="preserve">national </w:t>
      </w:r>
      <w:r>
        <w:t xml:space="preserve">market share estimates </w:t>
      </w:r>
      <w:r w:rsidR="00530C51">
        <w:t xml:space="preserve">for the supply of </w:t>
      </w:r>
      <w:r>
        <w:t>P</w:t>
      </w:r>
      <w:r w:rsidR="003D27E9">
        <w:t xml:space="preserve">DMS are </w:t>
      </w:r>
      <w:r w:rsidR="00D657CC">
        <w:t xml:space="preserve">provided </w:t>
      </w:r>
      <w:r w:rsidR="003D27E9">
        <w:t>in T</w:t>
      </w:r>
      <w:r>
        <w:t xml:space="preserve">able </w:t>
      </w:r>
      <w:r w:rsidR="003D27E9">
        <w:t>1 on the next page</w:t>
      </w:r>
      <w:r>
        <w:t>.</w:t>
      </w:r>
      <w:r w:rsidR="00FA7AB5">
        <w:t xml:space="preserve"> The estimates are provided as ranges to account for differences in parties’ views.</w:t>
      </w:r>
    </w:p>
    <w:p w:rsidR="005E0448" w:rsidRPr="00C3583A" w:rsidRDefault="003D27E9" w:rsidP="00DF38EF">
      <w:pPr>
        <w:keepNext/>
        <w:spacing w:after="120"/>
        <w:ind w:left="567"/>
        <w:rPr>
          <w:rFonts w:ascii="Arial" w:hAnsi="Arial" w:cs="Arial"/>
          <w:b/>
          <w:sz w:val="22"/>
          <w:szCs w:val="22"/>
        </w:rPr>
      </w:pPr>
      <w:r>
        <w:rPr>
          <w:rFonts w:ascii="Arial" w:hAnsi="Arial" w:cs="Arial"/>
          <w:b/>
          <w:sz w:val="22"/>
          <w:szCs w:val="22"/>
        </w:rPr>
        <w:br w:type="page"/>
      </w:r>
      <w:r w:rsidR="005E0448" w:rsidRPr="00C3583A">
        <w:rPr>
          <w:rFonts w:ascii="Arial" w:hAnsi="Arial" w:cs="Arial"/>
          <w:b/>
          <w:sz w:val="22"/>
          <w:szCs w:val="22"/>
        </w:rPr>
        <w:lastRenderedPageBreak/>
        <w:t xml:space="preserve">Table </w:t>
      </w:r>
      <w:r w:rsidR="00DF1ADB">
        <w:rPr>
          <w:rFonts w:ascii="Arial" w:hAnsi="Arial" w:cs="Arial"/>
          <w:b/>
          <w:sz w:val="22"/>
          <w:szCs w:val="22"/>
        </w:rPr>
        <w:t>1</w:t>
      </w:r>
      <w:r w:rsidR="005E0448" w:rsidRPr="00C3583A">
        <w:rPr>
          <w:rFonts w:ascii="Arial" w:hAnsi="Arial" w:cs="Arial"/>
          <w:b/>
          <w:sz w:val="22"/>
          <w:szCs w:val="22"/>
        </w:rPr>
        <w:t xml:space="preserve">: </w:t>
      </w:r>
      <w:r w:rsidR="00530C51">
        <w:rPr>
          <w:rFonts w:ascii="Arial" w:hAnsi="Arial" w:cs="Arial"/>
          <w:b/>
          <w:sz w:val="22"/>
          <w:szCs w:val="22"/>
        </w:rPr>
        <w:t>National m</w:t>
      </w:r>
      <w:r w:rsidR="005E0448" w:rsidRPr="00C3583A">
        <w:rPr>
          <w:rFonts w:ascii="Arial" w:hAnsi="Arial" w:cs="Arial"/>
          <w:b/>
          <w:sz w:val="22"/>
          <w:szCs w:val="22"/>
        </w:rPr>
        <w:t xml:space="preserve">arket share estimates </w:t>
      </w:r>
      <w:r w:rsidR="00530C51">
        <w:rPr>
          <w:rFonts w:ascii="Arial" w:hAnsi="Arial" w:cs="Arial"/>
          <w:b/>
          <w:sz w:val="22"/>
          <w:szCs w:val="22"/>
        </w:rPr>
        <w:t xml:space="preserve">for supply of </w:t>
      </w:r>
      <w:r w:rsidR="004056BA">
        <w:rPr>
          <w:rFonts w:ascii="Arial" w:hAnsi="Arial" w:cs="Arial"/>
          <w:b/>
          <w:sz w:val="22"/>
          <w:szCs w:val="22"/>
        </w:rPr>
        <w:t>PDMS</w:t>
      </w:r>
      <w:r w:rsidR="00D657CC">
        <w:rPr>
          <w:rFonts w:ascii="Arial" w:hAnsi="Arial" w:cs="Arial"/>
          <w:b/>
          <w:sz w:val="22"/>
          <w:szCs w:val="22"/>
        </w:rPr>
        <w:t xml:space="preserve"> </w:t>
      </w:r>
      <w:r w:rsidR="00B97112">
        <w:rPr>
          <w:rFonts w:ascii="Arial" w:hAnsi="Arial" w:cs="Arial"/>
          <w:b/>
          <w:sz w:val="22"/>
          <w:szCs w:val="22"/>
        </w:rPr>
        <w:t>2014-15</w:t>
      </w:r>
    </w:p>
    <w:tbl>
      <w:tblPr>
        <w:tblW w:w="7655"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4536"/>
      </w:tblGrid>
      <w:tr w:rsidR="00AB211B" w:rsidRPr="002A0002" w:rsidTr="00586332">
        <w:trPr>
          <w:cantSplit/>
          <w:trHeight w:val="333"/>
          <w:tblHeader/>
        </w:trPr>
        <w:tc>
          <w:tcPr>
            <w:tcW w:w="3119" w:type="dxa"/>
            <w:tcBorders>
              <w:right w:val="single" w:sz="4" w:space="0" w:color="auto"/>
            </w:tcBorders>
            <w:shd w:val="pct25" w:color="auto" w:fill="auto"/>
            <w:vAlign w:val="center"/>
          </w:tcPr>
          <w:p w:rsidR="00AB211B" w:rsidRPr="00AF3333" w:rsidRDefault="00AB211B" w:rsidP="00AB211B">
            <w:pPr>
              <w:rPr>
                <w:rFonts w:ascii="Arial" w:hAnsi="Arial" w:cs="Arial"/>
                <w:sz w:val="22"/>
                <w:szCs w:val="22"/>
              </w:rPr>
            </w:pPr>
            <w:r w:rsidRPr="00AF3333">
              <w:rPr>
                <w:rFonts w:ascii="Arial" w:hAnsi="Arial" w:cs="Arial"/>
                <w:b/>
                <w:sz w:val="22"/>
                <w:szCs w:val="22"/>
              </w:rPr>
              <w:t>PDMS supplier</w:t>
            </w:r>
          </w:p>
        </w:tc>
        <w:tc>
          <w:tcPr>
            <w:tcW w:w="4536" w:type="dxa"/>
            <w:shd w:val="pct25" w:color="auto" w:fill="auto"/>
            <w:vAlign w:val="center"/>
          </w:tcPr>
          <w:p w:rsidR="00AB211B" w:rsidRPr="00AF3333" w:rsidRDefault="00AB211B" w:rsidP="003C05B1">
            <w:pPr>
              <w:jc w:val="center"/>
              <w:rPr>
                <w:rFonts w:ascii="Arial" w:hAnsi="Arial" w:cs="Arial"/>
                <w:b/>
                <w:sz w:val="22"/>
                <w:szCs w:val="22"/>
              </w:rPr>
            </w:pPr>
            <w:r>
              <w:rPr>
                <w:rFonts w:ascii="Arial" w:hAnsi="Arial" w:cs="Arial"/>
                <w:b/>
                <w:sz w:val="22"/>
                <w:szCs w:val="22"/>
              </w:rPr>
              <w:t>Estimate share % (range)</w:t>
            </w:r>
            <w:r w:rsidR="003C05B1" w:rsidRPr="00F038AA">
              <w:rPr>
                <w:rStyle w:val="FootnoteReference"/>
                <w:b/>
              </w:rPr>
              <w:footnoteReference w:id="2"/>
            </w:r>
          </w:p>
        </w:tc>
      </w:tr>
      <w:tr w:rsidR="00AB211B" w:rsidRPr="002A0002" w:rsidTr="00586332">
        <w:trPr>
          <w:cantSplit/>
        </w:trPr>
        <w:tc>
          <w:tcPr>
            <w:tcW w:w="3119" w:type="dxa"/>
            <w:tcBorders>
              <w:right w:val="single" w:sz="4" w:space="0" w:color="auto"/>
            </w:tcBorders>
            <w:shd w:val="clear" w:color="auto" w:fill="auto"/>
          </w:tcPr>
          <w:p w:rsidR="00AB211B" w:rsidRPr="00AF3333" w:rsidRDefault="00AB211B" w:rsidP="005F3E52">
            <w:pPr>
              <w:jc w:val="both"/>
              <w:rPr>
                <w:rFonts w:ascii="Arial" w:hAnsi="Arial" w:cs="Arial"/>
                <w:sz w:val="22"/>
                <w:szCs w:val="22"/>
              </w:rPr>
            </w:pPr>
            <w:r w:rsidRPr="00AF3333">
              <w:rPr>
                <w:rFonts w:ascii="Arial" w:hAnsi="Arial" w:cs="Arial"/>
                <w:sz w:val="22"/>
                <w:szCs w:val="22"/>
              </w:rPr>
              <w:t>Recall</w:t>
            </w:r>
          </w:p>
        </w:tc>
        <w:tc>
          <w:tcPr>
            <w:tcW w:w="4536" w:type="dxa"/>
          </w:tcPr>
          <w:p w:rsidR="00AB211B" w:rsidRPr="00AF3333" w:rsidRDefault="00AB211B" w:rsidP="005F3E52">
            <w:pPr>
              <w:jc w:val="center"/>
              <w:rPr>
                <w:rFonts w:ascii="Arial" w:hAnsi="Arial" w:cs="Arial"/>
                <w:sz w:val="22"/>
                <w:szCs w:val="22"/>
              </w:rPr>
            </w:pPr>
            <w:r>
              <w:rPr>
                <w:rFonts w:ascii="Arial" w:hAnsi="Arial" w:cs="Arial"/>
                <w:sz w:val="22"/>
                <w:szCs w:val="22"/>
              </w:rPr>
              <w:t>37-55</w:t>
            </w:r>
          </w:p>
        </w:tc>
      </w:tr>
      <w:tr w:rsidR="00AB211B" w:rsidRPr="002A0002" w:rsidTr="00586332">
        <w:trPr>
          <w:cantSplit/>
        </w:trPr>
        <w:tc>
          <w:tcPr>
            <w:tcW w:w="3119" w:type="dxa"/>
            <w:tcBorders>
              <w:bottom w:val="single" w:sz="4" w:space="0" w:color="auto"/>
              <w:right w:val="single" w:sz="4" w:space="0" w:color="auto"/>
            </w:tcBorders>
            <w:shd w:val="clear" w:color="auto" w:fill="auto"/>
          </w:tcPr>
          <w:p w:rsidR="00AB211B" w:rsidRPr="00AF3333" w:rsidRDefault="00AB211B" w:rsidP="005F3E52">
            <w:pPr>
              <w:jc w:val="both"/>
              <w:rPr>
                <w:rFonts w:ascii="Arial" w:hAnsi="Arial" w:cs="Arial"/>
                <w:sz w:val="22"/>
                <w:szCs w:val="22"/>
              </w:rPr>
            </w:pPr>
            <w:r w:rsidRPr="00AF3333">
              <w:rPr>
                <w:rFonts w:ascii="Arial" w:hAnsi="Arial" w:cs="Arial"/>
                <w:sz w:val="22"/>
                <w:szCs w:val="22"/>
              </w:rPr>
              <w:t>Iron Mountain</w:t>
            </w:r>
          </w:p>
        </w:tc>
        <w:tc>
          <w:tcPr>
            <w:tcW w:w="4536" w:type="dxa"/>
            <w:tcBorders>
              <w:bottom w:val="single" w:sz="4" w:space="0" w:color="auto"/>
            </w:tcBorders>
          </w:tcPr>
          <w:p w:rsidR="00AB211B" w:rsidRPr="00AF3333" w:rsidRDefault="00AB211B" w:rsidP="005F3E52">
            <w:pPr>
              <w:jc w:val="center"/>
              <w:rPr>
                <w:rFonts w:ascii="Arial" w:hAnsi="Arial" w:cs="Arial"/>
                <w:sz w:val="22"/>
                <w:szCs w:val="22"/>
              </w:rPr>
            </w:pPr>
            <w:r>
              <w:rPr>
                <w:rFonts w:ascii="Arial" w:hAnsi="Arial" w:cs="Arial"/>
                <w:sz w:val="22"/>
                <w:szCs w:val="22"/>
              </w:rPr>
              <w:t>16-22</w:t>
            </w:r>
          </w:p>
        </w:tc>
      </w:tr>
      <w:tr w:rsidR="00AB211B" w:rsidRPr="002A0002" w:rsidTr="00586332">
        <w:trPr>
          <w:cantSplit/>
        </w:trPr>
        <w:tc>
          <w:tcPr>
            <w:tcW w:w="3119" w:type="dxa"/>
            <w:tcBorders>
              <w:right w:val="single" w:sz="4" w:space="0" w:color="auto"/>
            </w:tcBorders>
            <w:shd w:val="pct10" w:color="auto" w:fill="auto"/>
          </w:tcPr>
          <w:p w:rsidR="00AB211B" w:rsidRPr="00AF3333" w:rsidRDefault="00AB211B" w:rsidP="005F3E52">
            <w:pPr>
              <w:jc w:val="both"/>
              <w:rPr>
                <w:rFonts w:ascii="Arial" w:hAnsi="Arial" w:cs="Arial"/>
                <w:sz w:val="22"/>
                <w:szCs w:val="22"/>
              </w:rPr>
            </w:pPr>
            <w:r w:rsidRPr="00AF3333">
              <w:rPr>
                <w:rFonts w:ascii="Arial" w:hAnsi="Arial" w:cs="Arial"/>
                <w:sz w:val="22"/>
                <w:szCs w:val="22"/>
              </w:rPr>
              <w:t>Merged entity</w:t>
            </w:r>
          </w:p>
        </w:tc>
        <w:tc>
          <w:tcPr>
            <w:tcW w:w="4536" w:type="dxa"/>
            <w:shd w:val="pct10" w:color="auto" w:fill="auto"/>
          </w:tcPr>
          <w:p w:rsidR="00AB211B" w:rsidRPr="00AF3333" w:rsidRDefault="00AB211B" w:rsidP="007A6AD6">
            <w:pPr>
              <w:jc w:val="center"/>
              <w:rPr>
                <w:rFonts w:ascii="Arial" w:hAnsi="Arial" w:cs="Arial"/>
                <w:sz w:val="22"/>
                <w:szCs w:val="22"/>
              </w:rPr>
            </w:pPr>
            <w:r>
              <w:rPr>
                <w:rFonts w:ascii="Arial" w:hAnsi="Arial" w:cs="Arial"/>
                <w:sz w:val="22"/>
                <w:szCs w:val="22"/>
              </w:rPr>
              <w:t>59-71</w:t>
            </w:r>
          </w:p>
        </w:tc>
      </w:tr>
      <w:tr w:rsidR="00AB211B" w:rsidRPr="002A0002" w:rsidTr="00586332">
        <w:trPr>
          <w:cantSplit/>
        </w:trPr>
        <w:tc>
          <w:tcPr>
            <w:tcW w:w="3119" w:type="dxa"/>
            <w:tcBorders>
              <w:right w:val="single" w:sz="4" w:space="0" w:color="auto"/>
            </w:tcBorders>
            <w:shd w:val="clear" w:color="auto" w:fill="auto"/>
          </w:tcPr>
          <w:p w:rsidR="00AB211B" w:rsidRPr="00AF3333" w:rsidRDefault="00AB211B" w:rsidP="005F3E52">
            <w:pPr>
              <w:jc w:val="both"/>
              <w:rPr>
                <w:rFonts w:ascii="Arial" w:hAnsi="Arial" w:cs="Arial"/>
                <w:sz w:val="22"/>
                <w:szCs w:val="22"/>
              </w:rPr>
            </w:pPr>
            <w:r w:rsidRPr="00AF3333">
              <w:rPr>
                <w:rFonts w:ascii="Arial" w:hAnsi="Arial" w:cs="Arial"/>
                <w:sz w:val="22"/>
                <w:szCs w:val="22"/>
              </w:rPr>
              <w:t>Grace</w:t>
            </w:r>
          </w:p>
        </w:tc>
        <w:tc>
          <w:tcPr>
            <w:tcW w:w="4536" w:type="dxa"/>
          </w:tcPr>
          <w:p w:rsidR="00AB211B" w:rsidRPr="00AF3333" w:rsidRDefault="00AB211B" w:rsidP="005F3E52">
            <w:pPr>
              <w:jc w:val="center"/>
              <w:rPr>
                <w:rFonts w:ascii="Arial" w:hAnsi="Arial" w:cs="Arial"/>
                <w:sz w:val="22"/>
                <w:szCs w:val="22"/>
              </w:rPr>
            </w:pPr>
            <w:r>
              <w:rPr>
                <w:rFonts w:ascii="Arial" w:hAnsi="Arial" w:cs="Arial"/>
                <w:sz w:val="22"/>
                <w:szCs w:val="22"/>
              </w:rPr>
              <w:t>15-19</w:t>
            </w:r>
          </w:p>
        </w:tc>
      </w:tr>
      <w:tr w:rsidR="00AB211B" w:rsidRPr="002A0002" w:rsidTr="00586332">
        <w:trPr>
          <w:cantSplit/>
          <w:trHeight w:val="151"/>
        </w:trPr>
        <w:tc>
          <w:tcPr>
            <w:tcW w:w="3119" w:type="dxa"/>
            <w:tcBorders>
              <w:right w:val="single" w:sz="4" w:space="0" w:color="auto"/>
            </w:tcBorders>
            <w:shd w:val="clear" w:color="auto" w:fill="auto"/>
          </w:tcPr>
          <w:p w:rsidR="00AB211B" w:rsidRPr="00AF3333" w:rsidRDefault="00AB211B" w:rsidP="005F3E52">
            <w:pPr>
              <w:jc w:val="both"/>
              <w:rPr>
                <w:rFonts w:ascii="Arial" w:hAnsi="Arial" w:cs="Arial"/>
                <w:sz w:val="22"/>
                <w:szCs w:val="22"/>
              </w:rPr>
            </w:pPr>
            <w:r w:rsidRPr="00AF3333">
              <w:rPr>
                <w:rFonts w:ascii="Arial" w:hAnsi="Arial" w:cs="Arial"/>
                <w:sz w:val="22"/>
                <w:szCs w:val="22"/>
              </w:rPr>
              <w:t>TIMG</w:t>
            </w:r>
          </w:p>
        </w:tc>
        <w:tc>
          <w:tcPr>
            <w:tcW w:w="4536" w:type="dxa"/>
          </w:tcPr>
          <w:p w:rsidR="00AB211B" w:rsidRPr="00AF3333" w:rsidRDefault="00AB211B" w:rsidP="005F3E52">
            <w:pPr>
              <w:jc w:val="center"/>
              <w:rPr>
                <w:rFonts w:ascii="Arial" w:hAnsi="Arial" w:cs="Arial"/>
                <w:sz w:val="22"/>
                <w:szCs w:val="22"/>
              </w:rPr>
            </w:pPr>
            <w:r>
              <w:rPr>
                <w:rFonts w:ascii="Arial" w:hAnsi="Arial" w:cs="Arial"/>
                <w:sz w:val="22"/>
                <w:szCs w:val="22"/>
              </w:rPr>
              <w:t>5-9</w:t>
            </w:r>
          </w:p>
        </w:tc>
      </w:tr>
      <w:tr w:rsidR="00AB211B" w:rsidRPr="002A0002" w:rsidTr="00586332">
        <w:trPr>
          <w:cantSplit/>
        </w:trPr>
        <w:tc>
          <w:tcPr>
            <w:tcW w:w="3119" w:type="dxa"/>
            <w:tcBorders>
              <w:right w:val="single" w:sz="4" w:space="0" w:color="auto"/>
            </w:tcBorders>
            <w:shd w:val="clear" w:color="auto" w:fill="auto"/>
          </w:tcPr>
          <w:p w:rsidR="00AB211B" w:rsidRPr="00AF3333" w:rsidRDefault="00AB211B" w:rsidP="005F3E52">
            <w:pPr>
              <w:rPr>
                <w:rFonts w:ascii="Arial" w:hAnsi="Arial" w:cs="Arial"/>
                <w:sz w:val="22"/>
                <w:szCs w:val="22"/>
              </w:rPr>
            </w:pPr>
            <w:r w:rsidRPr="00AF3333">
              <w:rPr>
                <w:rFonts w:ascii="Arial" w:hAnsi="Arial" w:cs="Arial"/>
                <w:sz w:val="22"/>
                <w:szCs w:val="22"/>
              </w:rPr>
              <w:t xml:space="preserve">Others </w:t>
            </w:r>
          </w:p>
        </w:tc>
        <w:tc>
          <w:tcPr>
            <w:tcW w:w="4536" w:type="dxa"/>
          </w:tcPr>
          <w:p w:rsidR="00AB211B" w:rsidRPr="00AF3333" w:rsidRDefault="00AB211B" w:rsidP="005F3E52">
            <w:pPr>
              <w:jc w:val="center"/>
              <w:rPr>
                <w:rFonts w:ascii="Arial" w:hAnsi="Arial" w:cs="Arial"/>
                <w:sz w:val="22"/>
                <w:szCs w:val="22"/>
              </w:rPr>
            </w:pPr>
            <w:r>
              <w:rPr>
                <w:rFonts w:ascii="Arial" w:hAnsi="Arial" w:cs="Arial"/>
                <w:sz w:val="22"/>
                <w:szCs w:val="22"/>
              </w:rPr>
              <w:t>9-14</w:t>
            </w:r>
          </w:p>
        </w:tc>
      </w:tr>
    </w:tbl>
    <w:p w:rsidR="007A6AD6" w:rsidRPr="00AB211B" w:rsidRDefault="00AB211B" w:rsidP="00AB211B">
      <w:pPr>
        <w:ind w:left="567"/>
        <w:rPr>
          <w:rFonts w:ascii="Arial" w:hAnsi="Arial" w:cs="Arial"/>
          <w:sz w:val="20"/>
          <w:szCs w:val="20"/>
        </w:rPr>
      </w:pPr>
      <w:r w:rsidRPr="00C3583A">
        <w:rPr>
          <w:rFonts w:ascii="Arial" w:hAnsi="Arial" w:cs="Arial"/>
          <w:sz w:val="20"/>
          <w:szCs w:val="20"/>
        </w:rPr>
        <w:t xml:space="preserve">Source: </w:t>
      </w:r>
      <w:r>
        <w:rPr>
          <w:rFonts w:ascii="Arial" w:hAnsi="Arial" w:cs="Arial"/>
          <w:sz w:val="20"/>
          <w:szCs w:val="20"/>
        </w:rPr>
        <w:t>Interested parties.</w:t>
      </w:r>
      <w:r w:rsidR="003C05B1" w:rsidRPr="003C05B1">
        <w:rPr>
          <w:rStyle w:val="FootnoteReference"/>
        </w:rPr>
        <w:t xml:space="preserve"> </w:t>
      </w:r>
    </w:p>
    <w:p w:rsidR="002C3D31" w:rsidRPr="00D12512" w:rsidRDefault="00C500F3" w:rsidP="00162883">
      <w:pPr>
        <w:pStyle w:val="NormalParagraph"/>
      </w:pPr>
      <w:r>
        <w:t xml:space="preserve">Based on these estimates, the table </w:t>
      </w:r>
      <w:r w:rsidR="003D27E9">
        <w:t xml:space="preserve">above </w:t>
      </w:r>
      <w:r>
        <w:t xml:space="preserve">shows the merged entity would have a share of between 59 and 71 per cent. </w:t>
      </w:r>
    </w:p>
    <w:p w:rsidR="00453453" w:rsidRPr="00ED54FA" w:rsidRDefault="00453453" w:rsidP="00162883">
      <w:pPr>
        <w:pStyle w:val="Heading4"/>
      </w:pPr>
      <w:r>
        <w:t>Elimination of competition between two close competitors</w:t>
      </w:r>
    </w:p>
    <w:p w:rsidR="00453453" w:rsidRDefault="00FD4843" w:rsidP="00162883">
      <w:pPr>
        <w:pStyle w:val="NormalParagraph"/>
      </w:pPr>
      <w:r>
        <w:t xml:space="preserve">Market inquiries </w:t>
      </w:r>
      <w:r w:rsidR="00374C4B">
        <w:t xml:space="preserve">indicate </w:t>
      </w:r>
      <w:r>
        <w:t xml:space="preserve">that Recall and Iron Mountain are </w:t>
      </w:r>
      <w:r w:rsidR="00007A45">
        <w:t>close competitors, particularly for the supply of PDMS nationally.</w:t>
      </w:r>
      <w:r>
        <w:t xml:space="preserve"> As the two </w:t>
      </w:r>
      <w:r w:rsidR="00374C4B">
        <w:t xml:space="preserve">largest </w:t>
      </w:r>
      <w:r>
        <w:t>suppliers, they each provide a</w:t>
      </w:r>
      <w:r w:rsidR="00FA7AB5">
        <w:t xml:space="preserve"> strong </w:t>
      </w:r>
      <w:r>
        <w:t xml:space="preserve">constraint on </w:t>
      </w:r>
      <w:r w:rsidR="00FA7AB5">
        <w:t xml:space="preserve">each </w:t>
      </w:r>
      <w:r>
        <w:t xml:space="preserve">other, which would no longer exist after the acquisition. Both merger parties have a large geographic presence and enjoy economies of scale. Inquiries </w:t>
      </w:r>
      <w:r w:rsidR="00FA7AB5">
        <w:t xml:space="preserve">indicate </w:t>
      </w:r>
      <w:r>
        <w:t xml:space="preserve">that </w:t>
      </w:r>
      <w:r w:rsidR="00007A45">
        <w:t xml:space="preserve">large </w:t>
      </w:r>
      <w:r>
        <w:t xml:space="preserve">customers use the competition between Iron Mountain and Recall to </w:t>
      </w:r>
      <w:r w:rsidR="00374C4B">
        <w:t xml:space="preserve">negotiate </w:t>
      </w:r>
      <w:r>
        <w:t>better deals</w:t>
      </w:r>
      <w:r w:rsidR="00FA7AB5">
        <w:t>, including through tender processes and benchmarking.</w:t>
      </w:r>
      <w:r>
        <w:t xml:space="preserve"> The removal of </w:t>
      </w:r>
      <w:r w:rsidR="0080312C">
        <w:t>R</w:t>
      </w:r>
      <w:r>
        <w:t xml:space="preserve">ecall </w:t>
      </w:r>
      <w:r w:rsidR="000F7716">
        <w:t>would</w:t>
      </w:r>
      <w:r>
        <w:t xml:space="preserve"> </w:t>
      </w:r>
      <w:r w:rsidR="00846456">
        <w:t>remove this competition</w:t>
      </w:r>
      <w:r>
        <w:t>.</w:t>
      </w:r>
    </w:p>
    <w:p w:rsidR="008D7DC6" w:rsidRDefault="006C3F66" w:rsidP="00162883">
      <w:pPr>
        <w:pStyle w:val="Heading4"/>
      </w:pPr>
      <w:r>
        <w:t>Constraints from</w:t>
      </w:r>
      <w:r w:rsidR="008D179C">
        <w:t xml:space="preserve"> existing suppliers</w:t>
      </w:r>
    </w:p>
    <w:p w:rsidR="000F7716" w:rsidRDefault="000F7716" w:rsidP="00162883">
      <w:pPr>
        <w:pStyle w:val="Heading5"/>
      </w:pPr>
      <w:r>
        <w:t>Specialised PDMS providers</w:t>
      </w:r>
    </w:p>
    <w:p w:rsidR="0092102C" w:rsidRDefault="0092102C" w:rsidP="00162883">
      <w:pPr>
        <w:pStyle w:val="NormalParagraph"/>
      </w:pPr>
      <w:r>
        <w:t xml:space="preserve">Grace and </w:t>
      </w:r>
      <w:r w:rsidR="00B17B5C">
        <w:t xml:space="preserve">to a lesser extent TIMG, </w:t>
      </w:r>
      <w:r>
        <w:t>the third and fourth largest supplier</w:t>
      </w:r>
      <w:r w:rsidR="00EC3BEF">
        <w:t>s</w:t>
      </w:r>
      <w:r>
        <w:t xml:space="preserve"> respectively, also compete </w:t>
      </w:r>
      <w:r w:rsidR="00846456">
        <w:t xml:space="preserve">to </w:t>
      </w:r>
      <w:r w:rsidR="00FA7AB5">
        <w:t xml:space="preserve">supply </w:t>
      </w:r>
      <w:r>
        <w:t>customers</w:t>
      </w:r>
      <w:r w:rsidR="00FA7AB5">
        <w:t xml:space="preserve"> with national requirements</w:t>
      </w:r>
      <w:r>
        <w:t xml:space="preserve">. However </w:t>
      </w:r>
      <w:r w:rsidR="00F61BDE">
        <w:t xml:space="preserve">feedback </w:t>
      </w:r>
      <w:r w:rsidR="00B17B5C">
        <w:t xml:space="preserve">suggests that TIMG </w:t>
      </w:r>
      <w:r w:rsidR="00B97112">
        <w:t xml:space="preserve">and smaller suppliers </w:t>
      </w:r>
      <w:r w:rsidR="00B17B5C">
        <w:t xml:space="preserve">may not have </w:t>
      </w:r>
      <w:r w:rsidR="00025630">
        <w:t xml:space="preserve">the </w:t>
      </w:r>
      <w:r w:rsidR="00B17B5C">
        <w:t>same capacity</w:t>
      </w:r>
      <w:r w:rsidR="00FA7AB5">
        <w:t xml:space="preserve">, in terms of the location of their facilities or the level of their services, </w:t>
      </w:r>
      <w:r w:rsidR="00025630">
        <w:t xml:space="preserve">as Iron Mountain and Recall </w:t>
      </w:r>
      <w:r w:rsidR="00B17B5C">
        <w:t>to compete effe</w:t>
      </w:r>
      <w:r w:rsidR="00FA7AB5">
        <w:t>ctively on this geographic scale</w:t>
      </w:r>
      <w:r w:rsidR="00025630">
        <w:t>.</w:t>
      </w:r>
      <w:r w:rsidR="00E53E6C">
        <w:t xml:space="preserve"> </w:t>
      </w:r>
      <w:r>
        <w:t>The ACCC is further considering the degree of constraint provided by Grace and TIMG</w:t>
      </w:r>
      <w:r w:rsidR="00374C4B">
        <w:t xml:space="preserve"> and is seeking further information from stakeholders</w:t>
      </w:r>
      <w:r>
        <w:t>.</w:t>
      </w:r>
    </w:p>
    <w:p w:rsidR="00FA7AB5" w:rsidRDefault="00FD4843" w:rsidP="00162883">
      <w:pPr>
        <w:pStyle w:val="NormalParagraph"/>
      </w:pPr>
      <w:bookmarkStart w:id="3" w:name="_Ref433287277"/>
      <w:r>
        <w:t xml:space="preserve">Inquiries suggest that smaller suppliers operate in limited geographic areas and do not enjoy the same economies of scale as large </w:t>
      </w:r>
      <w:r w:rsidR="00846456">
        <w:t>suppliers</w:t>
      </w:r>
      <w:r>
        <w:t>. Given their limited geographic presence</w:t>
      </w:r>
      <w:r w:rsidR="003C7AC7">
        <w:t xml:space="preserve"> and smaller scale</w:t>
      </w:r>
      <w:r>
        <w:t>, they do not have the ability to compete effectively for national customers.</w:t>
      </w:r>
      <w:bookmarkEnd w:id="3"/>
      <w:r w:rsidR="00FA7AB5">
        <w:t xml:space="preserve"> </w:t>
      </w:r>
    </w:p>
    <w:p w:rsidR="00FD4843" w:rsidRDefault="00FA7AB5" w:rsidP="00162883">
      <w:pPr>
        <w:pStyle w:val="NormalParagraph"/>
      </w:pPr>
      <w:r>
        <w:t xml:space="preserve">Inquiries indicate that smaller suppliers are </w:t>
      </w:r>
      <w:r w:rsidR="00AF4B13">
        <w:t>not</w:t>
      </w:r>
      <w:r>
        <w:t xml:space="preserve"> a strong competitive constraint because they are not able to offer the same discounts as larger national providers and do not have the ability to provide a coordinated and comparable level of service covering all of the customer’s national requirements.</w:t>
      </w:r>
    </w:p>
    <w:p w:rsidR="000F7716" w:rsidRDefault="000F7716" w:rsidP="00162883">
      <w:pPr>
        <w:pStyle w:val="Heading5"/>
      </w:pPr>
      <w:r>
        <w:t>Self-storage providers</w:t>
      </w:r>
    </w:p>
    <w:p w:rsidR="00281BAB" w:rsidRDefault="000712BC" w:rsidP="00162883">
      <w:pPr>
        <w:pStyle w:val="NormalParagraph"/>
      </w:pPr>
      <w:r>
        <w:t xml:space="preserve">Self-storage providers are similarly unlikely to constrain the merged entity. Inquiries </w:t>
      </w:r>
      <w:r w:rsidR="00F61BDE">
        <w:t>indicate</w:t>
      </w:r>
      <w:r>
        <w:t xml:space="preserve"> that self-storage providers generally cater for</w:t>
      </w:r>
      <w:r w:rsidR="008D7C7B">
        <w:t xml:space="preserve"> households and</w:t>
      </w:r>
      <w:r>
        <w:t xml:space="preserve"> small businesses that have few box</w:t>
      </w:r>
      <w:r w:rsidR="008D7C7B">
        <w:t xml:space="preserve">es to store. </w:t>
      </w:r>
    </w:p>
    <w:p w:rsidR="00F61BDE" w:rsidRPr="000712BC" w:rsidRDefault="00281BAB" w:rsidP="00162883">
      <w:pPr>
        <w:pStyle w:val="NormalParagraph"/>
      </w:pPr>
      <w:r>
        <w:t>Self-storage providers may be an option for some customers with basic</w:t>
      </w:r>
      <w:r w:rsidR="00B6632D">
        <w:t xml:space="preserve"> document requirements. </w:t>
      </w:r>
      <w:r w:rsidR="008D7C7B">
        <w:t>However g</w:t>
      </w:r>
      <w:r w:rsidR="00F61BDE">
        <w:t xml:space="preserve">iven that national customers </w:t>
      </w:r>
      <w:r>
        <w:t xml:space="preserve">have greater </w:t>
      </w:r>
      <w:r>
        <w:lastRenderedPageBreak/>
        <w:t>and more sophisticated document storag</w:t>
      </w:r>
      <w:r w:rsidR="00FA7AB5">
        <w:t xml:space="preserve">e, management and retrieval </w:t>
      </w:r>
      <w:r>
        <w:t xml:space="preserve">requirements, self-storage providers would be unlikely to </w:t>
      </w:r>
      <w:r w:rsidR="00E53E6C">
        <w:t xml:space="preserve">impose </w:t>
      </w:r>
      <w:r>
        <w:t xml:space="preserve">a constraint </w:t>
      </w:r>
      <w:r w:rsidR="00E53E6C">
        <w:t xml:space="preserve">on </w:t>
      </w:r>
      <w:r>
        <w:t>the merged entity in the national market.</w:t>
      </w:r>
    </w:p>
    <w:p w:rsidR="000F7716" w:rsidRDefault="000F7716" w:rsidP="00162883">
      <w:pPr>
        <w:pStyle w:val="Heading5"/>
      </w:pPr>
      <w:r>
        <w:t>Public sector providers</w:t>
      </w:r>
    </w:p>
    <w:p w:rsidR="009F1D4F" w:rsidRPr="000712BC" w:rsidRDefault="00F64A1A" w:rsidP="00162883">
      <w:pPr>
        <w:pStyle w:val="NormalParagraph"/>
      </w:pPr>
      <w:r>
        <w:t xml:space="preserve">Public sector providers, such as the National Archives of Australia and various state-based government records authorities, only service government </w:t>
      </w:r>
      <w:r w:rsidR="00857F05">
        <w:t>agencies and other public bodies</w:t>
      </w:r>
      <w:r>
        <w:t xml:space="preserve">. </w:t>
      </w:r>
      <w:r w:rsidR="001A08AE">
        <w:t xml:space="preserve">They tend to focus on providing specialised services for records of a particular nature – </w:t>
      </w:r>
      <w:r w:rsidR="007E188E">
        <w:t>such as</w:t>
      </w:r>
      <w:r w:rsidR="001A08AE">
        <w:t xml:space="preserve"> records that are deemed to have a certain public value. Inquiries </w:t>
      </w:r>
      <w:r w:rsidR="002E56E2">
        <w:t>indicate</w:t>
      </w:r>
      <w:r w:rsidR="001A08AE">
        <w:t xml:space="preserve"> that government </w:t>
      </w:r>
      <w:r w:rsidR="002E56E2">
        <w:t>entities seek to outsource to private PDMS providers to service their general document storage needs. Accordingly, g</w:t>
      </w:r>
      <w:r w:rsidR="001A08AE">
        <w:t>iven the limited scope of public sector providers’ activities, such providers are unlikely to constrain</w:t>
      </w:r>
      <w:r w:rsidR="002E56E2">
        <w:t xml:space="preserve"> the merged entity, </w:t>
      </w:r>
      <w:r w:rsidR="00FA7AB5">
        <w:t xml:space="preserve">including </w:t>
      </w:r>
      <w:r w:rsidR="002E56E2">
        <w:t>in the national PDMS market.</w:t>
      </w:r>
    </w:p>
    <w:p w:rsidR="00ED54FA" w:rsidRPr="00033C3A" w:rsidRDefault="00ED54FA" w:rsidP="00162883">
      <w:pPr>
        <w:pStyle w:val="Heading4"/>
      </w:pPr>
      <w:r w:rsidRPr="00033C3A">
        <w:t xml:space="preserve">Barriers to </w:t>
      </w:r>
      <w:r w:rsidR="00016892">
        <w:t>e</w:t>
      </w:r>
      <w:r w:rsidRPr="00033C3A">
        <w:t>ntry</w:t>
      </w:r>
      <w:r w:rsidR="008D7DC6">
        <w:t xml:space="preserve"> and expansion</w:t>
      </w:r>
    </w:p>
    <w:p w:rsidR="00EE09D0" w:rsidRDefault="001B0A01" w:rsidP="00162883">
      <w:pPr>
        <w:pStyle w:val="NormalParagraph"/>
      </w:pPr>
      <w:bookmarkStart w:id="4" w:name="_Ref433211040"/>
      <w:r>
        <w:t xml:space="preserve">Market feedback indicates that there are high barriers to entry and expansion in the </w:t>
      </w:r>
      <w:r w:rsidR="00FA7AB5">
        <w:t xml:space="preserve">national </w:t>
      </w:r>
      <w:r>
        <w:t>PDMS market. These</w:t>
      </w:r>
      <w:r w:rsidR="009F1D4F">
        <w:t xml:space="preserve"> b</w:t>
      </w:r>
      <w:r w:rsidR="002E6513">
        <w:t>arriers</w:t>
      </w:r>
      <w:r w:rsidR="00EE11A6">
        <w:t xml:space="preserve"> </w:t>
      </w:r>
      <w:r w:rsidR="002E6513">
        <w:t>include:</w:t>
      </w:r>
      <w:bookmarkEnd w:id="4"/>
    </w:p>
    <w:p w:rsidR="009F1D4F" w:rsidRDefault="009F1D4F" w:rsidP="00162883">
      <w:pPr>
        <w:pStyle w:val="NormalParagraph"/>
        <w:numPr>
          <w:ilvl w:val="0"/>
          <w:numId w:val="16"/>
        </w:numPr>
      </w:pPr>
      <w:r>
        <w:t>customer stickiness</w:t>
      </w:r>
    </w:p>
    <w:p w:rsidR="00537AFB" w:rsidRDefault="008319FB" w:rsidP="00162883">
      <w:pPr>
        <w:pStyle w:val="NormalParagraph"/>
        <w:numPr>
          <w:ilvl w:val="0"/>
          <w:numId w:val="16"/>
        </w:numPr>
      </w:pPr>
      <w:r>
        <w:t xml:space="preserve">sunk </w:t>
      </w:r>
      <w:r w:rsidR="005917A2">
        <w:t>entry</w:t>
      </w:r>
      <w:r w:rsidR="00537AFB">
        <w:t xml:space="preserve"> costs</w:t>
      </w:r>
    </w:p>
    <w:p w:rsidR="00C44641" w:rsidRDefault="00C44641" w:rsidP="00162883">
      <w:pPr>
        <w:pStyle w:val="NormalParagraph"/>
        <w:numPr>
          <w:ilvl w:val="0"/>
          <w:numId w:val="16"/>
        </w:numPr>
      </w:pPr>
      <w:r>
        <w:t>economies of scale</w:t>
      </w:r>
    </w:p>
    <w:p w:rsidR="009F1D4F" w:rsidRDefault="00EE11A6" w:rsidP="00162883">
      <w:pPr>
        <w:pStyle w:val="NormalParagraph"/>
        <w:numPr>
          <w:ilvl w:val="0"/>
          <w:numId w:val="16"/>
        </w:numPr>
      </w:pPr>
      <w:r>
        <w:t>supplier reputation</w:t>
      </w:r>
      <w:r w:rsidR="00846456">
        <w:t>.</w:t>
      </w:r>
    </w:p>
    <w:p w:rsidR="006A5532" w:rsidRDefault="006A5532" w:rsidP="00162883">
      <w:pPr>
        <w:pStyle w:val="Numbered"/>
      </w:pPr>
      <w:r>
        <w:t>These barriers are also relevant in regional PDMS markets, which are discussed below. However, they are exacerbated in the national market given the need to replicate a regional business across multiple locations.</w:t>
      </w:r>
    </w:p>
    <w:p w:rsidR="00BF328F" w:rsidRDefault="00BF328F" w:rsidP="00162883">
      <w:pPr>
        <w:pStyle w:val="Numbered"/>
      </w:pPr>
      <w:r>
        <w:t>Feedback sugg</w:t>
      </w:r>
      <w:r w:rsidR="008B4ED2">
        <w:t xml:space="preserve">ests that there </w:t>
      </w:r>
      <w:r w:rsidR="00FA7AB5">
        <w:t xml:space="preserve">has </w:t>
      </w:r>
      <w:r w:rsidR="00804B2C">
        <w:t>been minimal large-scale</w:t>
      </w:r>
      <w:r>
        <w:t xml:space="preserve"> new entry or expansion in recent years</w:t>
      </w:r>
      <w:r w:rsidR="00F900A7">
        <w:t xml:space="preserve"> except </w:t>
      </w:r>
      <w:r>
        <w:t>via acquisition.</w:t>
      </w:r>
      <w:r w:rsidR="00804B2C">
        <w:t xml:space="preserve"> </w:t>
      </w:r>
      <w:r w:rsidR="00401F9A">
        <w:t>While</w:t>
      </w:r>
      <w:r w:rsidR="00804B2C">
        <w:t xml:space="preserve"> Compu-stor</w:t>
      </w:r>
      <w:r w:rsidR="00401F9A">
        <w:t xml:space="preserve"> (originally based in Perth)</w:t>
      </w:r>
      <w:r w:rsidR="00804B2C">
        <w:t xml:space="preserve"> </w:t>
      </w:r>
      <w:r w:rsidR="00401F9A">
        <w:t xml:space="preserve">has </w:t>
      </w:r>
      <w:r w:rsidR="00804B2C">
        <w:t>expand</w:t>
      </w:r>
      <w:r w:rsidR="00401F9A">
        <w:t>ed</w:t>
      </w:r>
      <w:r w:rsidR="00804B2C">
        <w:t xml:space="preserve"> its operations to</w:t>
      </w:r>
      <w:r w:rsidR="00EB52B7">
        <w:t xml:space="preserve"> </w:t>
      </w:r>
      <w:r w:rsidR="00401F9A">
        <w:t>Victoria and NSW, it</w:t>
      </w:r>
      <w:r w:rsidR="000C1F32">
        <w:t xml:space="preserve"> remains a small provider in these two regions</w:t>
      </w:r>
      <w:r w:rsidR="00846456">
        <w:t>, and the expansion has taken many years</w:t>
      </w:r>
      <w:r w:rsidR="000C1F32">
        <w:t>.</w:t>
      </w:r>
      <w:r w:rsidR="00FA7AB5">
        <w:t xml:space="preserve"> Inquiries have not provided other examples of regional providers expanding to be able to meet the national requirements of large customers. </w:t>
      </w:r>
    </w:p>
    <w:p w:rsidR="009F6719" w:rsidRDefault="001B0A01" w:rsidP="00162883">
      <w:pPr>
        <w:pStyle w:val="Numbered"/>
      </w:pPr>
      <w:r>
        <w:t xml:space="preserve">The </w:t>
      </w:r>
      <w:r w:rsidR="00804B2C">
        <w:t>PDMS market</w:t>
      </w:r>
      <w:r>
        <w:t xml:space="preserve"> is characterised by a high level of customer stickiness. </w:t>
      </w:r>
      <w:r w:rsidR="00914F6F">
        <w:t>Customers d</w:t>
      </w:r>
      <w:r w:rsidR="009F6719">
        <w:t xml:space="preserve">o not switch suppliers often. Estimates suggest that churn rates within the industry </w:t>
      </w:r>
      <w:r w:rsidR="00E53E6C">
        <w:t xml:space="preserve">are </w:t>
      </w:r>
      <w:r w:rsidR="009F6719">
        <w:t xml:space="preserve">very low. </w:t>
      </w:r>
      <w:r w:rsidR="00914F6F">
        <w:t>Inquiries suggest the</w:t>
      </w:r>
      <w:r w:rsidR="009F6719">
        <w:t xml:space="preserve"> main reasons for this customer stickiness </w:t>
      </w:r>
      <w:r w:rsidR="007464E3">
        <w:t>are</w:t>
      </w:r>
      <w:r w:rsidR="009F6719">
        <w:t>:</w:t>
      </w:r>
    </w:p>
    <w:p w:rsidR="009F6719" w:rsidRDefault="009F6719" w:rsidP="00162883">
      <w:pPr>
        <w:pStyle w:val="NormalParagraph"/>
        <w:numPr>
          <w:ilvl w:val="0"/>
          <w:numId w:val="33"/>
        </w:numPr>
      </w:pPr>
      <w:r>
        <w:t>the presence of long-term contracts</w:t>
      </w:r>
    </w:p>
    <w:p w:rsidR="009F6719" w:rsidRDefault="009F6719" w:rsidP="00162883">
      <w:pPr>
        <w:pStyle w:val="NormalParagraph"/>
        <w:numPr>
          <w:ilvl w:val="0"/>
          <w:numId w:val="33"/>
        </w:numPr>
      </w:pPr>
      <w:r>
        <w:t>significant switching costs.</w:t>
      </w:r>
    </w:p>
    <w:p w:rsidR="009F6719" w:rsidRDefault="009F6719" w:rsidP="00162883">
      <w:pPr>
        <w:pStyle w:val="Numbered"/>
      </w:pPr>
      <w:r>
        <w:t>The presence of long</w:t>
      </w:r>
      <w:r w:rsidR="00E53E6C">
        <w:noBreakHyphen/>
      </w:r>
      <w:r>
        <w:t xml:space="preserve">term contracts limits the extent of customer switching. Even after a contract term has expired, it appears that customers do not generally switch suppliers. </w:t>
      </w:r>
    </w:p>
    <w:p w:rsidR="009F6719" w:rsidRDefault="00C37697" w:rsidP="00162883">
      <w:pPr>
        <w:pStyle w:val="Numbered"/>
      </w:pPr>
      <w:r>
        <w:t>At the end of a contract, customers face high costs</w:t>
      </w:r>
      <w:r w:rsidR="000306B3">
        <w:t xml:space="preserve"> to retrieve their documents if they want to switch providers</w:t>
      </w:r>
      <w:r w:rsidR="00E53E6C">
        <w:t>. These costs</w:t>
      </w:r>
      <w:r>
        <w:t xml:space="preserve"> </w:t>
      </w:r>
      <w:r w:rsidR="000306B3">
        <w:t xml:space="preserve">can be </w:t>
      </w:r>
      <w:r>
        <w:t xml:space="preserve">exacerbated by permanent retrieval fees. </w:t>
      </w:r>
      <w:r w:rsidR="000C1F32">
        <w:t xml:space="preserve">Permanent retrieval fees are a charge (per box or file) to permanently remove records from a </w:t>
      </w:r>
      <w:r w:rsidR="003C7AC7">
        <w:t>warehouse</w:t>
      </w:r>
      <w:r w:rsidR="000C1F32">
        <w:t>. These</w:t>
      </w:r>
      <w:r>
        <w:t xml:space="preserve"> fees can be significant relative to the potential savings from a new supplier on ongoing storage costs. </w:t>
      </w:r>
      <w:r w:rsidR="003C7AC7">
        <w:t xml:space="preserve">They </w:t>
      </w:r>
      <w:r>
        <w:t>have the e</w:t>
      </w:r>
      <w:r w:rsidR="00B6632D">
        <w:t>ffect of limiting the extent</w:t>
      </w:r>
      <w:r>
        <w:t xml:space="preserve"> of customer switching and deter potential new entry and incumbents from expanding.</w:t>
      </w:r>
    </w:p>
    <w:p w:rsidR="0018660E" w:rsidRPr="0018660E" w:rsidRDefault="00C37697" w:rsidP="00162883">
      <w:pPr>
        <w:pStyle w:val="Numbered"/>
      </w:pPr>
      <w:r>
        <w:t>While competitors may offer to pay a customer’s permanent retrieval fee, this is likely to be very costly for a smaller supplier.</w:t>
      </w:r>
      <w:r w:rsidR="00D754EA">
        <w:t xml:space="preserve"> </w:t>
      </w:r>
      <w:r w:rsidR="0018660E" w:rsidRPr="0018660E">
        <w:t xml:space="preserve">It may </w:t>
      </w:r>
      <w:r w:rsidR="009376CC">
        <w:t xml:space="preserve">make cost management and </w:t>
      </w:r>
      <w:r w:rsidR="009376CC">
        <w:lastRenderedPageBreak/>
        <w:t xml:space="preserve">competitive pricing even </w:t>
      </w:r>
      <w:r w:rsidR="0018660E" w:rsidRPr="0018660E">
        <w:t>more difficult for new entrants</w:t>
      </w:r>
      <w:r w:rsidR="009376CC">
        <w:t xml:space="preserve"> relative to</w:t>
      </w:r>
      <w:r w:rsidR="0018660E" w:rsidRPr="0018660E">
        <w:t xml:space="preserve"> the incumbency advantage of existing providers</w:t>
      </w:r>
      <w:r w:rsidR="00E51CC0">
        <w:t>, who receive</w:t>
      </w:r>
      <w:r w:rsidR="0018660E" w:rsidRPr="0018660E">
        <w:t xml:space="preserve"> permanent retrieval fees when they lose a customer to a rival. </w:t>
      </w:r>
    </w:p>
    <w:p w:rsidR="00C37697" w:rsidRDefault="00991207" w:rsidP="00162883">
      <w:pPr>
        <w:pStyle w:val="Numbered"/>
      </w:pPr>
      <w:r>
        <w:t>Another barrier</w:t>
      </w:r>
      <w:r w:rsidR="00914F6F">
        <w:t xml:space="preserve"> suggested by interested parties</w:t>
      </w:r>
      <w:r>
        <w:t xml:space="preserve"> is</w:t>
      </w:r>
      <w:r w:rsidR="008319FB">
        <w:t xml:space="preserve"> </w:t>
      </w:r>
      <w:r>
        <w:t xml:space="preserve">costs relating </w:t>
      </w:r>
      <w:r w:rsidR="00493B0F">
        <w:t xml:space="preserve">to the establishment of a PDMS business, </w:t>
      </w:r>
      <w:r w:rsidR="008319FB">
        <w:t xml:space="preserve">many of which are sunk costs. These </w:t>
      </w:r>
      <w:r w:rsidR="00B3340F">
        <w:t xml:space="preserve">entry costs </w:t>
      </w:r>
      <w:r w:rsidR="008319FB">
        <w:t xml:space="preserve">include </w:t>
      </w:r>
      <w:r w:rsidR="00493B0F">
        <w:t xml:space="preserve">sales and marketing, </w:t>
      </w:r>
      <w:r>
        <w:t>warehouse facilities</w:t>
      </w:r>
      <w:r w:rsidR="00493B0F">
        <w:t xml:space="preserve"> (such as</w:t>
      </w:r>
      <w:r w:rsidR="000306B3">
        <w:t xml:space="preserve"> lease or build costs</w:t>
      </w:r>
      <w:r w:rsidR="00493B0F">
        <w:t>)</w:t>
      </w:r>
      <w:r w:rsidR="000306B3">
        <w:t xml:space="preserve">, </w:t>
      </w:r>
      <w:r>
        <w:t xml:space="preserve">internal warehouse fit-out and information technology systems. </w:t>
      </w:r>
      <w:r w:rsidR="006A5532">
        <w:t>While they may be scalable to some degree, i</w:t>
      </w:r>
      <w:r>
        <w:t>nquiries indicate that these costs are high, relative to revenues at start-up. It can take many years to turn a profit and recoup costs.</w:t>
      </w:r>
    </w:p>
    <w:p w:rsidR="00991207" w:rsidRDefault="00991207" w:rsidP="00162883">
      <w:pPr>
        <w:pStyle w:val="Numbered"/>
      </w:pPr>
      <w:r>
        <w:t xml:space="preserve">Economies of scale also act as a deterrent to large-scale entry and expansion. A large volume of holdings is required to spread </w:t>
      </w:r>
      <w:r w:rsidR="00E53E6C">
        <w:t xml:space="preserve">fixed </w:t>
      </w:r>
      <w:r>
        <w:t>costs and re</w:t>
      </w:r>
      <w:r w:rsidR="00493B0F">
        <w:t>a</w:t>
      </w:r>
      <w:r>
        <w:t>l</w:t>
      </w:r>
      <w:r w:rsidR="00493B0F">
        <w:t>i</w:t>
      </w:r>
      <w:r>
        <w:t>se scale economies.</w:t>
      </w:r>
      <w:r w:rsidR="00093253">
        <w:t xml:space="preserve"> Moreover, adding large capacity to a market with relatively low growth would create excess supply. The expected returns may not be attractive for potential entrants.</w:t>
      </w:r>
      <w:r>
        <w:t xml:space="preserve"> This limits the viability of entry and expansion, particularly given the difficulty of winning customers from incumbent competitors</w:t>
      </w:r>
      <w:r w:rsidR="009376CC">
        <w:t xml:space="preserve"> to generate the economies of scale required to operate competitively.</w:t>
      </w:r>
    </w:p>
    <w:p w:rsidR="00991207" w:rsidRDefault="00991207" w:rsidP="00162883">
      <w:pPr>
        <w:pStyle w:val="Numbered"/>
      </w:pPr>
      <w:r>
        <w:t xml:space="preserve">Feedback suggests that supplier reputation may also be important as customers are entrusting providers with confidential, private or otherwise sensitive documents. </w:t>
      </w:r>
      <w:r w:rsidR="00BB7678">
        <w:t>Some c</w:t>
      </w:r>
      <w:r>
        <w:t>ustomers may not be willing to switch to unknown or untested suppliers</w:t>
      </w:r>
      <w:r w:rsidR="009376CC">
        <w:t>.</w:t>
      </w:r>
      <w:r w:rsidR="006A5532">
        <w:t xml:space="preserve"> This may be a more significant issue for larger customers.</w:t>
      </w:r>
    </w:p>
    <w:p w:rsidR="005A29C4" w:rsidRPr="005A29C4" w:rsidRDefault="008D7DC6" w:rsidP="00162883">
      <w:pPr>
        <w:pStyle w:val="Heading4"/>
      </w:pPr>
      <w:r>
        <w:t>Ability of custom</w:t>
      </w:r>
      <w:r w:rsidR="009F1D4F">
        <w:t>er</w:t>
      </w:r>
      <w:r>
        <w:t>s to bypass</w:t>
      </w:r>
      <w:r w:rsidR="009F1D4F">
        <w:t xml:space="preserve"> the merged entity</w:t>
      </w:r>
    </w:p>
    <w:p w:rsidR="00E51CC0" w:rsidRDefault="00E51CC0" w:rsidP="00162883">
      <w:pPr>
        <w:pStyle w:val="Numbered"/>
      </w:pPr>
      <w:r>
        <w:t xml:space="preserve">The ACCC’s preliminary view is that customers do not have </w:t>
      </w:r>
      <w:r w:rsidR="00E64820">
        <w:t xml:space="preserve">strong </w:t>
      </w:r>
      <w:r>
        <w:t xml:space="preserve">countervailing power. The following </w:t>
      </w:r>
      <w:r w:rsidR="002B049A">
        <w:t>potential options for customers to bypass the merged entity do not appear sufficient to constrain the merged entity raising prices or degrading service</w:t>
      </w:r>
      <w:r>
        <w:t>.</w:t>
      </w:r>
    </w:p>
    <w:p w:rsidR="00B12083" w:rsidRDefault="002B049A" w:rsidP="00162883">
      <w:pPr>
        <w:pStyle w:val="Numbered"/>
      </w:pPr>
      <w:r>
        <w:rPr>
          <w:b/>
        </w:rPr>
        <w:t>Disaggregating contracts.</w:t>
      </w:r>
      <w:r>
        <w:t xml:space="preserve"> The ACCC has considered whether national customers might be able to </w:t>
      </w:r>
      <w:r w:rsidR="006B599A">
        <w:t xml:space="preserve">disaggregate </w:t>
      </w:r>
      <w:r w:rsidR="00E51CC0">
        <w:t xml:space="preserve">their </w:t>
      </w:r>
      <w:r w:rsidR="006B599A">
        <w:t xml:space="preserve">contracts </w:t>
      </w:r>
      <w:r>
        <w:t xml:space="preserve">so as </w:t>
      </w:r>
      <w:r w:rsidR="00E51CC0">
        <w:t>to</w:t>
      </w:r>
      <w:r w:rsidR="006B599A">
        <w:t xml:space="preserve"> use multiple </w:t>
      </w:r>
      <w:r w:rsidR="006D0531">
        <w:t>suppliers (across various regions)</w:t>
      </w:r>
      <w:r w:rsidR="00662E26">
        <w:t>, thereby bypassing the merged entity</w:t>
      </w:r>
      <w:r w:rsidR="00E51CC0">
        <w:t xml:space="preserve">. </w:t>
      </w:r>
      <w:r>
        <w:t>However, this would create</w:t>
      </w:r>
      <w:r w:rsidR="006B599A">
        <w:t xml:space="preserve"> higher costs and administrative burdens </w:t>
      </w:r>
      <w:r>
        <w:t>for such customers</w:t>
      </w:r>
      <w:r w:rsidR="006B599A">
        <w:t xml:space="preserve">. </w:t>
      </w:r>
      <w:r>
        <w:t xml:space="preserve">Feedback indicates that national customers would be unlikely do so in the absence of a large price increase from the merged entity. </w:t>
      </w:r>
      <w:r w:rsidR="00C450EF">
        <w:t>Accordingly, it is doubtful that national customers wield countervailing power to constrain the merged entity in the national market.</w:t>
      </w:r>
    </w:p>
    <w:p w:rsidR="00991207" w:rsidRDefault="002B049A" w:rsidP="00162883">
      <w:pPr>
        <w:pStyle w:val="Numbered"/>
      </w:pPr>
      <w:r>
        <w:rPr>
          <w:b/>
        </w:rPr>
        <w:t xml:space="preserve">Insourcing. </w:t>
      </w:r>
      <w:r w:rsidR="00DD4D9B">
        <w:t xml:space="preserve">For businesses that have decided to outsource their PDMS requirements, inquiries suggest it is rare for them to revert </w:t>
      </w:r>
      <w:r w:rsidR="006A5532">
        <w:t>(</w:t>
      </w:r>
      <w:r w:rsidR="009376CC">
        <w:t>or credibly threaten to revert</w:t>
      </w:r>
      <w:r w:rsidR="006A5532">
        <w:t>)</w:t>
      </w:r>
      <w:r w:rsidR="009376CC">
        <w:t xml:space="preserve"> </w:t>
      </w:r>
      <w:r w:rsidR="00DD4D9B">
        <w:t>to insourcing because it is not practical or cost effective to do so.</w:t>
      </w:r>
    </w:p>
    <w:p w:rsidR="00EB52B7" w:rsidRDefault="002B049A" w:rsidP="00162883">
      <w:pPr>
        <w:pStyle w:val="Numbered"/>
      </w:pPr>
      <w:bookmarkStart w:id="5" w:name="_Ref433894913"/>
      <w:r>
        <w:rPr>
          <w:b/>
        </w:rPr>
        <w:t xml:space="preserve">Digitising the physical records. </w:t>
      </w:r>
      <w:r w:rsidR="00507096">
        <w:t xml:space="preserve">As </w:t>
      </w:r>
      <w:r w:rsidR="006A5532">
        <w:t xml:space="preserve">discussed </w:t>
      </w:r>
      <w:r w:rsidR="005E6986">
        <w:t>above under</w:t>
      </w:r>
      <w:r w:rsidR="00507096">
        <w:t xml:space="preserve"> </w:t>
      </w:r>
      <w:r w:rsidR="00E53E6C">
        <w:t>m</w:t>
      </w:r>
      <w:r w:rsidR="005E6986">
        <w:t>arket definition</w:t>
      </w:r>
      <w:r w:rsidR="00507096">
        <w:t xml:space="preserve">, the ACCC considers that digitisation does not </w:t>
      </w:r>
      <w:r w:rsidR="00915FB7">
        <w:t xml:space="preserve">have a significant impact </w:t>
      </w:r>
      <w:r w:rsidR="00E64820">
        <w:t xml:space="preserve">on </w:t>
      </w:r>
      <w:r w:rsidR="00915FB7">
        <w:t>the PDMS market</w:t>
      </w:r>
      <w:r w:rsidR="009376CC">
        <w:t>, and is unlikely to do so in the foreseeable future</w:t>
      </w:r>
      <w:r w:rsidR="00915FB7">
        <w:t>.</w:t>
      </w:r>
      <w:r w:rsidR="00E64820">
        <w:t xml:space="preserve"> Inquiries </w:t>
      </w:r>
      <w:r w:rsidR="00662E26">
        <w:t xml:space="preserve">have not </w:t>
      </w:r>
      <w:r w:rsidR="00E64820">
        <w:t xml:space="preserve">provided </w:t>
      </w:r>
      <w:r w:rsidR="00662E26">
        <w:t xml:space="preserve">any examples </w:t>
      </w:r>
      <w:r w:rsidR="00E64820">
        <w:t xml:space="preserve">of customers switching </w:t>
      </w:r>
      <w:r w:rsidR="009376CC">
        <w:t xml:space="preserve">all of their requirements </w:t>
      </w:r>
      <w:r w:rsidR="00E64820">
        <w:t>to digital storage and ceasing to use PDMS</w:t>
      </w:r>
      <w:r w:rsidR="00493B0F">
        <w:t xml:space="preserve"> in response to a price increase</w:t>
      </w:r>
      <w:r w:rsidR="00E64820">
        <w:t>.</w:t>
      </w:r>
      <w:r w:rsidR="00F835C8">
        <w:t xml:space="preserve"> </w:t>
      </w:r>
      <w:r w:rsidR="00F77BF7">
        <w:t xml:space="preserve">Digitisation </w:t>
      </w:r>
      <w:r w:rsidR="00C24010">
        <w:t>appears</w:t>
      </w:r>
      <w:r w:rsidR="00915FB7">
        <w:t xml:space="preserve"> unlikely to </w:t>
      </w:r>
      <w:r w:rsidR="00507096">
        <w:t xml:space="preserve">impose a </w:t>
      </w:r>
      <w:r w:rsidR="00E64820">
        <w:t xml:space="preserve">strong </w:t>
      </w:r>
      <w:r w:rsidR="00507096">
        <w:t>constraint on the merged entity.</w:t>
      </w:r>
      <w:bookmarkEnd w:id="5"/>
      <w:r w:rsidR="00C24010">
        <w:t xml:space="preserve"> However</w:t>
      </w:r>
      <w:r w:rsidR="00F77BF7">
        <w:t>,</w:t>
      </w:r>
      <w:r w:rsidR="00C24010">
        <w:t xml:space="preserve"> </w:t>
      </w:r>
      <w:r w:rsidR="00F77BF7">
        <w:t>t</w:t>
      </w:r>
      <w:r w:rsidR="00C24010">
        <w:t>he ACCC is further considering the effect of digitisation as a constraint in the PDMS market.</w:t>
      </w:r>
    </w:p>
    <w:p w:rsidR="00C83957" w:rsidRPr="00F71E74" w:rsidRDefault="00C83957" w:rsidP="00162883">
      <w:pPr>
        <w:pStyle w:val="Heading4"/>
      </w:pPr>
      <w:r>
        <w:t>ACCC’s preliminary views</w:t>
      </w:r>
    </w:p>
    <w:p w:rsidR="001C42C7" w:rsidRDefault="00C83957" w:rsidP="00162883">
      <w:pPr>
        <w:pStyle w:val="NormalParagraph"/>
      </w:pPr>
      <w:r>
        <w:t>In summary, t</w:t>
      </w:r>
      <w:r w:rsidRPr="00F71E74">
        <w:t>he ACCC is concerned that</w:t>
      </w:r>
      <w:r w:rsidR="00B11DDF">
        <w:t xml:space="preserve"> the proposed acquisition </w:t>
      </w:r>
      <w:r w:rsidR="00485716">
        <w:t>is likely to</w:t>
      </w:r>
      <w:r w:rsidR="00B11DDF">
        <w:t xml:space="preserve"> </w:t>
      </w:r>
      <w:r w:rsidR="0082056B">
        <w:t>substantially lessen</w:t>
      </w:r>
      <w:r w:rsidR="00B11DDF">
        <w:t xml:space="preserve"> competition </w:t>
      </w:r>
      <w:r w:rsidR="0019511C">
        <w:t>in the</w:t>
      </w:r>
      <w:r w:rsidR="00485716">
        <w:t xml:space="preserve"> national</w:t>
      </w:r>
      <w:r w:rsidR="0019511C">
        <w:t xml:space="preserve"> market for the supply of PDMS</w:t>
      </w:r>
      <w:r w:rsidR="00531C81">
        <w:t xml:space="preserve">. The proposed acquisition would combine </w:t>
      </w:r>
      <w:r w:rsidR="007A6125">
        <w:t xml:space="preserve">two of the three </w:t>
      </w:r>
      <w:r w:rsidR="00E64820">
        <w:t xml:space="preserve">largest </w:t>
      </w:r>
      <w:r w:rsidR="0019511C">
        <w:t>competitor</w:t>
      </w:r>
      <w:r w:rsidR="00E64820">
        <w:t>s</w:t>
      </w:r>
      <w:r w:rsidR="009376CC">
        <w:t xml:space="preserve"> in </w:t>
      </w:r>
      <w:r w:rsidR="009376CC">
        <w:lastRenderedPageBreak/>
        <w:t>circumstances where the merged entity would not be subject to strong competitive constraint from other providers</w:t>
      </w:r>
      <w:r w:rsidR="00531C81">
        <w:t xml:space="preserve"> or new entrants,</w:t>
      </w:r>
      <w:r w:rsidR="009376CC">
        <w:t xml:space="preserve"> or any countervailing power of customers.</w:t>
      </w:r>
    </w:p>
    <w:p w:rsidR="00485716" w:rsidRDefault="00485716" w:rsidP="002307B6">
      <w:pPr>
        <w:pStyle w:val="Heading3"/>
      </w:pPr>
      <w:r>
        <w:t xml:space="preserve">Issue that may raise concern: Reduction in competition in regional PDMS markets </w:t>
      </w:r>
    </w:p>
    <w:p w:rsidR="00485716" w:rsidRDefault="00485716" w:rsidP="00162883">
      <w:pPr>
        <w:pStyle w:val="NormalParagraph"/>
      </w:pPr>
      <w:r>
        <w:t xml:space="preserve">Based upon its inquiries to date, the ACCC’s preliminary view is that the proposed acquisition may substantially lessen competition </w:t>
      </w:r>
      <w:r w:rsidR="0015560A">
        <w:t xml:space="preserve">in regional PDMS markets as a result of the removal of close and significant </w:t>
      </w:r>
      <w:r w:rsidR="00531C81">
        <w:t>competition between Iron Mountain and Recall</w:t>
      </w:r>
      <w:r w:rsidR="0015560A">
        <w:t>.</w:t>
      </w:r>
    </w:p>
    <w:p w:rsidR="003C05B1" w:rsidRDefault="00E64820" w:rsidP="00162883">
      <w:pPr>
        <w:pStyle w:val="NormalParagraph"/>
      </w:pPr>
      <w:r>
        <w:t>Many of</w:t>
      </w:r>
      <w:r w:rsidR="009376CC">
        <w:t xml:space="preserve"> t</w:t>
      </w:r>
      <w:r w:rsidR="00A03745">
        <w:t xml:space="preserve">he factors </w:t>
      </w:r>
      <w:r w:rsidR="00A2441D">
        <w:t>identified</w:t>
      </w:r>
      <w:r w:rsidR="00484248">
        <w:t xml:space="preserve"> </w:t>
      </w:r>
      <w:r w:rsidR="007A74AF">
        <w:t>in</w:t>
      </w:r>
      <w:r w:rsidR="00A2441D">
        <w:t xml:space="preserve"> the </w:t>
      </w:r>
      <w:r w:rsidR="00A03745">
        <w:t xml:space="preserve">competition analysis of the </w:t>
      </w:r>
      <w:r w:rsidR="00A2441D">
        <w:t>national PDMS market</w:t>
      </w:r>
      <w:r w:rsidR="00484248">
        <w:t xml:space="preserve"> also apply to </w:t>
      </w:r>
      <w:r w:rsidR="00A03745">
        <w:t xml:space="preserve">the </w:t>
      </w:r>
      <w:r w:rsidR="00484248">
        <w:t>various regional markets</w:t>
      </w:r>
      <w:r w:rsidR="00264495">
        <w:t xml:space="preserve"> (</w:t>
      </w:r>
      <w:r w:rsidR="00A03745">
        <w:t>excluding the Northern Territory)</w:t>
      </w:r>
      <w:r w:rsidR="00484248">
        <w:t xml:space="preserve">. </w:t>
      </w:r>
      <w:r w:rsidR="009376CC">
        <w:t>In particular,</w:t>
      </w:r>
      <w:r w:rsidR="00531C81">
        <w:t xml:space="preserve"> the merger parties</w:t>
      </w:r>
      <w:r w:rsidR="003C05B1">
        <w:t>:</w:t>
      </w:r>
    </w:p>
    <w:p w:rsidR="003C05B1" w:rsidRDefault="00531C81" w:rsidP="00F038AA">
      <w:pPr>
        <w:pStyle w:val="NormalParagraph"/>
        <w:numPr>
          <w:ilvl w:val="0"/>
          <w:numId w:val="60"/>
        </w:numPr>
      </w:pPr>
      <w:r>
        <w:t>have</w:t>
      </w:r>
      <w:r w:rsidR="009376CC">
        <w:t xml:space="preserve"> high market shares</w:t>
      </w:r>
      <w:r>
        <w:t xml:space="preserve"> in each </w:t>
      </w:r>
      <w:r w:rsidR="00AF4B13">
        <w:t xml:space="preserve">of these </w:t>
      </w:r>
      <w:r>
        <w:t>regional markets</w:t>
      </w:r>
    </w:p>
    <w:p w:rsidR="003C05B1" w:rsidRDefault="00531C81" w:rsidP="00F038AA">
      <w:pPr>
        <w:pStyle w:val="NormalParagraph"/>
        <w:numPr>
          <w:ilvl w:val="0"/>
          <w:numId w:val="60"/>
        </w:numPr>
      </w:pPr>
      <w:r>
        <w:t xml:space="preserve">face </w:t>
      </w:r>
      <w:r w:rsidR="009376CC">
        <w:t>limited competitive constraints</w:t>
      </w:r>
    </w:p>
    <w:p w:rsidR="003C05B1" w:rsidRDefault="00531C81" w:rsidP="00F038AA">
      <w:pPr>
        <w:pStyle w:val="NormalParagraph"/>
        <w:numPr>
          <w:ilvl w:val="0"/>
          <w:numId w:val="60"/>
        </w:numPr>
      </w:pPr>
      <w:r>
        <w:t>benefit from barriers to entry</w:t>
      </w:r>
    </w:p>
    <w:p w:rsidR="003C05B1" w:rsidRDefault="00531C81" w:rsidP="00F038AA">
      <w:pPr>
        <w:pStyle w:val="NormalParagraph"/>
        <w:numPr>
          <w:ilvl w:val="0"/>
          <w:numId w:val="60"/>
        </w:numPr>
      </w:pPr>
      <w:r>
        <w:t xml:space="preserve">do not face customers with strong </w:t>
      </w:r>
      <w:r w:rsidR="009376CC">
        <w:t xml:space="preserve">countervailing power. </w:t>
      </w:r>
    </w:p>
    <w:p w:rsidR="00264495" w:rsidRDefault="00484248" w:rsidP="00F038AA">
      <w:pPr>
        <w:pStyle w:val="Numbered"/>
      </w:pPr>
      <w:r>
        <w:t>However there are some</w:t>
      </w:r>
      <w:r w:rsidR="00B7295C">
        <w:t xml:space="preserve"> distinguishing features of regional PDMS markets</w:t>
      </w:r>
      <w:r>
        <w:t xml:space="preserve">, which </w:t>
      </w:r>
      <w:r w:rsidR="00264495">
        <w:t>are</w:t>
      </w:r>
      <w:r w:rsidR="00A03745">
        <w:t xml:space="preserve"> outlined below.</w:t>
      </w:r>
      <w:r w:rsidR="00F038AA">
        <w:t xml:space="preserve"> </w:t>
      </w:r>
      <w:r w:rsidR="00F20007">
        <w:t xml:space="preserve">Recall does not have operations in the Northern Territory. </w:t>
      </w:r>
      <w:r w:rsidR="00530C51">
        <w:t>Any</w:t>
      </w:r>
      <w:r w:rsidR="00F20007">
        <w:t xml:space="preserve"> region</w:t>
      </w:r>
      <w:r w:rsidR="00530C51">
        <w:t>al market in the Northern Territory</w:t>
      </w:r>
      <w:r w:rsidR="00F20007">
        <w:t xml:space="preserve"> is therefore excluded from the competition analysis below.</w:t>
      </w:r>
      <w:r w:rsidR="00F038AA">
        <w:t xml:space="preserve"> </w:t>
      </w:r>
      <w:r w:rsidR="00264495">
        <w:t>The various regional markets will be dealt with together</w:t>
      </w:r>
      <w:r w:rsidR="00612B42">
        <w:t xml:space="preserve"> </w:t>
      </w:r>
      <w:r w:rsidR="00531C81">
        <w:t>given their common features</w:t>
      </w:r>
      <w:r w:rsidR="00A03745">
        <w:t>.</w:t>
      </w:r>
    </w:p>
    <w:p w:rsidR="00484248" w:rsidRDefault="00484248" w:rsidP="00162883">
      <w:pPr>
        <w:pStyle w:val="Heading4"/>
      </w:pPr>
      <w:r>
        <w:t xml:space="preserve">Market </w:t>
      </w:r>
      <w:r w:rsidR="001A0C66">
        <w:t>concentration</w:t>
      </w:r>
    </w:p>
    <w:p w:rsidR="00A03745" w:rsidRDefault="00B86BA0" w:rsidP="00162883">
      <w:pPr>
        <w:pStyle w:val="NormalParagraph"/>
      </w:pPr>
      <w:r>
        <w:t xml:space="preserve">Based on data supplied by </w:t>
      </w:r>
      <w:r w:rsidR="001052FF">
        <w:t xml:space="preserve">interested parties, estimates </w:t>
      </w:r>
      <w:r>
        <w:t xml:space="preserve">of PDMS providers in </w:t>
      </w:r>
      <w:r w:rsidR="009376CC">
        <w:t>each relevant state</w:t>
      </w:r>
      <w:r w:rsidR="001A0C66">
        <w:t>/territory</w:t>
      </w:r>
      <w:r>
        <w:t xml:space="preserve"> are </w:t>
      </w:r>
      <w:r w:rsidR="00A75D37">
        <w:t xml:space="preserve">provided </w:t>
      </w:r>
      <w:r>
        <w:t xml:space="preserve">in </w:t>
      </w:r>
      <w:r w:rsidR="00EC3057">
        <w:t>T</w:t>
      </w:r>
      <w:r>
        <w:t>able</w:t>
      </w:r>
      <w:r w:rsidR="001A0C66">
        <w:t> </w:t>
      </w:r>
      <w:r w:rsidR="00EC3057">
        <w:t>2</w:t>
      </w:r>
      <w:r>
        <w:t>.</w:t>
      </w:r>
      <w:r w:rsidR="00D657CC" w:rsidRPr="00A75D37">
        <w:rPr>
          <w:rStyle w:val="FootnoteReference"/>
        </w:rPr>
        <w:footnoteReference w:id="3"/>
      </w:r>
    </w:p>
    <w:p w:rsidR="00A03745" w:rsidRPr="00C3583A" w:rsidRDefault="00A03745" w:rsidP="009C21E9">
      <w:pPr>
        <w:keepNext/>
        <w:spacing w:after="120"/>
        <w:ind w:left="567"/>
        <w:rPr>
          <w:rFonts w:ascii="Arial" w:hAnsi="Arial" w:cs="Arial"/>
          <w:b/>
          <w:sz w:val="22"/>
          <w:szCs w:val="22"/>
        </w:rPr>
      </w:pPr>
      <w:r w:rsidRPr="00C3583A">
        <w:rPr>
          <w:rFonts w:ascii="Arial" w:hAnsi="Arial" w:cs="Arial"/>
          <w:b/>
          <w:sz w:val="22"/>
          <w:szCs w:val="22"/>
        </w:rPr>
        <w:t xml:space="preserve">Table </w:t>
      </w:r>
      <w:r w:rsidR="00DF1ADB">
        <w:rPr>
          <w:rFonts w:ascii="Arial" w:hAnsi="Arial" w:cs="Arial"/>
          <w:b/>
          <w:sz w:val="22"/>
          <w:szCs w:val="22"/>
        </w:rPr>
        <w:t>2</w:t>
      </w:r>
      <w:r w:rsidRPr="00C3583A">
        <w:rPr>
          <w:rFonts w:ascii="Arial" w:hAnsi="Arial" w:cs="Arial"/>
          <w:b/>
          <w:sz w:val="22"/>
          <w:szCs w:val="22"/>
        </w:rPr>
        <w:t xml:space="preserve">: </w:t>
      </w:r>
      <w:r w:rsidR="007A6125">
        <w:rPr>
          <w:rFonts w:ascii="Arial" w:hAnsi="Arial" w:cs="Arial"/>
          <w:b/>
          <w:sz w:val="22"/>
          <w:szCs w:val="22"/>
        </w:rPr>
        <w:t xml:space="preserve">PDMS </w:t>
      </w:r>
      <w:r w:rsidRPr="00C3583A">
        <w:rPr>
          <w:rFonts w:ascii="Arial" w:hAnsi="Arial" w:cs="Arial"/>
          <w:b/>
          <w:sz w:val="22"/>
          <w:szCs w:val="22"/>
        </w:rPr>
        <w:t>share estimates</w:t>
      </w:r>
      <w:r w:rsidR="00C423EB">
        <w:rPr>
          <w:rFonts w:ascii="Arial" w:hAnsi="Arial" w:cs="Arial"/>
          <w:b/>
          <w:sz w:val="22"/>
          <w:szCs w:val="22"/>
        </w:rPr>
        <w:t xml:space="preserve"> (%)</w:t>
      </w:r>
      <w:r w:rsidR="00D657CC">
        <w:rPr>
          <w:rFonts w:ascii="Arial" w:hAnsi="Arial" w:cs="Arial"/>
          <w:b/>
          <w:sz w:val="22"/>
          <w:szCs w:val="22"/>
        </w:rPr>
        <w:t xml:space="preserve"> </w:t>
      </w:r>
      <w:r>
        <w:rPr>
          <w:rFonts w:ascii="Arial" w:hAnsi="Arial" w:cs="Arial"/>
          <w:b/>
          <w:sz w:val="22"/>
          <w:szCs w:val="22"/>
        </w:rPr>
        <w:t xml:space="preserve">in </w:t>
      </w:r>
      <w:r w:rsidR="007A6125">
        <w:rPr>
          <w:rFonts w:ascii="Arial" w:hAnsi="Arial" w:cs="Arial"/>
          <w:b/>
          <w:sz w:val="22"/>
          <w:szCs w:val="22"/>
        </w:rPr>
        <w:t>states and territories</w:t>
      </w:r>
      <w:r w:rsidR="00E2414A">
        <w:rPr>
          <w:rFonts w:ascii="Arial" w:hAnsi="Arial" w:cs="Arial"/>
          <w:b/>
          <w:sz w:val="22"/>
          <w:szCs w:val="22"/>
        </w:rPr>
        <w:t xml:space="preserve"> 2014</w:t>
      </w:r>
      <w:r w:rsidR="00AF4B13">
        <w:rPr>
          <w:rFonts w:ascii="Arial" w:hAnsi="Arial" w:cs="Arial"/>
          <w:b/>
          <w:sz w:val="22"/>
          <w:szCs w:val="22"/>
        </w:rPr>
        <w:t>-</w:t>
      </w:r>
      <w:r w:rsidR="00E2414A">
        <w:rPr>
          <w:rFonts w:ascii="Arial" w:hAnsi="Arial" w:cs="Arial"/>
          <w:b/>
          <w:sz w:val="22"/>
          <w:szCs w:val="22"/>
        </w:rPr>
        <w:t>15</w:t>
      </w:r>
    </w:p>
    <w:tbl>
      <w:tblPr>
        <w:tblW w:w="7938"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911"/>
        <w:gridCol w:w="911"/>
        <w:gridCol w:w="911"/>
        <w:gridCol w:w="911"/>
        <w:gridCol w:w="911"/>
        <w:gridCol w:w="911"/>
        <w:gridCol w:w="912"/>
      </w:tblGrid>
      <w:tr w:rsidR="00762A72" w:rsidRPr="002A0002" w:rsidTr="00E53E6C">
        <w:trPr>
          <w:cantSplit/>
          <w:trHeight w:val="369"/>
          <w:tblHeader/>
        </w:trPr>
        <w:tc>
          <w:tcPr>
            <w:tcW w:w="1560" w:type="dxa"/>
            <w:tcBorders>
              <w:right w:val="single" w:sz="4" w:space="0" w:color="auto"/>
            </w:tcBorders>
            <w:shd w:val="pct25" w:color="auto" w:fill="auto"/>
            <w:vAlign w:val="center"/>
          </w:tcPr>
          <w:p w:rsidR="00762A72" w:rsidRPr="00BC4450" w:rsidRDefault="00762A72" w:rsidP="00E53E6C">
            <w:pPr>
              <w:rPr>
                <w:rFonts w:ascii="Arial" w:hAnsi="Arial" w:cs="Arial"/>
                <w:sz w:val="22"/>
                <w:szCs w:val="22"/>
              </w:rPr>
            </w:pPr>
            <w:r w:rsidRPr="00BC4450">
              <w:rPr>
                <w:rFonts w:ascii="Arial" w:hAnsi="Arial" w:cs="Arial"/>
                <w:b/>
                <w:sz w:val="22"/>
                <w:szCs w:val="22"/>
              </w:rPr>
              <w:t>PDMS supplier</w:t>
            </w:r>
          </w:p>
        </w:tc>
        <w:tc>
          <w:tcPr>
            <w:tcW w:w="911" w:type="dxa"/>
            <w:shd w:val="pct25" w:color="auto" w:fill="auto"/>
            <w:vAlign w:val="center"/>
          </w:tcPr>
          <w:p w:rsidR="00762A72" w:rsidRPr="00BC4450" w:rsidRDefault="00762A72" w:rsidP="00E53E6C">
            <w:pPr>
              <w:jc w:val="center"/>
              <w:rPr>
                <w:rFonts w:ascii="Arial" w:hAnsi="Arial" w:cs="Arial"/>
                <w:b/>
                <w:sz w:val="22"/>
                <w:szCs w:val="22"/>
              </w:rPr>
            </w:pPr>
            <w:r w:rsidRPr="00BC4450">
              <w:rPr>
                <w:rFonts w:ascii="Arial" w:hAnsi="Arial" w:cs="Arial"/>
                <w:b/>
                <w:sz w:val="22"/>
                <w:szCs w:val="22"/>
              </w:rPr>
              <w:t>NSW</w:t>
            </w:r>
          </w:p>
        </w:tc>
        <w:tc>
          <w:tcPr>
            <w:tcW w:w="911" w:type="dxa"/>
            <w:shd w:val="pct25" w:color="auto" w:fill="auto"/>
            <w:vAlign w:val="center"/>
          </w:tcPr>
          <w:p w:rsidR="00762A72" w:rsidRPr="00BC4450" w:rsidRDefault="00762A72" w:rsidP="00E53E6C">
            <w:pPr>
              <w:jc w:val="center"/>
              <w:rPr>
                <w:rFonts w:ascii="Arial" w:hAnsi="Arial" w:cs="Arial"/>
                <w:b/>
                <w:sz w:val="22"/>
                <w:szCs w:val="22"/>
              </w:rPr>
            </w:pPr>
            <w:r w:rsidRPr="00BC4450">
              <w:rPr>
                <w:rFonts w:ascii="Arial" w:hAnsi="Arial" w:cs="Arial"/>
                <w:b/>
                <w:sz w:val="22"/>
                <w:szCs w:val="22"/>
              </w:rPr>
              <w:t>ACT</w:t>
            </w:r>
          </w:p>
        </w:tc>
        <w:tc>
          <w:tcPr>
            <w:tcW w:w="911" w:type="dxa"/>
            <w:shd w:val="pct25" w:color="auto" w:fill="auto"/>
            <w:vAlign w:val="center"/>
          </w:tcPr>
          <w:p w:rsidR="00762A72" w:rsidRPr="00BC4450" w:rsidRDefault="00762A72" w:rsidP="00E53E6C">
            <w:pPr>
              <w:jc w:val="center"/>
              <w:rPr>
                <w:rFonts w:ascii="Arial" w:hAnsi="Arial" w:cs="Arial"/>
                <w:b/>
                <w:sz w:val="22"/>
                <w:szCs w:val="22"/>
              </w:rPr>
            </w:pPr>
            <w:r w:rsidRPr="00BC4450">
              <w:rPr>
                <w:rFonts w:ascii="Arial" w:hAnsi="Arial" w:cs="Arial"/>
                <w:b/>
                <w:sz w:val="22"/>
                <w:szCs w:val="22"/>
              </w:rPr>
              <w:t>VIC</w:t>
            </w:r>
          </w:p>
        </w:tc>
        <w:tc>
          <w:tcPr>
            <w:tcW w:w="911" w:type="dxa"/>
            <w:shd w:val="pct25" w:color="auto" w:fill="auto"/>
            <w:vAlign w:val="center"/>
          </w:tcPr>
          <w:p w:rsidR="00762A72" w:rsidRPr="00BC4450" w:rsidRDefault="00762A72" w:rsidP="00E53E6C">
            <w:pPr>
              <w:jc w:val="center"/>
              <w:rPr>
                <w:rFonts w:ascii="Arial" w:hAnsi="Arial" w:cs="Arial"/>
                <w:b/>
                <w:sz w:val="22"/>
                <w:szCs w:val="22"/>
              </w:rPr>
            </w:pPr>
            <w:r w:rsidRPr="00BC4450">
              <w:rPr>
                <w:rFonts w:ascii="Arial" w:hAnsi="Arial" w:cs="Arial"/>
                <w:b/>
                <w:sz w:val="22"/>
                <w:szCs w:val="22"/>
              </w:rPr>
              <w:t>SA</w:t>
            </w:r>
          </w:p>
        </w:tc>
        <w:tc>
          <w:tcPr>
            <w:tcW w:w="911" w:type="dxa"/>
            <w:shd w:val="pct25" w:color="auto" w:fill="auto"/>
            <w:vAlign w:val="center"/>
          </w:tcPr>
          <w:p w:rsidR="00762A72" w:rsidRPr="00BC4450" w:rsidRDefault="00762A72" w:rsidP="00E53E6C">
            <w:pPr>
              <w:jc w:val="center"/>
              <w:rPr>
                <w:rFonts w:ascii="Arial" w:hAnsi="Arial" w:cs="Arial"/>
                <w:b/>
                <w:sz w:val="22"/>
                <w:szCs w:val="22"/>
              </w:rPr>
            </w:pPr>
            <w:r w:rsidRPr="00BC4450">
              <w:rPr>
                <w:rFonts w:ascii="Arial" w:hAnsi="Arial" w:cs="Arial"/>
                <w:b/>
                <w:sz w:val="22"/>
                <w:szCs w:val="22"/>
              </w:rPr>
              <w:t>TAS</w:t>
            </w:r>
          </w:p>
        </w:tc>
        <w:tc>
          <w:tcPr>
            <w:tcW w:w="911" w:type="dxa"/>
            <w:shd w:val="pct25" w:color="auto" w:fill="auto"/>
            <w:vAlign w:val="center"/>
          </w:tcPr>
          <w:p w:rsidR="00762A72" w:rsidRPr="00BC4450" w:rsidRDefault="00762A72" w:rsidP="00E53E6C">
            <w:pPr>
              <w:jc w:val="center"/>
              <w:rPr>
                <w:rFonts w:ascii="Arial" w:hAnsi="Arial" w:cs="Arial"/>
                <w:b/>
                <w:sz w:val="22"/>
                <w:szCs w:val="22"/>
              </w:rPr>
            </w:pPr>
            <w:r w:rsidRPr="00BC4450">
              <w:rPr>
                <w:rFonts w:ascii="Arial" w:hAnsi="Arial" w:cs="Arial"/>
                <w:b/>
                <w:sz w:val="22"/>
                <w:szCs w:val="22"/>
              </w:rPr>
              <w:t>WA</w:t>
            </w:r>
          </w:p>
        </w:tc>
        <w:tc>
          <w:tcPr>
            <w:tcW w:w="912" w:type="dxa"/>
            <w:shd w:val="pct25" w:color="auto" w:fill="auto"/>
            <w:vAlign w:val="center"/>
          </w:tcPr>
          <w:p w:rsidR="00762A72" w:rsidRPr="00BC4450" w:rsidRDefault="00762A72" w:rsidP="00E53E6C">
            <w:pPr>
              <w:jc w:val="center"/>
              <w:rPr>
                <w:rFonts w:ascii="Arial" w:hAnsi="Arial" w:cs="Arial"/>
                <w:b/>
                <w:sz w:val="22"/>
                <w:szCs w:val="22"/>
              </w:rPr>
            </w:pPr>
            <w:r w:rsidRPr="00BC4450">
              <w:rPr>
                <w:rFonts w:ascii="Arial" w:hAnsi="Arial" w:cs="Arial"/>
                <w:b/>
                <w:sz w:val="22"/>
                <w:szCs w:val="22"/>
              </w:rPr>
              <w:t>QLD</w:t>
            </w:r>
          </w:p>
        </w:tc>
      </w:tr>
      <w:tr w:rsidR="001052FF" w:rsidRPr="002A0002" w:rsidTr="00E53E6C">
        <w:trPr>
          <w:cantSplit/>
          <w:trHeight w:val="369"/>
        </w:trPr>
        <w:tc>
          <w:tcPr>
            <w:tcW w:w="1560" w:type="dxa"/>
            <w:tcBorders>
              <w:right w:val="single" w:sz="4" w:space="0" w:color="auto"/>
            </w:tcBorders>
            <w:shd w:val="clear" w:color="auto" w:fill="auto"/>
            <w:vAlign w:val="center"/>
          </w:tcPr>
          <w:p w:rsidR="001052FF" w:rsidRPr="00BC4450" w:rsidRDefault="001052FF" w:rsidP="00E53E6C">
            <w:pPr>
              <w:rPr>
                <w:rFonts w:ascii="Arial" w:hAnsi="Arial" w:cs="Arial"/>
                <w:sz w:val="22"/>
                <w:szCs w:val="22"/>
              </w:rPr>
            </w:pPr>
            <w:r w:rsidRPr="00BC4450">
              <w:rPr>
                <w:rFonts w:ascii="Arial" w:hAnsi="Arial" w:cs="Arial"/>
                <w:sz w:val="22"/>
                <w:szCs w:val="22"/>
              </w:rPr>
              <w:t>Recall</w:t>
            </w:r>
          </w:p>
        </w:tc>
        <w:tc>
          <w:tcPr>
            <w:tcW w:w="911" w:type="dxa"/>
            <w:vAlign w:val="center"/>
          </w:tcPr>
          <w:p w:rsidR="001052FF" w:rsidRPr="00BC4450" w:rsidRDefault="00CC2BD4" w:rsidP="00CC2BD4">
            <w:pPr>
              <w:jc w:val="center"/>
              <w:rPr>
                <w:rFonts w:ascii="Arial" w:eastAsiaTheme="minorHAnsi" w:hAnsi="Arial" w:cs="Arial"/>
                <w:sz w:val="22"/>
                <w:szCs w:val="22"/>
              </w:rPr>
            </w:pPr>
            <w:r w:rsidRPr="00605B9B">
              <w:rPr>
                <w:rFonts w:ascii="Arial" w:hAnsi="Arial" w:cs="Arial"/>
                <w:sz w:val="22"/>
                <w:szCs w:val="22"/>
              </w:rPr>
              <w:t>53</w:t>
            </w:r>
          </w:p>
        </w:tc>
        <w:tc>
          <w:tcPr>
            <w:tcW w:w="911" w:type="dxa"/>
            <w:vAlign w:val="center"/>
          </w:tcPr>
          <w:p w:rsidR="001052FF" w:rsidRPr="00BC4450" w:rsidRDefault="00CC2BD4">
            <w:pPr>
              <w:jc w:val="center"/>
              <w:rPr>
                <w:rFonts w:ascii="Arial" w:eastAsiaTheme="minorHAnsi" w:hAnsi="Arial" w:cs="Arial"/>
                <w:sz w:val="22"/>
                <w:szCs w:val="22"/>
              </w:rPr>
            </w:pPr>
            <w:bookmarkStart w:id="6" w:name="_GoBack"/>
            <w:bookmarkEnd w:id="6"/>
            <w:r w:rsidRPr="00605B9B">
              <w:rPr>
                <w:rFonts w:ascii="Arial" w:hAnsi="Arial" w:cs="Arial"/>
                <w:sz w:val="22"/>
                <w:szCs w:val="22"/>
              </w:rPr>
              <w:t>46</w:t>
            </w:r>
          </w:p>
        </w:tc>
        <w:tc>
          <w:tcPr>
            <w:tcW w:w="911" w:type="dxa"/>
            <w:vAlign w:val="center"/>
          </w:tcPr>
          <w:p w:rsidR="001052FF" w:rsidRPr="00BC4450" w:rsidRDefault="001052FF">
            <w:pPr>
              <w:jc w:val="center"/>
              <w:rPr>
                <w:rFonts w:ascii="Arial" w:eastAsiaTheme="minorHAnsi" w:hAnsi="Arial" w:cs="Arial"/>
                <w:sz w:val="22"/>
                <w:szCs w:val="22"/>
              </w:rPr>
            </w:pPr>
            <w:r w:rsidRPr="00605B9B">
              <w:rPr>
                <w:rFonts w:ascii="Arial" w:hAnsi="Arial" w:cs="Arial"/>
                <w:sz w:val="22"/>
                <w:szCs w:val="22"/>
              </w:rPr>
              <w:t>44</w:t>
            </w:r>
          </w:p>
        </w:tc>
        <w:tc>
          <w:tcPr>
            <w:tcW w:w="911" w:type="dxa"/>
            <w:vAlign w:val="center"/>
          </w:tcPr>
          <w:p w:rsidR="001052FF" w:rsidRPr="00BC4450" w:rsidRDefault="001052FF">
            <w:pPr>
              <w:jc w:val="center"/>
              <w:rPr>
                <w:rFonts w:ascii="Arial" w:eastAsiaTheme="minorHAnsi" w:hAnsi="Arial" w:cs="Arial"/>
                <w:sz w:val="22"/>
                <w:szCs w:val="22"/>
              </w:rPr>
            </w:pPr>
            <w:r w:rsidRPr="00605B9B">
              <w:rPr>
                <w:rFonts w:ascii="Arial" w:hAnsi="Arial" w:cs="Arial"/>
                <w:sz w:val="22"/>
                <w:szCs w:val="22"/>
              </w:rPr>
              <w:t>56</w:t>
            </w:r>
          </w:p>
        </w:tc>
        <w:tc>
          <w:tcPr>
            <w:tcW w:w="911" w:type="dxa"/>
            <w:vAlign w:val="center"/>
          </w:tcPr>
          <w:p w:rsidR="001052FF" w:rsidRPr="00BC4450" w:rsidRDefault="00CC2BD4">
            <w:pPr>
              <w:jc w:val="center"/>
              <w:rPr>
                <w:rFonts w:ascii="Arial" w:eastAsiaTheme="minorHAnsi" w:hAnsi="Arial" w:cs="Arial"/>
                <w:sz w:val="22"/>
                <w:szCs w:val="22"/>
              </w:rPr>
            </w:pPr>
            <w:r w:rsidRPr="00605B9B">
              <w:rPr>
                <w:rFonts w:ascii="Arial" w:hAnsi="Arial" w:cs="Arial"/>
                <w:sz w:val="22"/>
                <w:szCs w:val="22"/>
              </w:rPr>
              <w:t>31</w:t>
            </w:r>
          </w:p>
        </w:tc>
        <w:tc>
          <w:tcPr>
            <w:tcW w:w="911" w:type="dxa"/>
            <w:vAlign w:val="center"/>
          </w:tcPr>
          <w:p w:rsidR="001052FF" w:rsidRPr="00BC4450" w:rsidRDefault="001052FF">
            <w:pPr>
              <w:jc w:val="center"/>
              <w:rPr>
                <w:rFonts w:ascii="Arial" w:eastAsiaTheme="minorHAnsi" w:hAnsi="Arial" w:cs="Arial"/>
                <w:sz w:val="22"/>
                <w:szCs w:val="22"/>
              </w:rPr>
            </w:pPr>
            <w:r w:rsidRPr="00605B9B">
              <w:rPr>
                <w:rFonts w:ascii="Arial" w:hAnsi="Arial" w:cs="Arial"/>
                <w:sz w:val="22"/>
                <w:szCs w:val="22"/>
              </w:rPr>
              <w:t>36</w:t>
            </w:r>
          </w:p>
        </w:tc>
        <w:tc>
          <w:tcPr>
            <w:tcW w:w="912" w:type="dxa"/>
            <w:vAlign w:val="center"/>
          </w:tcPr>
          <w:p w:rsidR="001052FF" w:rsidRPr="00BC4450" w:rsidRDefault="001052FF">
            <w:pPr>
              <w:jc w:val="center"/>
              <w:rPr>
                <w:rFonts w:ascii="Arial" w:eastAsiaTheme="minorHAnsi" w:hAnsi="Arial" w:cs="Arial"/>
                <w:sz w:val="22"/>
                <w:szCs w:val="22"/>
              </w:rPr>
            </w:pPr>
            <w:r w:rsidRPr="00605B9B">
              <w:rPr>
                <w:rFonts w:ascii="Arial" w:hAnsi="Arial" w:cs="Arial"/>
                <w:sz w:val="22"/>
                <w:szCs w:val="22"/>
              </w:rPr>
              <w:t>42</w:t>
            </w:r>
          </w:p>
        </w:tc>
      </w:tr>
      <w:tr w:rsidR="001052FF" w:rsidRPr="002A0002" w:rsidTr="00E53E6C">
        <w:trPr>
          <w:cantSplit/>
          <w:trHeight w:val="369"/>
        </w:trPr>
        <w:tc>
          <w:tcPr>
            <w:tcW w:w="1560" w:type="dxa"/>
            <w:tcBorders>
              <w:bottom w:val="single" w:sz="4" w:space="0" w:color="auto"/>
              <w:right w:val="single" w:sz="4" w:space="0" w:color="auto"/>
            </w:tcBorders>
            <w:shd w:val="clear" w:color="auto" w:fill="auto"/>
            <w:vAlign w:val="center"/>
          </w:tcPr>
          <w:p w:rsidR="001052FF" w:rsidRPr="00BC4450" w:rsidRDefault="001052FF" w:rsidP="00E53E6C">
            <w:pPr>
              <w:rPr>
                <w:rFonts w:ascii="Arial" w:hAnsi="Arial" w:cs="Arial"/>
                <w:sz w:val="22"/>
                <w:szCs w:val="22"/>
              </w:rPr>
            </w:pPr>
            <w:r w:rsidRPr="00BC4450">
              <w:rPr>
                <w:rFonts w:ascii="Arial" w:hAnsi="Arial" w:cs="Arial"/>
                <w:sz w:val="22"/>
                <w:szCs w:val="22"/>
              </w:rPr>
              <w:t>Iron Mountain</w:t>
            </w:r>
          </w:p>
        </w:tc>
        <w:tc>
          <w:tcPr>
            <w:tcW w:w="911" w:type="dxa"/>
            <w:tcBorders>
              <w:bottom w:val="single" w:sz="4" w:space="0" w:color="auto"/>
            </w:tcBorders>
            <w:vAlign w:val="center"/>
          </w:tcPr>
          <w:p w:rsidR="001052FF" w:rsidRPr="00BC4450" w:rsidRDefault="00BA3C2C">
            <w:pPr>
              <w:jc w:val="center"/>
              <w:rPr>
                <w:rFonts w:ascii="Arial" w:eastAsiaTheme="minorHAnsi" w:hAnsi="Arial" w:cs="Arial"/>
                <w:sz w:val="22"/>
                <w:szCs w:val="22"/>
              </w:rPr>
            </w:pPr>
            <w:r w:rsidRPr="00605B9B">
              <w:rPr>
                <w:rFonts w:ascii="Arial" w:hAnsi="Arial" w:cs="Arial"/>
                <w:sz w:val="22"/>
                <w:szCs w:val="22"/>
              </w:rPr>
              <w:t>17</w:t>
            </w:r>
          </w:p>
        </w:tc>
        <w:tc>
          <w:tcPr>
            <w:tcW w:w="911" w:type="dxa"/>
            <w:tcBorders>
              <w:bottom w:val="single" w:sz="4" w:space="0" w:color="auto"/>
            </w:tcBorders>
            <w:vAlign w:val="center"/>
          </w:tcPr>
          <w:p w:rsidR="001052FF" w:rsidRPr="00BC4450" w:rsidRDefault="00CC2BD4">
            <w:pPr>
              <w:jc w:val="center"/>
              <w:rPr>
                <w:rFonts w:ascii="Arial" w:eastAsiaTheme="minorHAnsi" w:hAnsi="Arial" w:cs="Arial"/>
                <w:sz w:val="22"/>
                <w:szCs w:val="22"/>
              </w:rPr>
            </w:pPr>
            <w:r w:rsidRPr="00605B9B">
              <w:rPr>
                <w:rFonts w:ascii="Arial" w:hAnsi="Arial" w:cs="Arial"/>
                <w:sz w:val="22"/>
                <w:szCs w:val="22"/>
              </w:rPr>
              <w:t>20</w:t>
            </w:r>
          </w:p>
        </w:tc>
        <w:tc>
          <w:tcPr>
            <w:tcW w:w="911" w:type="dxa"/>
            <w:tcBorders>
              <w:bottom w:val="single" w:sz="4" w:space="0" w:color="auto"/>
            </w:tcBorders>
            <w:vAlign w:val="center"/>
          </w:tcPr>
          <w:p w:rsidR="001052FF" w:rsidRPr="00BC4450" w:rsidRDefault="001052FF">
            <w:pPr>
              <w:jc w:val="center"/>
              <w:rPr>
                <w:rFonts w:ascii="Arial" w:eastAsiaTheme="minorHAnsi" w:hAnsi="Arial" w:cs="Arial"/>
                <w:sz w:val="22"/>
                <w:szCs w:val="22"/>
              </w:rPr>
            </w:pPr>
            <w:r w:rsidRPr="00605B9B">
              <w:rPr>
                <w:rFonts w:ascii="Arial" w:hAnsi="Arial" w:cs="Arial"/>
                <w:sz w:val="22"/>
                <w:szCs w:val="22"/>
              </w:rPr>
              <w:t>22</w:t>
            </w:r>
          </w:p>
        </w:tc>
        <w:tc>
          <w:tcPr>
            <w:tcW w:w="911" w:type="dxa"/>
            <w:tcBorders>
              <w:bottom w:val="single" w:sz="4" w:space="0" w:color="auto"/>
            </w:tcBorders>
            <w:vAlign w:val="center"/>
          </w:tcPr>
          <w:p w:rsidR="001052FF" w:rsidRPr="00BC4450" w:rsidRDefault="001052FF">
            <w:pPr>
              <w:jc w:val="center"/>
              <w:rPr>
                <w:rFonts w:ascii="Arial" w:eastAsiaTheme="minorHAnsi" w:hAnsi="Arial" w:cs="Arial"/>
                <w:sz w:val="22"/>
                <w:szCs w:val="22"/>
              </w:rPr>
            </w:pPr>
            <w:r w:rsidRPr="00605B9B">
              <w:rPr>
                <w:rFonts w:ascii="Arial" w:hAnsi="Arial" w:cs="Arial"/>
                <w:sz w:val="22"/>
                <w:szCs w:val="22"/>
              </w:rPr>
              <w:t>15</w:t>
            </w:r>
          </w:p>
        </w:tc>
        <w:tc>
          <w:tcPr>
            <w:tcW w:w="911" w:type="dxa"/>
            <w:tcBorders>
              <w:bottom w:val="single" w:sz="4" w:space="0" w:color="auto"/>
            </w:tcBorders>
            <w:vAlign w:val="center"/>
          </w:tcPr>
          <w:p w:rsidR="001052FF" w:rsidRPr="00BC4450" w:rsidRDefault="00CC2BD4">
            <w:pPr>
              <w:jc w:val="center"/>
              <w:rPr>
                <w:rFonts w:ascii="Arial" w:eastAsiaTheme="minorHAnsi" w:hAnsi="Arial" w:cs="Arial"/>
                <w:sz w:val="22"/>
                <w:szCs w:val="22"/>
              </w:rPr>
            </w:pPr>
            <w:r w:rsidRPr="00605B9B">
              <w:rPr>
                <w:rFonts w:ascii="Arial" w:hAnsi="Arial" w:cs="Arial"/>
                <w:sz w:val="22"/>
                <w:szCs w:val="22"/>
              </w:rPr>
              <w:t>46</w:t>
            </w:r>
          </w:p>
        </w:tc>
        <w:tc>
          <w:tcPr>
            <w:tcW w:w="911" w:type="dxa"/>
            <w:tcBorders>
              <w:bottom w:val="single" w:sz="4" w:space="0" w:color="auto"/>
            </w:tcBorders>
            <w:vAlign w:val="center"/>
          </w:tcPr>
          <w:p w:rsidR="001052FF" w:rsidRPr="00BC4450" w:rsidRDefault="00CC2BD4">
            <w:pPr>
              <w:jc w:val="center"/>
              <w:rPr>
                <w:rFonts w:ascii="Arial" w:eastAsiaTheme="minorHAnsi" w:hAnsi="Arial" w:cs="Arial"/>
                <w:sz w:val="22"/>
                <w:szCs w:val="22"/>
              </w:rPr>
            </w:pPr>
            <w:r w:rsidRPr="00605B9B">
              <w:rPr>
                <w:rFonts w:ascii="Arial" w:hAnsi="Arial" w:cs="Arial"/>
                <w:sz w:val="22"/>
                <w:szCs w:val="22"/>
              </w:rPr>
              <w:t>19</w:t>
            </w:r>
          </w:p>
        </w:tc>
        <w:tc>
          <w:tcPr>
            <w:tcW w:w="912" w:type="dxa"/>
            <w:tcBorders>
              <w:bottom w:val="single" w:sz="4" w:space="0" w:color="auto"/>
            </w:tcBorders>
            <w:vAlign w:val="center"/>
          </w:tcPr>
          <w:p w:rsidR="001052FF" w:rsidRPr="00BC4450" w:rsidRDefault="00CC2BD4">
            <w:pPr>
              <w:jc w:val="center"/>
              <w:rPr>
                <w:rFonts w:ascii="Arial" w:eastAsiaTheme="minorHAnsi" w:hAnsi="Arial" w:cs="Arial"/>
                <w:sz w:val="22"/>
                <w:szCs w:val="22"/>
              </w:rPr>
            </w:pPr>
            <w:r w:rsidRPr="00605B9B">
              <w:rPr>
                <w:rFonts w:ascii="Arial" w:hAnsi="Arial" w:cs="Arial"/>
                <w:sz w:val="22"/>
                <w:szCs w:val="22"/>
              </w:rPr>
              <w:t>17</w:t>
            </w:r>
          </w:p>
        </w:tc>
      </w:tr>
      <w:tr w:rsidR="001052FF" w:rsidRPr="002A0002" w:rsidTr="00E53E6C">
        <w:trPr>
          <w:cantSplit/>
          <w:trHeight w:val="369"/>
        </w:trPr>
        <w:tc>
          <w:tcPr>
            <w:tcW w:w="1560" w:type="dxa"/>
            <w:tcBorders>
              <w:right w:val="single" w:sz="4" w:space="0" w:color="auto"/>
            </w:tcBorders>
            <w:shd w:val="pct10" w:color="auto" w:fill="auto"/>
            <w:vAlign w:val="center"/>
          </w:tcPr>
          <w:p w:rsidR="001052FF" w:rsidRPr="00BC4450" w:rsidRDefault="001052FF" w:rsidP="00343DA2">
            <w:pPr>
              <w:rPr>
                <w:rFonts w:ascii="Arial" w:hAnsi="Arial" w:cs="Arial"/>
                <w:sz w:val="22"/>
                <w:szCs w:val="22"/>
              </w:rPr>
            </w:pPr>
            <w:r w:rsidRPr="00BC4450">
              <w:rPr>
                <w:rFonts w:ascii="Arial" w:hAnsi="Arial" w:cs="Arial"/>
                <w:sz w:val="22"/>
                <w:szCs w:val="22"/>
              </w:rPr>
              <w:t>Merged entity*</w:t>
            </w:r>
          </w:p>
        </w:tc>
        <w:tc>
          <w:tcPr>
            <w:tcW w:w="911" w:type="dxa"/>
            <w:shd w:val="pct10" w:color="auto" w:fill="auto"/>
            <w:vAlign w:val="center"/>
          </w:tcPr>
          <w:p w:rsidR="001052FF" w:rsidRPr="00BC4450" w:rsidRDefault="00CC2BD4">
            <w:pPr>
              <w:jc w:val="center"/>
              <w:rPr>
                <w:rFonts w:ascii="Arial" w:eastAsiaTheme="minorHAnsi" w:hAnsi="Arial" w:cs="Arial"/>
                <w:sz w:val="22"/>
                <w:szCs w:val="22"/>
              </w:rPr>
            </w:pPr>
            <w:r w:rsidRPr="00605B9B">
              <w:rPr>
                <w:rFonts w:ascii="Arial" w:hAnsi="Arial" w:cs="Arial"/>
                <w:sz w:val="22"/>
                <w:szCs w:val="22"/>
              </w:rPr>
              <w:t>70</w:t>
            </w:r>
          </w:p>
        </w:tc>
        <w:tc>
          <w:tcPr>
            <w:tcW w:w="911" w:type="dxa"/>
            <w:shd w:val="pct10" w:color="auto" w:fill="auto"/>
            <w:vAlign w:val="center"/>
          </w:tcPr>
          <w:p w:rsidR="001052FF" w:rsidRPr="00BC4450" w:rsidRDefault="00CC2BD4">
            <w:pPr>
              <w:jc w:val="center"/>
              <w:rPr>
                <w:rFonts w:ascii="Arial" w:eastAsiaTheme="minorHAnsi" w:hAnsi="Arial" w:cs="Arial"/>
                <w:sz w:val="22"/>
                <w:szCs w:val="22"/>
              </w:rPr>
            </w:pPr>
            <w:r w:rsidRPr="00605B9B">
              <w:rPr>
                <w:rFonts w:ascii="Arial" w:hAnsi="Arial" w:cs="Arial"/>
                <w:sz w:val="22"/>
                <w:szCs w:val="22"/>
              </w:rPr>
              <w:t>66</w:t>
            </w:r>
          </w:p>
        </w:tc>
        <w:tc>
          <w:tcPr>
            <w:tcW w:w="911" w:type="dxa"/>
            <w:shd w:val="pct10" w:color="auto" w:fill="auto"/>
            <w:vAlign w:val="center"/>
          </w:tcPr>
          <w:p w:rsidR="001052FF" w:rsidRPr="00BC4450" w:rsidRDefault="00027F34">
            <w:pPr>
              <w:jc w:val="center"/>
              <w:rPr>
                <w:rFonts w:ascii="Arial" w:eastAsiaTheme="minorHAnsi" w:hAnsi="Arial" w:cs="Arial"/>
                <w:sz w:val="22"/>
                <w:szCs w:val="22"/>
              </w:rPr>
            </w:pPr>
            <w:r w:rsidRPr="00605B9B">
              <w:rPr>
                <w:rFonts w:ascii="Arial" w:hAnsi="Arial" w:cs="Arial"/>
                <w:sz w:val="22"/>
                <w:szCs w:val="22"/>
              </w:rPr>
              <w:t>66</w:t>
            </w:r>
          </w:p>
        </w:tc>
        <w:tc>
          <w:tcPr>
            <w:tcW w:w="911" w:type="dxa"/>
            <w:shd w:val="pct10" w:color="auto" w:fill="auto"/>
            <w:vAlign w:val="center"/>
          </w:tcPr>
          <w:p w:rsidR="001052FF" w:rsidRPr="00BC4450" w:rsidRDefault="00BA3C2C">
            <w:pPr>
              <w:jc w:val="center"/>
              <w:rPr>
                <w:rFonts w:ascii="Arial" w:eastAsiaTheme="minorHAnsi" w:hAnsi="Arial" w:cs="Arial"/>
                <w:sz w:val="22"/>
                <w:szCs w:val="22"/>
              </w:rPr>
            </w:pPr>
            <w:r w:rsidRPr="00605B9B">
              <w:rPr>
                <w:rFonts w:ascii="Arial" w:hAnsi="Arial" w:cs="Arial"/>
                <w:sz w:val="22"/>
                <w:szCs w:val="22"/>
              </w:rPr>
              <w:t>71</w:t>
            </w:r>
          </w:p>
        </w:tc>
        <w:tc>
          <w:tcPr>
            <w:tcW w:w="911" w:type="dxa"/>
            <w:shd w:val="pct10" w:color="auto" w:fill="auto"/>
            <w:vAlign w:val="center"/>
          </w:tcPr>
          <w:p w:rsidR="001052FF" w:rsidRPr="00BC4450" w:rsidRDefault="00CC2BD4">
            <w:pPr>
              <w:jc w:val="center"/>
              <w:rPr>
                <w:rFonts w:ascii="Arial" w:eastAsiaTheme="minorHAnsi" w:hAnsi="Arial" w:cs="Arial"/>
                <w:sz w:val="22"/>
                <w:szCs w:val="22"/>
              </w:rPr>
            </w:pPr>
            <w:r w:rsidRPr="00605B9B">
              <w:rPr>
                <w:rFonts w:ascii="Arial" w:hAnsi="Arial" w:cs="Arial"/>
                <w:sz w:val="22"/>
                <w:szCs w:val="22"/>
              </w:rPr>
              <w:t>76</w:t>
            </w:r>
          </w:p>
        </w:tc>
        <w:tc>
          <w:tcPr>
            <w:tcW w:w="911" w:type="dxa"/>
            <w:shd w:val="pct10" w:color="auto" w:fill="auto"/>
            <w:vAlign w:val="center"/>
          </w:tcPr>
          <w:p w:rsidR="001052FF" w:rsidRPr="00BC4450" w:rsidRDefault="00CC2BD4">
            <w:pPr>
              <w:jc w:val="center"/>
              <w:rPr>
                <w:rFonts w:ascii="Arial" w:eastAsiaTheme="minorHAnsi" w:hAnsi="Arial" w:cs="Arial"/>
                <w:sz w:val="22"/>
                <w:szCs w:val="22"/>
              </w:rPr>
            </w:pPr>
            <w:r w:rsidRPr="00605B9B">
              <w:rPr>
                <w:rFonts w:ascii="Arial" w:hAnsi="Arial" w:cs="Arial"/>
                <w:sz w:val="22"/>
                <w:szCs w:val="22"/>
              </w:rPr>
              <w:t>55</w:t>
            </w:r>
          </w:p>
        </w:tc>
        <w:tc>
          <w:tcPr>
            <w:tcW w:w="912" w:type="dxa"/>
            <w:shd w:val="pct10" w:color="auto" w:fill="auto"/>
            <w:vAlign w:val="center"/>
          </w:tcPr>
          <w:p w:rsidR="001052FF" w:rsidRPr="00BC4450" w:rsidRDefault="00CC2BD4">
            <w:pPr>
              <w:jc w:val="center"/>
              <w:rPr>
                <w:rFonts w:ascii="Arial" w:eastAsiaTheme="minorHAnsi" w:hAnsi="Arial" w:cs="Arial"/>
                <w:sz w:val="22"/>
                <w:szCs w:val="22"/>
              </w:rPr>
            </w:pPr>
            <w:r w:rsidRPr="00605B9B">
              <w:rPr>
                <w:rFonts w:ascii="Arial" w:hAnsi="Arial" w:cs="Arial"/>
                <w:sz w:val="22"/>
                <w:szCs w:val="22"/>
              </w:rPr>
              <w:t>59</w:t>
            </w:r>
          </w:p>
        </w:tc>
      </w:tr>
      <w:tr w:rsidR="001052FF" w:rsidRPr="002A0002" w:rsidTr="00E53E6C">
        <w:trPr>
          <w:cantSplit/>
          <w:trHeight w:val="369"/>
        </w:trPr>
        <w:tc>
          <w:tcPr>
            <w:tcW w:w="1560" w:type="dxa"/>
            <w:tcBorders>
              <w:right w:val="single" w:sz="4" w:space="0" w:color="auto"/>
            </w:tcBorders>
            <w:shd w:val="clear" w:color="auto" w:fill="auto"/>
            <w:vAlign w:val="center"/>
          </w:tcPr>
          <w:p w:rsidR="001052FF" w:rsidRPr="00BC4450" w:rsidRDefault="001052FF" w:rsidP="00E53E6C">
            <w:pPr>
              <w:rPr>
                <w:rFonts w:ascii="Arial" w:hAnsi="Arial" w:cs="Arial"/>
                <w:sz w:val="22"/>
                <w:szCs w:val="22"/>
              </w:rPr>
            </w:pPr>
            <w:r w:rsidRPr="00BC4450">
              <w:rPr>
                <w:rFonts w:ascii="Arial" w:hAnsi="Arial" w:cs="Arial"/>
                <w:sz w:val="22"/>
                <w:szCs w:val="22"/>
              </w:rPr>
              <w:t>Grace</w:t>
            </w:r>
          </w:p>
        </w:tc>
        <w:tc>
          <w:tcPr>
            <w:tcW w:w="911" w:type="dxa"/>
            <w:vAlign w:val="center"/>
          </w:tcPr>
          <w:p w:rsidR="001052FF" w:rsidRPr="00BC4450" w:rsidRDefault="00BA3C2C">
            <w:pPr>
              <w:jc w:val="center"/>
              <w:rPr>
                <w:rFonts w:ascii="Arial" w:eastAsiaTheme="minorHAnsi" w:hAnsi="Arial" w:cs="Arial"/>
                <w:sz w:val="22"/>
                <w:szCs w:val="22"/>
              </w:rPr>
            </w:pPr>
            <w:r w:rsidRPr="00605B9B">
              <w:rPr>
                <w:rFonts w:ascii="Arial" w:hAnsi="Arial" w:cs="Arial"/>
                <w:sz w:val="22"/>
                <w:szCs w:val="22"/>
              </w:rPr>
              <w:t>19</w:t>
            </w:r>
          </w:p>
        </w:tc>
        <w:tc>
          <w:tcPr>
            <w:tcW w:w="911" w:type="dxa"/>
            <w:vAlign w:val="center"/>
          </w:tcPr>
          <w:p w:rsidR="001052FF" w:rsidRPr="00BC4450" w:rsidRDefault="00CC2BD4">
            <w:pPr>
              <w:jc w:val="center"/>
              <w:rPr>
                <w:rFonts w:ascii="Arial" w:eastAsiaTheme="minorHAnsi" w:hAnsi="Arial" w:cs="Arial"/>
                <w:sz w:val="22"/>
                <w:szCs w:val="22"/>
              </w:rPr>
            </w:pPr>
            <w:r w:rsidRPr="00605B9B">
              <w:rPr>
                <w:rFonts w:ascii="Arial" w:hAnsi="Arial" w:cs="Arial"/>
                <w:sz w:val="22"/>
                <w:szCs w:val="22"/>
              </w:rPr>
              <w:t>20</w:t>
            </w:r>
          </w:p>
        </w:tc>
        <w:tc>
          <w:tcPr>
            <w:tcW w:w="911" w:type="dxa"/>
            <w:vAlign w:val="center"/>
          </w:tcPr>
          <w:p w:rsidR="001052FF" w:rsidRPr="00BC4450" w:rsidRDefault="001052FF">
            <w:pPr>
              <w:jc w:val="center"/>
              <w:rPr>
                <w:rFonts w:ascii="Arial" w:eastAsiaTheme="minorHAnsi" w:hAnsi="Arial" w:cs="Arial"/>
                <w:sz w:val="22"/>
                <w:szCs w:val="22"/>
              </w:rPr>
            </w:pPr>
            <w:r w:rsidRPr="00605B9B">
              <w:rPr>
                <w:rFonts w:ascii="Arial" w:hAnsi="Arial" w:cs="Arial"/>
                <w:sz w:val="22"/>
                <w:szCs w:val="22"/>
              </w:rPr>
              <w:t>19</w:t>
            </w:r>
          </w:p>
        </w:tc>
        <w:tc>
          <w:tcPr>
            <w:tcW w:w="911" w:type="dxa"/>
            <w:vAlign w:val="center"/>
          </w:tcPr>
          <w:p w:rsidR="001052FF" w:rsidRPr="00BC4450" w:rsidRDefault="001052FF">
            <w:pPr>
              <w:jc w:val="center"/>
              <w:rPr>
                <w:rFonts w:ascii="Arial" w:eastAsiaTheme="minorHAnsi" w:hAnsi="Arial" w:cs="Arial"/>
                <w:sz w:val="22"/>
                <w:szCs w:val="22"/>
              </w:rPr>
            </w:pPr>
            <w:r w:rsidRPr="00605B9B">
              <w:rPr>
                <w:rFonts w:ascii="Arial" w:hAnsi="Arial" w:cs="Arial"/>
                <w:sz w:val="22"/>
                <w:szCs w:val="22"/>
              </w:rPr>
              <w:t>15</w:t>
            </w:r>
          </w:p>
        </w:tc>
        <w:tc>
          <w:tcPr>
            <w:tcW w:w="911" w:type="dxa"/>
            <w:vAlign w:val="center"/>
          </w:tcPr>
          <w:p w:rsidR="001052FF" w:rsidRPr="00BC4450" w:rsidRDefault="00027F34">
            <w:pPr>
              <w:jc w:val="center"/>
              <w:rPr>
                <w:rFonts w:ascii="Arial" w:eastAsiaTheme="minorHAnsi" w:hAnsi="Arial" w:cs="Arial"/>
                <w:sz w:val="22"/>
                <w:szCs w:val="22"/>
              </w:rPr>
            </w:pPr>
            <w:r w:rsidRPr="00605B9B">
              <w:rPr>
                <w:rFonts w:ascii="Arial" w:hAnsi="Arial" w:cs="Arial"/>
                <w:sz w:val="22"/>
                <w:szCs w:val="22"/>
              </w:rPr>
              <w:t>15</w:t>
            </w:r>
          </w:p>
        </w:tc>
        <w:tc>
          <w:tcPr>
            <w:tcW w:w="911" w:type="dxa"/>
            <w:vAlign w:val="center"/>
          </w:tcPr>
          <w:p w:rsidR="001052FF" w:rsidRPr="00BC4450" w:rsidRDefault="001052FF">
            <w:pPr>
              <w:jc w:val="center"/>
              <w:rPr>
                <w:rFonts w:ascii="Arial" w:eastAsiaTheme="minorHAnsi" w:hAnsi="Arial" w:cs="Arial"/>
                <w:sz w:val="22"/>
                <w:szCs w:val="22"/>
              </w:rPr>
            </w:pPr>
            <w:r w:rsidRPr="00605B9B">
              <w:rPr>
                <w:rFonts w:ascii="Arial" w:hAnsi="Arial" w:cs="Arial"/>
                <w:sz w:val="22"/>
                <w:szCs w:val="22"/>
              </w:rPr>
              <w:t>7</w:t>
            </w:r>
          </w:p>
        </w:tc>
        <w:tc>
          <w:tcPr>
            <w:tcW w:w="912" w:type="dxa"/>
            <w:vAlign w:val="center"/>
          </w:tcPr>
          <w:p w:rsidR="001052FF" w:rsidRPr="00BC4450" w:rsidRDefault="00CC2BD4">
            <w:pPr>
              <w:jc w:val="center"/>
              <w:rPr>
                <w:rFonts w:ascii="Arial" w:eastAsiaTheme="minorHAnsi" w:hAnsi="Arial" w:cs="Arial"/>
                <w:sz w:val="22"/>
                <w:szCs w:val="22"/>
              </w:rPr>
            </w:pPr>
            <w:r w:rsidRPr="00605B9B">
              <w:rPr>
                <w:rFonts w:ascii="Arial" w:hAnsi="Arial" w:cs="Arial"/>
                <w:sz w:val="22"/>
                <w:szCs w:val="22"/>
              </w:rPr>
              <w:t>22</w:t>
            </w:r>
          </w:p>
        </w:tc>
      </w:tr>
      <w:tr w:rsidR="001052FF" w:rsidRPr="002A0002" w:rsidTr="00E53E6C">
        <w:trPr>
          <w:cantSplit/>
          <w:trHeight w:val="369"/>
        </w:trPr>
        <w:tc>
          <w:tcPr>
            <w:tcW w:w="1560" w:type="dxa"/>
            <w:tcBorders>
              <w:right w:val="single" w:sz="4" w:space="0" w:color="auto"/>
            </w:tcBorders>
            <w:shd w:val="clear" w:color="auto" w:fill="auto"/>
            <w:vAlign w:val="center"/>
          </w:tcPr>
          <w:p w:rsidR="001052FF" w:rsidRPr="00BC4450" w:rsidRDefault="001052FF" w:rsidP="00E53E6C">
            <w:pPr>
              <w:rPr>
                <w:rFonts w:ascii="Arial" w:hAnsi="Arial" w:cs="Arial"/>
                <w:sz w:val="22"/>
                <w:szCs w:val="22"/>
              </w:rPr>
            </w:pPr>
            <w:r w:rsidRPr="00BC4450">
              <w:rPr>
                <w:rFonts w:ascii="Arial" w:hAnsi="Arial" w:cs="Arial"/>
                <w:sz w:val="22"/>
                <w:szCs w:val="22"/>
              </w:rPr>
              <w:t>TIMG</w:t>
            </w:r>
          </w:p>
        </w:tc>
        <w:tc>
          <w:tcPr>
            <w:tcW w:w="911" w:type="dxa"/>
            <w:vAlign w:val="center"/>
          </w:tcPr>
          <w:p w:rsidR="001052FF" w:rsidRPr="00BC4450" w:rsidRDefault="001052FF">
            <w:pPr>
              <w:jc w:val="center"/>
              <w:rPr>
                <w:rFonts w:ascii="Arial" w:eastAsiaTheme="minorHAnsi" w:hAnsi="Arial" w:cs="Arial"/>
                <w:sz w:val="22"/>
                <w:szCs w:val="22"/>
              </w:rPr>
            </w:pPr>
            <w:r w:rsidRPr="00605B9B">
              <w:rPr>
                <w:rFonts w:ascii="Arial" w:hAnsi="Arial" w:cs="Arial"/>
                <w:sz w:val="22"/>
                <w:szCs w:val="22"/>
              </w:rPr>
              <w:t>5</w:t>
            </w:r>
          </w:p>
        </w:tc>
        <w:tc>
          <w:tcPr>
            <w:tcW w:w="911" w:type="dxa"/>
            <w:vAlign w:val="center"/>
          </w:tcPr>
          <w:p w:rsidR="001052FF" w:rsidRPr="00BC4450" w:rsidRDefault="00CC2BD4">
            <w:pPr>
              <w:jc w:val="center"/>
              <w:rPr>
                <w:rFonts w:ascii="Arial" w:eastAsiaTheme="minorHAnsi" w:hAnsi="Arial" w:cs="Arial"/>
                <w:sz w:val="22"/>
                <w:szCs w:val="22"/>
              </w:rPr>
            </w:pPr>
            <w:r w:rsidRPr="00605B9B">
              <w:rPr>
                <w:rFonts w:ascii="Arial" w:hAnsi="Arial" w:cs="Arial"/>
                <w:sz w:val="22"/>
                <w:szCs w:val="22"/>
              </w:rPr>
              <w:t>10</w:t>
            </w:r>
          </w:p>
        </w:tc>
        <w:tc>
          <w:tcPr>
            <w:tcW w:w="911" w:type="dxa"/>
            <w:vAlign w:val="center"/>
          </w:tcPr>
          <w:p w:rsidR="001052FF" w:rsidRPr="00BC4450" w:rsidRDefault="00CC2BD4">
            <w:pPr>
              <w:jc w:val="center"/>
              <w:rPr>
                <w:rFonts w:ascii="Arial" w:eastAsiaTheme="minorHAnsi" w:hAnsi="Arial" w:cs="Arial"/>
                <w:sz w:val="22"/>
                <w:szCs w:val="22"/>
              </w:rPr>
            </w:pPr>
            <w:r w:rsidRPr="00605B9B">
              <w:rPr>
                <w:rFonts w:ascii="Arial" w:hAnsi="Arial" w:cs="Arial"/>
                <w:sz w:val="22"/>
                <w:szCs w:val="22"/>
              </w:rPr>
              <w:t>5</w:t>
            </w:r>
          </w:p>
        </w:tc>
        <w:tc>
          <w:tcPr>
            <w:tcW w:w="911" w:type="dxa"/>
            <w:vAlign w:val="center"/>
          </w:tcPr>
          <w:p w:rsidR="001052FF" w:rsidRPr="00BC4450" w:rsidRDefault="00BA3C2C">
            <w:pPr>
              <w:jc w:val="center"/>
              <w:rPr>
                <w:rFonts w:ascii="Arial" w:eastAsiaTheme="minorHAnsi" w:hAnsi="Arial" w:cs="Arial"/>
                <w:sz w:val="22"/>
                <w:szCs w:val="22"/>
              </w:rPr>
            </w:pPr>
            <w:r w:rsidRPr="00605B9B">
              <w:rPr>
                <w:rFonts w:ascii="Arial" w:hAnsi="Arial" w:cs="Arial"/>
                <w:sz w:val="22"/>
                <w:szCs w:val="22"/>
              </w:rPr>
              <w:t>7</w:t>
            </w:r>
          </w:p>
        </w:tc>
        <w:tc>
          <w:tcPr>
            <w:tcW w:w="911" w:type="dxa"/>
            <w:vAlign w:val="center"/>
          </w:tcPr>
          <w:p w:rsidR="001052FF" w:rsidRPr="00BC4450" w:rsidRDefault="00CC2BD4">
            <w:pPr>
              <w:jc w:val="center"/>
              <w:rPr>
                <w:rFonts w:ascii="Arial" w:eastAsiaTheme="minorHAnsi" w:hAnsi="Arial" w:cs="Arial"/>
                <w:sz w:val="22"/>
                <w:szCs w:val="22"/>
              </w:rPr>
            </w:pPr>
            <w:r w:rsidRPr="00605B9B">
              <w:rPr>
                <w:rFonts w:ascii="Arial" w:hAnsi="Arial" w:cs="Arial"/>
                <w:sz w:val="22"/>
                <w:szCs w:val="22"/>
              </w:rPr>
              <w:t>6</w:t>
            </w:r>
          </w:p>
        </w:tc>
        <w:tc>
          <w:tcPr>
            <w:tcW w:w="911" w:type="dxa"/>
            <w:vAlign w:val="center"/>
          </w:tcPr>
          <w:p w:rsidR="001052FF" w:rsidRPr="00BC4450" w:rsidRDefault="001052FF">
            <w:pPr>
              <w:jc w:val="center"/>
              <w:rPr>
                <w:rFonts w:ascii="Arial" w:eastAsiaTheme="minorHAnsi" w:hAnsi="Arial" w:cs="Arial"/>
                <w:sz w:val="22"/>
                <w:szCs w:val="22"/>
              </w:rPr>
            </w:pPr>
            <w:r w:rsidRPr="00605B9B">
              <w:rPr>
                <w:rFonts w:ascii="Arial" w:hAnsi="Arial" w:cs="Arial"/>
                <w:sz w:val="22"/>
                <w:szCs w:val="22"/>
              </w:rPr>
              <w:t>8</w:t>
            </w:r>
          </w:p>
        </w:tc>
        <w:tc>
          <w:tcPr>
            <w:tcW w:w="912" w:type="dxa"/>
            <w:vAlign w:val="center"/>
          </w:tcPr>
          <w:p w:rsidR="001052FF" w:rsidRPr="00BC4450" w:rsidRDefault="001052FF">
            <w:pPr>
              <w:jc w:val="center"/>
              <w:rPr>
                <w:rFonts w:ascii="Arial" w:eastAsiaTheme="minorHAnsi" w:hAnsi="Arial" w:cs="Arial"/>
                <w:sz w:val="22"/>
                <w:szCs w:val="22"/>
              </w:rPr>
            </w:pPr>
            <w:r w:rsidRPr="00605B9B">
              <w:rPr>
                <w:rFonts w:ascii="Arial" w:hAnsi="Arial" w:cs="Arial"/>
                <w:sz w:val="22"/>
                <w:szCs w:val="22"/>
              </w:rPr>
              <w:t>7</w:t>
            </w:r>
          </w:p>
        </w:tc>
      </w:tr>
      <w:tr w:rsidR="001052FF" w:rsidRPr="002A0002" w:rsidTr="00F038AA">
        <w:trPr>
          <w:cantSplit/>
          <w:trHeight w:val="369"/>
        </w:trPr>
        <w:tc>
          <w:tcPr>
            <w:tcW w:w="1560" w:type="dxa"/>
            <w:tcBorders>
              <w:bottom w:val="single" w:sz="4" w:space="0" w:color="auto"/>
              <w:right w:val="single" w:sz="4" w:space="0" w:color="auto"/>
            </w:tcBorders>
            <w:shd w:val="clear" w:color="auto" w:fill="auto"/>
            <w:vAlign w:val="center"/>
          </w:tcPr>
          <w:p w:rsidR="001052FF" w:rsidRPr="00BC4450" w:rsidRDefault="001052FF" w:rsidP="00E53E6C">
            <w:pPr>
              <w:rPr>
                <w:rFonts w:ascii="Arial" w:hAnsi="Arial" w:cs="Arial"/>
                <w:sz w:val="22"/>
                <w:szCs w:val="22"/>
              </w:rPr>
            </w:pPr>
            <w:r w:rsidRPr="00BC4450">
              <w:rPr>
                <w:rFonts w:ascii="Arial" w:hAnsi="Arial" w:cs="Arial"/>
                <w:sz w:val="22"/>
                <w:szCs w:val="22"/>
              </w:rPr>
              <w:t>Compu-stor</w:t>
            </w:r>
          </w:p>
        </w:tc>
        <w:tc>
          <w:tcPr>
            <w:tcW w:w="911" w:type="dxa"/>
            <w:tcBorders>
              <w:bottom w:val="single" w:sz="4" w:space="0" w:color="auto"/>
            </w:tcBorders>
            <w:vAlign w:val="center"/>
          </w:tcPr>
          <w:p w:rsidR="001052FF" w:rsidRPr="00BC4450" w:rsidRDefault="00BA3C2C">
            <w:pPr>
              <w:jc w:val="center"/>
              <w:rPr>
                <w:rFonts w:ascii="Arial" w:eastAsiaTheme="minorHAnsi" w:hAnsi="Arial" w:cs="Arial"/>
                <w:sz w:val="22"/>
                <w:szCs w:val="22"/>
              </w:rPr>
            </w:pPr>
            <w:r w:rsidRPr="00605B9B">
              <w:rPr>
                <w:rFonts w:ascii="Arial" w:hAnsi="Arial" w:cs="Arial"/>
                <w:sz w:val="22"/>
                <w:szCs w:val="22"/>
              </w:rPr>
              <w:t>1</w:t>
            </w:r>
          </w:p>
        </w:tc>
        <w:tc>
          <w:tcPr>
            <w:tcW w:w="911" w:type="dxa"/>
            <w:tcBorders>
              <w:bottom w:val="single" w:sz="4" w:space="0" w:color="auto"/>
            </w:tcBorders>
            <w:vAlign w:val="center"/>
          </w:tcPr>
          <w:p w:rsidR="001052FF" w:rsidRPr="00BC4450" w:rsidRDefault="001052FF">
            <w:pPr>
              <w:jc w:val="center"/>
              <w:rPr>
                <w:rFonts w:ascii="Arial" w:eastAsiaTheme="minorHAnsi" w:hAnsi="Arial" w:cs="Arial"/>
                <w:sz w:val="22"/>
                <w:szCs w:val="22"/>
              </w:rPr>
            </w:pPr>
            <w:r w:rsidRPr="00605B9B">
              <w:rPr>
                <w:rFonts w:ascii="Arial" w:hAnsi="Arial" w:cs="Arial"/>
                <w:sz w:val="22"/>
                <w:szCs w:val="22"/>
              </w:rPr>
              <w:t>-</w:t>
            </w:r>
          </w:p>
        </w:tc>
        <w:tc>
          <w:tcPr>
            <w:tcW w:w="911" w:type="dxa"/>
            <w:tcBorders>
              <w:bottom w:val="single" w:sz="4" w:space="0" w:color="auto"/>
            </w:tcBorders>
            <w:vAlign w:val="center"/>
          </w:tcPr>
          <w:p w:rsidR="001052FF" w:rsidRPr="00BC4450" w:rsidRDefault="00CC2BD4">
            <w:pPr>
              <w:jc w:val="center"/>
              <w:rPr>
                <w:rFonts w:ascii="Arial" w:eastAsiaTheme="minorHAnsi" w:hAnsi="Arial" w:cs="Arial"/>
                <w:sz w:val="22"/>
                <w:szCs w:val="22"/>
              </w:rPr>
            </w:pPr>
            <w:r w:rsidRPr="00605B9B">
              <w:rPr>
                <w:rFonts w:ascii="Arial" w:hAnsi="Arial" w:cs="Arial"/>
                <w:sz w:val="22"/>
                <w:szCs w:val="22"/>
              </w:rPr>
              <w:t>3</w:t>
            </w:r>
          </w:p>
        </w:tc>
        <w:tc>
          <w:tcPr>
            <w:tcW w:w="911" w:type="dxa"/>
            <w:tcBorders>
              <w:bottom w:val="single" w:sz="4" w:space="0" w:color="auto"/>
            </w:tcBorders>
            <w:vAlign w:val="center"/>
          </w:tcPr>
          <w:p w:rsidR="001052FF" w:rsidRPr="00BC4450" w:rsidRDefault="001052FF">
            <w:pPr>
              <w:jc w:val="center"/>
              <w:rPr>
                <w:rFonts w:ascii="Arial" w:eastAsiaTheme="minorHAnsi" w:hAnsi="Arial" w:cs="Arial"/>
                <w:sz w:val="22"/>
                <w:szCs w:val="22"/>
              </w:rPr>
            </w:pPr>
            <w:r w:rsidRPr="00605B9B">
              <w:rPr>
                <w:rFonts w:ascii="Arial" w:hAnsi="Arial" w:cs="Arial"/>
                <w:sz w:val="22"/>
                <w:szCs w:val="22"/>
              </w:rPr>
              <w:t>-</w:t>
            </w:r>
          </w:p>
        </w:tc>
        <w:tc>
          <w:tcPr>
            <w:tcW w:w="911" w:type="dxa"/>
            <w:tcBorders>
              <w:bottom w:val="single" w:sz="4" w:space="0" w:color="auto"/>
            </w:tcBorders>
            <w:vAlign w:val="center"/>
          </w:tcPr>
          <w:p w:rsidR="001052FF" w:rsidRPr="00BC4450" w:rsidRDefault="001052FF">
            <w:pPr>
              <w:jc w:val="center"/>
              <w:rPr>
                <w:rFonts w:ascii="Arial" w:eastAsiaTheme="minorHAnsi" w:hAnsi="Arial" w:cs="Arial"/>
                <w:sz w:val="22"/>
                <w:szCs w:val="22"/>
              </w:rPr>
            </w:pPr>
            <w:r w:rsidRPr="00605B9B">
              <w:rPr>
                <w:rFonts w:ascii="Arial" w:hAnsi="Arial" w:cs="Arial"/>
                <w:sz w:val="22"/>
                <w:szCs w:val="22"/>
              </w:rPr>
              <w:t>-</w:t>
            </w:r>
          </w:p>
        </w:tc>
        <w:tc>
          <w:tcPr>
            <w:tcW w:w="911" w:type="dxa"/>
            <w:tcBorders>
              <w:bottom w:val="single" w:sz="4" w:space="0" w:color="auto"/>
            </w:tcBorders>
            <w:vAlign w:val="center"/>
          </w:tcPr>
          <w:p w:rsidR="001052FF" w:rsidRPr="00BC4450" w:rsidRDefault="00CC2BD4">
            <w:pPr>
              <w:jc w:val="center"/>
              <w:rPr>
                <w:rFonts w:ascii="Arial" w:eastAsiaTheme="minorHAnsi" w:hAnsi="Arial" w:cs="Arial"/>
                <w:sz w:val="22"/>
                <w:szCs w:val="22"/>
              </w:rPr>
            </w:pPr>
            <w:r w:rsidRPr="00605B9B">
              <w:rPr>
                <w:rFonts w:ascii="Arial" w:hAnsi="Arial" w:cs="Arial"/>
                <w:sz w:val="22"/>
                <w:szCs w:val="22"/>
              </w:rPr>
              <w:t>15</w:t>
            </w:r>
          </w:p>
        </w:tc>
        <w:tc>
          <w:tcPr>
            <w:tcW w:w="912" w:type="dxa"/>
            <w:tcBorders>
              <w:bottom w:val="single" w:sz="4" w:space="0" w:color="auto"/>
            </w:tcBorders>
            <w:vAlign w:val="center"/>
          </w:tcPr>
          <w:p w:rsidR="001052FF" w:rsidRPr="00BC4450" w:rsidRDefault="001052FF">
            <w:pPr>
              <w:jc w:val="center"/>
              <w:rPr>
                <w:rFonts w:ascii="Arial" w:eastAsiaTheme="minorHAnsi" w:hAnsi="Arial" w:cs="Arial"/>
                <w:sz w:val="22"/>
                <w:szCs w:val="22"/>
              </w:rPr>
            </w:pPr>
            <w:r w:rsidRPr="00605B9B">
              <w:rPr>
                <w:rFonts w:ascii="Arial" w:hAnsi="Arial" w:cs="Arial"/>
                <w:sz w:val="22"/>
                <w:szCs w:val="22"/>
              </w:rPr>
              <w:t>-</w:t>
            </w:r>
          </w:p>
        </w:tc>
      </w:tr>
      <w:tr w:rsidR="001052FF" w:rsidRPr="002A0002" w:rsidTr="00F038AA">
        <w:trPr>
          <w:cantSplit/>
          <w:trHeight w:val="369"/>
        </w:trPr>
        <w:tc>
          <w:tcPr>
            <w:tcW w:w="1560" w:type="dxa"/>
            <w:tcBorders>
              <w:bottom w:val="single" w:sz="4" w:space="0" w:color="auto"/>
              <w:right w:val="single" w:sz="4" w:space="0" w:color="auto"/>
            </w:tcBorders>
            <w:shd w:val="clear" w:color="auto" w:fill="auto"/>
            <w:vAlign w:val="center"/>
          </w:tcPr>
          <w:p w:rsidR="001052FF" w:rsidRPr="00BC4450" w:rsidRDefault="001052FF" w:rsidP="00E53E6C">
            <w:pPr>
              <w:rPr>
                <w:rFonts w:ascii="Arial" w:hAnsi="Arial" w:cs="Arial"/>
                <w:sz w:val="22"/>
                <w:szCs w:val="22"/>
              </w:rPr>
            </w:pPr>
            <w:r w:rsidRPr="00BC4450">
              <w:rPr>
                <w:rFonts w:ascii="Arial" w:hAnsi="Arial" w:cs="Arial"/>
                <w:sz w:val="22"/>
                <w:szCs w:val="22"/>
              </w:rPr>
              <w:t>Other providers</w:t>
            </w:r>
          </w:p>
        </w:tc>
        <w:tc>
          <w:tcPr>
            <w:tcW w:w="911" w:type="dxa"/>
            <w:tcBorders>
              <w:bottom w:val="single" w:sz="4" w:space="0" w:color="auto"/>
            </w:tcBorders>
            <w:vAlign w:val="center"/>
          </w:tcPr>
          <w:p w:rsidR="001052FF" w:rsidRPr="00BC4450" w:rsidRDefault="00CC2BD4">
            <w:pPr>
              <w:jc w:val="center"/>
              <w:rPr>
                <w:rFonts w:ascii="Arial" w:eastAsiaTheme="minorHAnsi" w:hAnsi="Arial" w:cs="Arial"/>
                <w:sz w:val="22"/>
                <w:szCs w:val="22"/>
              </w:rPr>
            </w:pPr>
            <w:r w:rsidRPr="00605B9B">
              <w:rPr>
                <w:rFonts w:ascii="Arial" w:hAnsi="Arial" w:cs="Arial"/>
                <w:sz w:val="22"/>
                <w:szCs w:val="22"/>
              </w:rPr>
              <w:t>7</w:t>
            </w:r>
          </w:p>
        </w:tc>
        <w:tc>
          <w:tcPr>
            <w:tcW w:w="911" w:type="dxa"/>
            <w:tcBorders>
              <w:bottom w:val="single" w:sz="4" w:space="0" w:color="auto"/>
            </w:tcBorders>
            <w:vAlign w:val="center"/>
          </w:tcPr>
          <w:p w:rsidR="001052FF" w:rsidRPr="00BC4450" w:rsidRDefault="001052FF">
            <w:pPr>
              <w:jc w:val="center"/>
              <w:rPr>
                <w:rFonts w:ascii="Arial" w:eastAsiaTheme="minorHAnsi" w:hAnsi="Arial" w:cs="Arial"/>
                <w:sz w:val="22"/>
                <w:szCs w:val="22"/>
              </w:rPr>
            </w:pPr>
            <w:r w:rsidRPr="00605B9B">
              <w:rPr>
                <w:rFonts w:ascii="Arial" w:hAnsi="Arial" w:cs="Arial"/>
                <w:sz w:val="22"/>
                <w:szCs w:val="22"/>
              </w:rPr>
              <w:t>8</w:t>
            </w:r>
          </w:p>
        </w:tc>
        <w:tc>
          <w:tcPr>
            <w:tcW w:w="911" w:type="dxa"/>
            <w:tcBorders>
              <w:bottom w:val="single" w:sz="4" w:space="0" w:color="auto"/>
            </w:tcBorders>
            <w:vAlign w:val="center"/>
          </w:tcPr>
          <w:p w:rsidR="001052FF" w:rsidRPr="00BC4450" w:rsidRDefault="00CC2BD4">
            <w:pPr>
              <w:jc w:val="center"/>
              <w:rPr>
                <w:rFonts w:ascii="Arial" w:eastAsiaTheme="minorHAnsi" w:hAnsi="Arial" w:cs="Arial"/>
                <w:sz w:val="22"/>
                <w:szCs w:val="22"/>
              </w:rPr>
            </w:pPr>
            <w:r w:rsidRPr="00605B9B">
              <w:rPr>
                <w:rFonts w:ascii="Arial" w:hAnsi="Arial" w:cs="Arial"/>
                <w:sz w:val="22"/>
                <w:szCs w:val="22"/>
              </w:rPr>
              <w:t>6</w:t>
            </w:r>
          </w:p>
        </w:tc>
        <w:tc>
          <w:tcPr>
            <w:tcW w:w="911" w:type="dxa"/>
            <w:tcBorders>
              <w:bottom w:val="single" w:sz="4" w:space="0" w:color="auto"/>
            </w:tcBorders>
            <w:vAlign w:val="center"/>
          </w:tcPr>
          <w:p w:rsidR="001052FF" w:rsidRPr="00BC4450" w:rsidRDefault="00CC2BD4">
            <w:pPr>
              <w:jc w:val="center"/>
              <w:rPr>
                <w:rFonts w:ascii="Arial" w:eastAsiaTheme="minorHAnsi" w:hAnsi="Arial" w:cs="Arial"/>
                <w:sz w:val="22"/>
                <w:szCs w:val="22"/>
              </w:rPr>
            </w:pPr>
            <w:r w:rsidRPr="00605B9B">
              <w:rPr>
                <w:rFonts w:ascii="Arial" w:hAnsi="Arial" w:cs="Arial"/>
                <w:sz w:val="22"/>
                <w:szCs w:val="22"/>
              </w:rPr>
              <w:t>7</w:t>
            </w:r>
          </w:p>
        </w:tc>
        <w:tc>
          <w:tcPr>
            <w:tcW w:w="911" w:type="dxa"/>
            <w:tcBorders>
              <w:bottom w:val="single" w:sz="4" w:space="0" w:color="auto"/>
            </w:tcBorders>
            <w:vAlign w:val="center"/>
          </w:tcPr>
          <w:p w:rsidR="001052FF" w:rsidRPr="00BC4450" w:rsidRDefault="00CC2BD4">
            <w:pPr>
              <w:jc w:val="center"/>
              <w:rPr>
                <w:rFonts w:ascii="Arial" w:eastAsiaTheme="minorHAnsi" w:hAnsi="Arial" w:cs="Arial"/>
                <w:sz w:val="22"/>
                <w:szCs w:val="22"/>
              </w:rPr>
            </w:pPr>
            <w:r w:rsidRPr="00605B9B">
              <w:rPr>
                <w:rFonts w:ascii="Arial" w:hAnsi="Arial" w:cs="Arial"/>
                <w:sz w:val="22"/>
                <w:szCs w:val="22"/>
              </w:rPr>
              <w:t>8</w:t>
            </w:r>
          </w:p>
        </w:tc>
        <w:tc>
          <w:tcPr>
            <w:tcW w:w="911" w:type="dxa"/>
            <w:tcBorders>
              <w:bottom w:val="single" w:sz="4" w:space="0" w:color="auto"/>
            </w:tcBorders>
            <w:vAlign w:val="center"/>
          </w:tcPr>
          <w:p w:rsidR="001052FF" w:rsidRPr="00BC4450" w:rsidRDefault="00CC2BD4">
            <w:pPr>
              <w:jc w:val="center"/>
              <w:rPr>
                <w:rFonts w:ascii="Arial" w:eastAsiaTheme="minorHAnsi" w:hAnsi="Arial" w:cs="Arial"/>
                <w:sz w:val="22"/>
                <w:szCs w:val="22"/>
              </w:rPr>
            </w:pPr>
            <w:r w:rsidRPr="00605B9B">
              <w:rPr>
                <w:rFonts w:ascii="Arial" w:hAnsi="Arial" w:cs="Arial"/>
                <w:sz w:val="22"/>
                <w:szCs w:val="22"/>
              </w:rPr>
              <w:t>14</w:t>
            </w:r>
          </w:p>
        </w:tc>
        <w:tc>
          <w:tcPr>
            <w:tcW w:w="912" w:type="dxa"/>
            <w:tcBorders>
              <w:bottom w:val="single" w:sz="4" w:space="0" w:color="auto"/>
            </w:tcBorders>
            <w:vAlign w:val="center"/>
          </w:tcPr>
          <w:p w:rsidR="001052FF" w:rsidRPr="00BC4450" w:rsidRDefault="00CC2BD4">
            <w:pPr>
              <w:jc w:val="center"/>
              <w:rPr>
                <w:rFonts w:ascii="Arial" w:eastAsiaTheme="minorHAnsi" w:hAnsi="Arial" w:cs="Arial"/>
                <w:sz w:val="22"/>
                <w:szCs w:val="22"/>
              </w:rPr>
            </w:pPr>
            <w:r w:rsidRPr="00605B9B">
              <w:rPr>
                <w:rFonts w:ascii="Arial" w:hAnsi="Arial" w:cs="Arial"/>
                <w:sz w:val="22"/>
                <w:szCs w:val="22"/>
              </w:rPr>
              <w:t>8</w:t>
            </w:r>
          </w:p>
        </w:tc>
      </w:tr>
    </w:tbl>
    <w:p w:rsidR="00484248" w:rsidRDefault="00B86BA0" w:rsidP="00B86BA0">
      <w:pPr>
        <w:ind w:left="567"/>
        <w:rPr>
          <w:rFonts w:ascii="Arial" w:hAnsi="Arial" w:cs="Arial"/>
          <w:sz w:val="20"/>
          <w:szCs w:val="20"/>
        </w:rPr>
      </w:pPr>
      <w:r w:rsidRPr="00C3583A">
        <w:rPr>
          <w:rFonts w:ascii="Arial" w:hAnsi="Arial" w:cs="Arial"/>
          <w:sz w:val="20"/>
          <w:szCs w:val="20"/>
        </w:rPr>
        <w:t xml:space="preserve">Source: </w:t>
      </w:r>
      <w:r>
        <w:rPr>
          <w:rFonts w:ascii="Arial" w:hAnsi="Arial" w:cs="Arial"/>
          <w:sz w:val="20"/>
          <w:szCs w:val="20"/>
        </w:rPr>
        <w:t>Interested parties.</w:t>
      </w:r>
    </w:p>
    <w:p w:rsidR="00F70028" w:rsidRDefault="005811A9" w:rsidP="00162883">
      <w:pPr>
        <w:pStyle w:val="NormalParagraph"/>
      </w:pPr>
      <w:r>
        <w:lastRenderedPageBreak/>
        <w:t xml:space="preserve">The </w:t>
      </w:r>
      <w:r w:rsidR="00CD0294">
        <w:t xml:space="preserve">merged entity </w:t>
      </w:r>
      <w:r w:rsidR="00F53C0D">
        <w:t xml:space="preserve">would have </w:t>
      </w:r>
      <w:r w:rsidR="00CD0294">
        <w:t xml:space="preserve">consistently high </w:t>
      </w:r>
      <w:r>
        <w:t>share</w:t>
      </w:r>
      <w:r w:rsidR="00BC4450">
        <w:t>s</w:t>
      </w:r>
      <w:r>
        <w:t xml:space="preserve"> </w:t>
      </w:r>
      <w:r w:rsidR="00CD0294">
        <w:t xml:space="preserve">across all </w:t>
      </w:r>
      <w:r w:rsidR="009376CC">
        <w:t>states</w:t>
      </w:r>
      <w:r w:rsidR="00CD0294">
        <w:t xml:space="preserve">. Depending on the </w:t>
      </w:r>
      <w:r w:rsidR="009376CC">
        <w:t>state</w:t>
      </w:r>
      <w:r w:rsidR="00CD0294">
        <w:t xml:space="preserve">, the market share of the merged entity would sit between </w:t>
      </w:r>
      <w:r w:rsidR="006B7580">
        <w:t>5</w:t>
      </w:r>
      <w:r w:rsidR="00A75D37">
        <w:t>5</w:t>
      </w:r>
      <w:r w:rsidR="00CD0294">
        <w:t xml:space="preserve"> and </w:t>
      </w:r>
      <w:r w:rsidR="006B7580">
        <w:t>7</w:t>
      </w:r>
      <w:r w:rsidR="00A75D37">
        <w:t>6</w:t>
      </w:r>
      <w:r w:rsidR="00351A90">
        <w:t> </w:t>
      </w:r>
      <w:r w:rsidR="00CD0294">
        <w:t>per cent.</w:t>
      </w:r>
    </w:p>
    <w:p w:rsidR="00484248" w:rsidRDefault="00484248" w:rsidP="00162883">
      <w:pPr>
        <w:pStyle w:val="Heading4"/>
      </w:pPr>
      <w:r>
        <w:t xml:space="preserve">Existing </w:t>
      </w:r>
      <w:r w:rsidR="00CA5719">
        <w:t>competitors</w:t>
      </w:r>
    </w:p>
    <w:p w:rsidR="000E61C6" w:rsidRDefault="000216CE" w:rsidP="00162883">
      <w:pPr>
        <w:pStyle w:val="NormalParagraph"/>
      </w:pPr>
      <w:r>
        <w:t xml:space="preserve">Besides the merger parties, Grace and TIMG, </w:t>
      </w:r>
      <w:r w:rsidR="00BB7678">
        <w:t xml:space="preserve">several </w:t>
      </w:r>
      <w:r>
        <w:t xml:space="preserve">small and medium-sized providers operate in each region. </w:t>
      </w:r>
      <w:r w:rsidR="007A74AF">
        <w:t>Non-national customers in</w:t>
      </w:r>
      <w:r w:rsidR="006D5148">
        <w:t xml:space="preserve"> each region therefore have more choice amongst providers. </w:t>
      </w:r>
      <w:r w:rsidR="001A0C66">
        <w:t>Compared</w:t>
      </w:r>
      <w:r w:rsidR="006D5148">
        <w:t xml:space="preserve"> with the national PDMS market, </w:t>
      </w:r>
      <w:r w:rsidR="00857F05">
        <w:t xml:space="preserve">the merged entity </w:t>
      </w:r>
      <w:r w:rsidR="001A0C66">
        <w:t xml:space="preserve">may </w:t>
      </w:r>
      <w:r w:rsidR="00857F05">
        <w:t>face more constraint from smaller suppliers in each of these markets.</w:t>
      </w:r>
    </w:p>
    <w:p w:rsidR="007C08CC" w:rsidRDefault="007C08CC" w:rsidP="00162883">
      <w:pPr>
        <w:pStyle w:val="NormalParagraph"/>
      </w:pPr>
      <w:r>
        <w:t xml:space="preserve">Smaller providers operating within </w:t>
      </w:r>
      <w:r w:rsidR="00845157">
        <w:t xml:space="preserve">only </w:t>
      </w:r>
      <w:r>
        <w:t>one region typically:</w:t>
      </w:r>
    </w:p>
    <w:p w:rsidR="007C08CC" w:rsidRDefault="007C08CC" w:rsidP="001A0C66">
      <w:pPr>
        <w:pStyle w:val="NormalParagraph"/>
        <w:numPr>
          <w:ilvl w:val="0"/>
          <w:numId w:val="53"/>
        </w:numPr>
      </w:pPr>
      <w:r>
        <w:t>service small to medium sized customers who</w:t>
      </w:r>
      <w:r w:rsidR="00845157">
        <w:t xml:space="preserve"> do not require storage of high volumes of records</w:t>
      </w:r>
    </w:p>
    <w:p w:rsidR="007C08CC" w:rsidRDefault="00F77BF7" w:rsidP="001A0C66">
      <w:pPr>
        <w:pStyle w:val="NormalParagraph"/>
        <w:numPr>
          <w:ilvl w:val="0"/>
          <w:numId w:val="53"/>
        </w:numPr>
      </w:pPr>
      <w:r>
        <w:t>lack</w:t>
      </w:r>
      <w:r w:rsidR="00444C82">
        <w:t xml:space="preserve"> </w:t>
      </w:r>
      <w:r w:rsidR="009376CC">
        <w:t xml:space="preserve">the </w:t>
      </w:r>
      <w:r w:rsidR="00444C82">
        <w:t>economies of scale</w:t>
      </w:r>
      <w:r w:rsidR="009376CC">
        <w:t xml:space="preserve"> necessary to expand the scope of their service</w:t>
      </w:r>
    </w:p>
    <w:p w:rsidR="00444C82" w:rsidRDefault="00444C82" w:rsidP="001A0C66">
      <w:pPr>
        <w:pStyle w:val="NormalParagraph"/>
        <w:numPr>
          <w:ilvl w:val="0"/>
          <w:numId w:val="53"/>
        </w:numPr>
      </w:pPr>
      <w:r>
        <w:t>focus on quality and service</w:t>
      </w:r>
      <w:r w:rsidR="00A05DCB">
        <w:t>.</w:t>
      </w:r>
    </w:p>
    <w:p w:rsidR="00E94430" w:rsidRDefault="003B6810" w:rsidP="00162883">
      <w:pPr>
        <w:pStyle w:val="NormalParagraph"/>
      </w:pPr>
      <w:r>
        <w:t>Smaller providers</w:t>
      </w:r>
      <w:r w:rsidR="00A05DCB">
        <w:t xml:space="preserve"> tend to differentiate themselves </w:t>
      </w:r>
      <w:r>
        <w:t>on quality and service</w:t>
      </w:r>
      <w:r w:rsidR="00373836">
        <w:t xml:space="preserve">. </w:t>
      </w:r>
      <w:r w:rsidR="00444C82">
        <w:t>While smaller providers</w:t>
      </w:r>
      <w:r w:rsidR="00845157">
        <w:t xml:space="preserve"> compete </w:t>
      </w:r>
      <w:r w:rsidR="00A05DCB">
        <w:t xml:space="preserve">to some extent </w:t>
      </w:r>
      <w:r w:rsidR="00845157">
        <w:t xml:space="preserve">with larger providers </w:t>
      </w:r>
      <w:r w:rsidR="00A05DCB">
        <w:t>in single regions</w:t>
      </w:r>
      <w:r w:rsidR="00845157">
        <w:t>,</w:t>
      </w:r>
      <w:r w:rsidR="00444C82">
        <w:t xml:space="preserve"> </w:t>
      </w:r>
      <w:r w:rsidR="00A05DCB">
        <w:t xml:space="preserve">inquiries indicate </w:t>
      </w:r>
      <w:r w:rsidR="00444C82">
        <w:t>they are unlikely to be significant price competitors as they lack the advantages of scale.</w:t>
      </w:r>
      <w:r>
        <w:t xml:space="preserve"> </w:t>
      </w:r>
      <w:r w:rsidR="00CA5719">
        <w:t>For this reason</w:t>
      </w:r>
      <w:r w:rsidR="00373836">
        <w:t xml:space="preserve">, the additional </w:t>
      </w:r>
      <w:r>
        <w:t>constraint provided by smaller suppliers on the regional level may therefore still be l</w:t>
      </w:r>
      <w:r w:rsidR="00373836">
        <w:t>imited</w:t>
      </w:r>
      <w:r w:rsidR="009376CC">
        <w:t xml:space="preserve"> when compared to the </w:t>
      </w:r>
      <w:r w:rsidR="001A0C66">
        <w:t xml:space="preserve">constraint that Iron Mountain and Recall impose on each other. </w:t>
      </w:r>
    </w:p>
    <w:p w:rsidR="007A74AF" w:rsidRPr="00033C3A" w:rsidRDefault="007A74AF" w:rsidP="00162883">
      <w:pPr>
        <w:pStyle w:val="Heading4"/>
      </w:pPr>
      <w:r w:rsidRPr="00033C3A">
        <w:t xml:space="preserve">Barriers to </w:t>
      </w:r>
      <w:r>
        <w:t>e</w:t>
      </w:r>
      <w:r w:rsidRPr="00033C3A">
        <w:t>ntry</w:t>
      </w:r>
      <w:r>
        <w:t xml:space="preserve"> and expansion</w:t>
      </w:r>
    </w:p>
    <w:p w:rsidR="00857F05" w:rsidRDefault="00373836" w:rsidP="00162883">
      <w:pPr>
        <w:pStyle w:val="Numbered"/>
      </w:pPr>
      <w:r>
        <w:t>The ACCC’s preliminary view is that the barriers</w:t>
      </w:r>
      <w:r w:rsidR="00857F05">
        <w:t xml:space="preserve"> to entry and expansion</w:t>
      </w:r>
      <w:r>
        <w:t xml:space="preserve"> identified at paragraph </w:t>
      </w:r>
      <w:r>
        <w:fldChar w:fldCharType="begin"/>
      </w:r>
      <w:r>
        <w:instrText xml:space="preserve"> REF _Ref433211040 \r \h </w:instrText>
      </w:r>
      <w:r>
        <w:fldChar w:fldCharType="separate"/>
      </w:r>
      <w:r w:rsidR="000857DF">
        <w:t>75</w:t>
      </w:r>
      <w:r>
        <w:fldChar w:fldCharType="end"/>
      </w:r>
      <w:r>
        <w:t xml:space="preserve"> above also apply in regional markets</w:t>
      </w:r>
      <w:r w:rsidR="005C7375">
        <w:t xml:space="preserve">, although </w:t>
      </w:r>
      <w:r w:rsidR="001A0C66">
        <w:t xml:space="preserve">there are added barriers to </w:t>
      </w:r>
      <w:r w:rsidR="005C7375">
        <w:t xml:space="preserve">establishing a national presence. </w:t>
      </w:r>
      <w:r w:rsidR="001A0C66">
        <w:t xml:space="preserve">Even at a regional level, market inquiries suggest </w:t>
      </w:r>
      <w:r w:rsidR="00DC3A4C">
        <w:t>i</w:t>
      </w:r>
      <w:r w:rsidR="003C7AC7">
        <w:t xml:space="preserve">t would be difficult for </w:t>
      </w:r>
      <w:r w:rsidR="00DC3A4C">
        <w:t>new</w:t>
      </w:r>
      <w:r w:rsidR="003C7AC7">
        <w:t xml:space="preserve"> entrants, or </w:t>
      </w:r>
      <w:r w:rsidR="00A05DCB">
        <w:t>expanding</w:t>
      </w:r>
      <w:r w:rsidR="003C7AC7">
        <w:t xml:space="preserve"> </w:t>
      </w:r>
      <w:r w:rsidR="00DC3A4C">
        <w:t xml:space="preserve">small </w:t>
      </w:r>
      <w:r w:rsidR="003C7AC7">
        <w:t xml:space="preserve">players, to increase their scale significantly </w:t>
      </w:r>
      <w:r w:rsidR="00DC3A4C">
        <w:t xml:space="preserve">to become effective competitors to large PDMS providers. </w:t>
      </w:r>
    </w:p>
    <w:p w:rsidR="00A47206" w:rsidRDefault="00B10A2D">
      <w:pPr>
        <w:pStyle w:val="Numbered"/>
      </w:pPr>
      <w:r>
        <w:t xml:space="preserve">As indicated earlier, even where there has been expansion of smaller providers such as </w:t>
      </w:r>
      <w:r w:rsidR="005C7375">
        <w:t>Compu-stor</w:t>
      </w:r>
      <w:r w:rsidR="00A47206">
        <w:t xml:space="preserve"> in Perth</w:t>
      </w:r>
      <w:r>
        <w:t xml:space="preserve">, they still have a very small market share. </w:t>
      </w:r>
      <w:r w:rsidR="00CD3CDD">
        <w:t>The market structure</w:t>
      </w:r>
      <w:r w:rsidR="00FD0559" w:rsidRPr="00FD0559">
        <w:t xml:space="preserve"> </w:t>
      </w:r>
      <w:r w:rsidR="00FD0559">
        <w:t>appears to have been relatively stable for a long period</w:t>
      </w:r>
      <w:r>
        <w:t xml:space="preserve">. </w:t>
      </w:r>
    </w:p>
    <w:p w:rsidR="00CD3CDD" w:rsidRDefault="00B10A2D">
      <w:pPr>
        <w:pStyle w:val="Numbered"/>
      </w:pPr>
      <w:r>
        <w:t xml:space="preserve">Where there has been growth in market shares, it appears to have been largely </w:t>
      </w:r>
      <w:r w:rsidR="00CD3CDD">
        <w:t>due to acquisitions</w:t>
      </w:r>
      <w:r w:rsidR="001A0C66">
        <w:t>, with</w:t>
      </w:r>
      <w:r w:rsidR="00CD3CDD">
        <w:t xml:space="preserve"> </w:t>
      </w:r>
      <w:r>
        <w:t>a small</w:t>
      </w:r>
      <w:r w:rsidR="001A0C66">
        <w:t>er</w:t>
      </w:r>
      <w:r>
        <w:t xml:space="preserve"> proportion attributable to organic</w:t>
      </w:r>
      <w:r w:rsidR="00A47206">
        <w:t xml:space="preserve"> growth</w:t>
      </w:r>
      <w:r w:rsidR="00CD3CDD">
        <w:t>. This suggests that there are barriers to significant entry and expansion.</w:t>
      </w:r>
    </w:p>
    <w:p w:rsidR="007A74AF" w:rsidRDefault="007A74AF" w:rsidP="00162883">
      <w:pPr>
        <w:pStyle w:val="Numbered"/>
      </w:pPr>
      <w:r>
        <w:t xml:space="preserve">The ACCC is further considering </w:t>
      </w:r>
      <w:r w:rsidR="00FF5B98">
        <w:t xml:space="preserve">the extent to which </w:t>
      </w:r>
      <w:r>
        <w:t xml:space="preserve">barriers identified at paragraph </w:t>
      </w:r>
      <w:r>
        <w:fldChar w:fldCharType="begin"/>
      </w:r>
      <w:r>
        <w:instrText xml:space="preserve"> REF _Ref433211040 \r \h </w:instrText>
      </w:r>
      <w:r>
        <w:fldChar w:fldCharType="separate"/>
      </w:r>
      <w:r w:rsidR="000857DF">
        <w:t>75</w:t>
      </w:r>
      <w:r>
        <w:fldChar w:fldCharType="end"/>
      </w:r>
      <w:r>
        <w:t xml:space="preserve"> above</w:t>
      </w:r>
      <w:r w:rsidR="00FF5B98">
        <w:t xml:space="preserve"> have an effect</w:t>
      </w:r>
      <w:r w:rsidR="00FD02E7">
        <w:t xml:space="preserve"> </w:t>
      </w:r>
      <w:r w:rsidR="00FF5B98">
        <w:t>at the regional level.</w:t>
      </w:r>
    </w:p>
    <w:p w:rsidR="001F60A1" w:rsidRDefault="001F60A1" w:rsidP="00162883">
      <w:pPr>
        <w:pStyle w:val="Heading4"/>
      </w:pPr>
      <w:r>
        <w:t>ACCC’s preliminary views</w:t>
      </w:r>
    </w:p>
    <w:p w:rsidR="001F60A1" w:rsidRDefault="007464E3" w:rsidP="00162883">
      <w:pPr>
        <w:pStyle w:val="NormalParagraph"/>
      </w:pPr>
      <w:r>
        <w:t>T</w:t>
      </w:r>
      <w:r w:rsidR="001F60A1">
        <w:t>he ACCC</w:t>
      </w:r>
      <w:r>
        <w:t>’s preliminary views</w:t>
      </w:r>
      <w:r w:rsidR="001F60A1">
        <w:t xml:space="preserve"> is that the proposed acquisition may substantially lessen competition in regional markets for the supply of PDMS.</w:t>
      </w:r>
    </w:p>
    <w:p w:rsidR="005C7375" w:rsidRPr="00961FC7" w:rsidRDefault="00F038AA" w:rsidP="00162883">
      <w:pPr>
        <w:pStyle w:val="Heading4"/>
      </w:pPr>
      <w:r>
        <w:br w:type="page"/>
      </w:r>
      <w:r w:rsidR="005C7375">
        <w:lastRenderedPageBreak/>
        <w:t>Questions for interested parties</w:t>
      </w:r>
    </w:p>
    <w:p w:rsidR="00B7295C" w:rsidRDefault="00BA57E3" w:rsidP="00162883">
      <w:pPr>
        <w:pStyle w:val="commentbox"/>
      </w:pPr>
      <w:r>
        <w:t>The ACCC invites comments from market participants on its</w:t>
      </w:r>
      <w:r w:rsidR="0062556B">
        <w:t xml:space="preserve"> competition analysis for both the national and</w:t>
      </w:r>
      <w:r w:rsidR="000701FC">
        <w:t xml:space="preserve"> regional PDMS markets</w:t>
      </w:r>
      <w:r>
        <w:t>. In particular market participants may w</w:t>
      </w:r>
      <w:r w:rsidR="0062556B">
        <w:t>ish to address the following questions.</w:t>
      </w:r>
      <w:r w:rsidR="00CD73FA">
        <w:t xml:space="preserve"> Please address both the national and regional markets in responses to the questions below. </w:t>
      </w:r>
    </w:p>
    <w:p w:rsidR="005C7375" w:rsidRPr="005C7375" w:rsidRDefault="005C7375" w:rsidP="00E2414A">
      <w:pPr>
        <w:pStyle w:val="commentbox"/>
        <w:keepNext/>
      </w:pPr>
      <w:r>
        <w:t>Both n</w:t>
      </w:r>
      <w:r w:rsidRPr="005C7375">
        <w:t>ational and regional markets</w:t>
      </w:r>
      <w:r w:rsidR="001A0C66">
        <w:t>:</w:t>
      </w:r>
    </w:p>
    <w:p w:rsidR="005C7375" w:rsidRDefault="007464E3" w:rsidP="00162883">
      <w:pPr>
        <w:pStyle w:val="commentbox"/>
        <w:numPr>
          <w:ilvl w:val="0"/>
          <w:numId w:val="15"/>
        </w:numPr>
      </w:pPr>
      <w:r>
        <w:t xml:space="preserve">Please explain whether </w:t>
      </w:r>
      <w:r w:rsidR="005C7375">
        <w:t xml:space="preserve">you consider Iron Mountain and Recall to be close competitors for the supply of PDMS? </w:t>
      </w:r>
    </w:p>
    <w:p w:rsidR="005C7375" w:rsidRDefault="005C7375" w:rsidP="00162883">
      <w:pPr>
        <w:pStyle w:val="commentbox"/>
        <w:numPr>
          <w:ilvl w:val="0"/>
          <w:numId w:val="15"/>
        </w:numPr>
      </w:pPr>
      <w:r>
        <w:t>To what extent would Grace, TIMG</w:t>
      </w:r>
      <w:r w:rsidDel="00DD170F">
        <w:t xml:space="preserve"> </w:t>
      </w:r>
      <w:r>
        <w:t>or other PDMS suppliers constrain the merged entity?</w:t>
      </w:r>
    </w:p>
    <w:p w:rsidR="005C7375" w:rsidRDefault="005C7375" w:rsidP="00162883">
      <w:pPr>
        <w:pStyle w:val="commentbox"/>
        <w:numPr>
          <w:ilvl w:val="0"/>
          <w:numId w:val="15"/>
        </w:numPr>
      </w:pPr>
      <w:r>
        <w:t>Please provi</w:t>
      </w:r>
      <w:r w:rsidR="005D28E9">
        <w:t>de examples of any new entrants</w:t>
      </w:r>
      <w:r>
        <w:t xml:space="preserve"> or existing PDM</w:t>
      </w:r>
      <w:r w:rsidR="005D28E9">
        <w:t>S suppliers</w:t>
      </w:r>
      <w:r>
        <w:t xml:space="preserve"> that have won material share in the PDMS market</w:t>
      </w:r>
      <w:r w:rsidR="007464E3">
        <w:t>(s)</w:t>
      </w:r>
      <w:r>
        <w:t xml:space="preserve"> in recent years. How much of their growth is attributable to winning customers from their competitors</w:t>
      </w:r>
      <w:r w:rsidR="00E901EB">
        <w:t>, as opposed to</w:t>
      </w:r>
      <w:r w:rsidR="00EA0D6A">
        <w:t xml:space="preserve"> the</w:t>
      </w:r>
      <w:r w:rsidR="00E901EB">
        <w:t xml:space="preserve"> acquisition </w:t>
      </w:r>
      <w:r w:rsidR="00FD0559">
        <w:t xml:space="preserve">of </w:t>
      </w:r>
      <w:r w:rsidR="00E901EB">
        <w:t>competitors</w:t>
      </w:r>
      <w:r>
        <w:t>?</w:t>
      </w:r>
    </w:p>
    <w:p w:rsidR="005C7375" w:rsidRDefault="005C7375" w:rsidP="00162883">
      <w:pPr>
        <w:pStyle w:val="commentbox"/>
        <w:numPr>
          <w:ilvl w:val="0"/>
          <w:numId w:val="15"/>
        </w:numPr>
      </w:pPr>
      <w:r>
        <w:t xml:space="preserve">Do you </w:t>
      </w:r>
      <w:r w:rsidR="00E901EB">
        <w:t xml:space="preserve">agree that </w:t>
      </w:r>
      <w:r>
        <w:t>the barriers</w:t>
      </w:r>
      <w:r w:rsidR="00E901EB">
        <w:t xml:space="preserve"> to entry and expansion</w:t>
      </w:r>
      <w:r>
        <w:t xml:space="preserve"> identified by the ACCC at paragraph </w:t>
      </w:r>
      <w:r>
        <w:fldChar w:fldCharType="begin"/>
      </w:r>
      <w:r>
        <w:instrText xml:space="preserve"> REF _Ref433211040 \r \h </w:instrText>
      </w:r>
      <w:r>
        <w:fldChar w:fldCharType="separate"/>
      </w:r>
      <w:r w:rsidR="000857DF">
        <w:t>75</w:t>
      </w:r>
      <w:r>
        <w:fldChar w:fldCharType="end"/>
      </w:r>
      <w:r>
        <w:t xml:space="preserve"> </w:t>
      </w:r>
      <w:r w:rsidR="00E901EB">
        <w:t>constitute barriers? If so, do you consider the</w:t>
      </w:r>
      <w:r w:rsidR="004B4A0B">
        <w:t>se</w:t>
      </w:r>
      <w:r w:rsidR="00E901EB">
        <w:t xml:space="preserve"> </w:t>
      </w:r>
      <w:r>
        <w:t xml:space="preserve">to be </w:t>
      </w:r>
      <w:r w:rsidR="007464E3">
        <w:t>the main barriers</w:t>
      </w:r>
      <w:r>
        <w:t xml:space="preserve">? Are there </w:t>
      </w:r>
      <w:r w:rsidR="00D60D88">
        <w:t xml:space="preserve">any </w:t>
      </w:r>
      <w:r>
        <w:t>other barriers?</w:t>
      </w:r>
    </w:p>
    <w:p w:rsidR="005C7375" w:rsidRDefault="005C7375" w:rsidP="00162883">
      <w:pPr>
        <w:pStyle w:val="commentbox"/>
        <w:numPr>
          <w:ilvl w:val="0"/>
          <w:numId w:val="15"/>
        </w:numPr>
      </w:pPr>
      <w:r>
        <w:t>Would customers be likely to bypass the merged entity by reverting to in-house PDMS</w:t>
      </w:r>
      <w:r w:rsidR="00CA5719">
        <w:t xml:space="preserve"> or switching to digital storage</w:t>
      </w:r>
      <w:r>
        <w:t xml:space="preserve"> if the price </w:t>
      </w:r>
      <w:r w:rsidR="00BC4450">
        <w:t xml:space="preserve">of PDMS </w:t>
      </w:r>
      <w:r>
        <w:t>were to increase? If so, what level of price increase would be sufficient to prompt such a response?</w:t>
      </w:r>
    </w:p>
    <w:p w:rsidR="00C450EF" w:rsidRDefault="00C450EF" w:rsidP="00162883">
      <w:pPr>
        <w:pStyle w:val="commentbox"/>
        <w:numPr>
          <w:ilvl w:val="0"/>
          <w:numId w:val="15"/>
        </w:numPr>
      </w:pPr>
      <w:r>
        <w:t xml:space="preserve">Would </w:t>
      </w:r>
      <w:r w:rsidR="00E27F9C">
        <w:t xml:space="preserve">national </w:t>
      </w:r>
      <w:r>
        <w:t>customers be likely to disaggregate contracts and use multiple suppliers (instead of a single supplier) if the price offered were to increase? If so, what level of price increase would be sufficient to prompt such a response?</w:t>
      </w:r>
    </w:p>
    <w:p w:rsidR="001C42C7" w:rsidRDefault="001C42C7" w:rsidP="002307B6">
      <w:pPr>
        <w:pStyle w:val="Heading3"/>
      </w:pPr>
      <w:r>
        <w:t>Issue</w:t>
      </w:r>
      <w:r w:rsidR="009F1D4F">
        <w:t>s</w:t>
      </w:r>
      <w:r w:rsidRPr="004B1DAE">
        <w:t xml:space="preserve"> </w:t>
      </w:r>
      <w:r>
        <w:t>unlikely to raise</w:t>
      </w:r>
      <w:r w:rsidRPr="004B1DAE">
        <w:t xml:space="preserve"> concerns</w:t>
      </w:r>
      <w:r>
        <w:t xml:space="preserve">: </w:t>
      </w:r>
      <w:r w:rsidR="006B16F4">
        <w:t xml:space="preserve">Supply of </w:t>
      </w:r>
      <w:r w:rsidR="001640AC">
        <w:t>digital document management services</w:t>
      </w:r>
      <w:r w:rsidR="00E901EB">
        <w:t xml:space="preserve"> and</w:t>
      </w:r>
      <w:r w:rsidR="001640AC">
        <w:t xml:space="preserve"> data protection services </w:t>
      </w:r>
    </w:p>
    <w:p w:rsidR="001C42C7" w:rsidRDefault="001C42C7" w:rsidP="00162883">
      <w:pPr>
        <w:pStyle w:val="NormalParagraph"/>
      </w:pPr>
      <w:r>
        <w:t>The A</w:t>
      </w:r>
      <w:r w:rsidR="006B16F4">
        <w:t>CCC’s preliminary view is that the acquisition is unlikely to lead to a substantial lessening of competition in markets</w:t>
      </w:r>
      <w:r w:rsidR="00961FC7">
        <w:t xml:space="preserve"> relating to</w:t>
      </w:r>
      <w:r w:rsidR="001640AC">
        <w:t xml:space="preserve"> the supply of</w:t>
      </w:r>
      <w:r w:rsidR="006B16F4">
        <w:t>:</w:t>
      </w:r>
    </w:p>
    <w:p w:rsidR="001C42C7" w:rsidRDefault="001640AC" w:rsidP="00162883">
      <w:pPr>
        <w:pStyle w:val="NormalParagraph"/>
        <w:numPr>
          <w:ilvl w:val="0"/>
          <w:numId w:val="18"/>
        </w:numPr>
      </w:pPr>
      <w:r>
        <w:t>digital document management services</w:t>
      </w:r>
    </w:p>
    <w:p w:rsidR="001640AC" w:rsidRDefault="001640AC" w:rsidP="00162883">
      <w:pPr>
        <w:pStyle w:val="NormalParagraph"/>
        <w:numPr>
          <w:ilvl w:val="0"/>
          <w:numId w:val="18"/>
        </w:numPr>
      </w:pPr>
      <w:r>
        <w:t>data protection services</w:t>
      </w:r>
      <w:r w:rsidR="0080689C">
        <w:t>.</w:t>
      </w:r>
    </w:p>
    <w:p w:rsidR="00C82E03" w:rsidRDefault="003E29B7" w:rsidP="00162883">
      <w:pPr>
        <w:pStyle w:val="Numbered"/>
      </w:pPr>
      <w:r>
        <w:t xml:space="preserve">As </w:t>
      </w:r>
      <w:r w:rsidR="00C82E03">
        <w:t xml:space="preserve">indicated earlier, the ACCC has not received any significant concerns in relation to the supply of these services. </w:t>
      </w:r>
      <w:r w:rsidR="00E901EB">
        <w:t xml:space="preserve">The ACCC welcomes comments from </w:t>
      </w:r>
      <w:r w:rsidR="002D300E">
        <w:t>any party</w:t>
      </w:r>
      <w:r w:rsidR="00E901EB">
        <w:t xml:space="preserve"> </w:t>
      </w:r>
      <w:r w:rsidR="002D300E">
        <w:t>who has</w:t>
      </w:r>
      <w:r w:rsidR="00E901EB">
        <w:t xml:space="preserve"> competition concerns relating to the proposed acquisiti</w:t>
      </w:r>
      <w:r w:rsidR="002D300E">
        <w:t>on and data protection services.</w:t>
      </w:r>
      <w:r w:rsidR="00E901EB">
        <w:t xml:space="preserve"> </w:t>
      </w:r>
      <w:r w:rsidR="002D300E">
        <w:t>Parties</w:t>
      </w:r>
      <w:r w:rsidR="00E901EB">
        <w:t xml:space="preserve"> should contact the ACCC as part of its review process before </w:t>
      </w:r>
      <w:r w:rsidR="00F835C8">
        <w:t>19</w:t>
      </w:r>
      <w:r w:rsidR="002D300E">
        <w:t> </w:t>
      </w:r>
      <w:r w:rsidR="00C82E03">
        <w:t>November 2015 (further details are provided below).</w:t>
      </w:r>
    </w:p>
    <w:p w:rsidR="00C841E9" w:rsidRDefault="00F038AA" w:rsidP="00C841E9">
      <w:pPr>
        <w:pStyle w:val="Heading3"/>
      </w:pPr>
      <w:r>
        <w:br w:type="page"/>
      </w:r>
      <w:r w:rsidR="00C841E9">
        <w:lastRenderedPageBreak/>
        <w:t xml:space="preserve">ACCC's </w:t>
      </w:r>
      <w:r w:rsidR="00C841E9" w:rsidRPr="009D1890">
        <w:t>future</w:t>
      </w:r>
      <w:r w:rsidR="00C841E9">
        <w:t xml:space="preserve"> steps</w:t>
      </w:r>
    </w:p>
    <w:p w:rsidR="00C841E9" w:rsidRDefault="00C841E9" w:rsidP="00162883">
      <w:pPr>
        <w:pStyle w:val="NormalParagraph"/>
      </w:pPr>
      <w:r>
        <w:t>The ACCC will finalise its view on this matter after it considers submissions invited by this Statement of Issues.</w:t>
      </w:r>
    </w:p>
    <w:p w:rsidR="00C841E9" w:rsidRDefault="00C841E9" w:rsidP="00162883">
      <w:pPr>
        <w:pStyle w:val="NormalParagraph"/>
      </w:pPr>
      <w:r>
        <w:t>As noted above, the ACCC now seeks submissions from market participants on each of the issues identified in this Statement of Issues and on any other issue that may be relevant to the ACCC's assessment of this matter.</w:t>
      </w:r>
      <w:r w:rsidRPr="00F835E1">
        <w:t xml:space="preserve"> </w:t>
      </w:r>
      <w:r>
        <w:t xml:space="preserve">Submissions are to be received by the ACCC no later than </w:t>
      </w:r>
      <w:r w:rsidR="00AF4B13">
        <w:rPr>
          <w:b/>
        </w:rPr>
        <w:t>19</w:t>
      </w:r>
      <w:r w:rsidR="00AF4B13" w:rsidRPr="00C841E9">
        <w:rPr>
          <w:b/>
        </w:rPr>
        <w:t xml:space="preserve"> </w:t>
      </w:r>
      <w:r w:rsidRPr="00C841E9">
        <w:rPr>
          <w:b/>
        </w:rPr>
        <w:t>November 2015</w:t>
      </w:r>
      <w:r>
        <w:t xml:space="preserve"> and should be emailed to </w:t>
      </w:r>
      <w:hyperlink r:id="rId13" w:history="1">
        <w:r w:rsidRPr="00C8672F">
          <w:rPr>
            <w:rStyle w:val="Hyperlink"/>
          </w:rPr>
          <w:t>mergers@accc.gov.au</w:t>
        </w:r>
      </w:hyperlink>
      <w:r>
        <w:t>.</w:t>
      </w:r>
    </w:p>
    <w:p w:rsidR="00F4428B" w:rsidRDefault="00C841E9" w:rsidP="00162883">
      <w:pPr>
        <w:pStyle w:val="NormalParagraph"/>
      </w:pPr>
      <w:r>
        <w:t xml:space="preserve">The ACCC intends to publicly announce its final view by </w:t>
      </w:r>
      <w:r w:rsidR="00AF4B13">
        <w:rPr>
          <w:b/>
        </w:rPr>
        <w:t>15</w:t>
      </w:r>
      <w:r w:rsidR="00AF4B13" w:rsidRPr="001A0C66">
        <w:rPr>
          <w:b/>
        </w:rPr>
        <w:t xml:space="preserve"> </w:t>
      </w:r>
      <w:r w:rsidR="00AF4B13">
        <w:rPr>
          <w:b/>
        </w:rPr>
        <w:t>December</w:t>
      </w:r>
      <w:r w:rsidR="00AF4B13" w:rsidRPr="001A0C66">
        <w:rPr>
          <w:b/>
        </w:rPr>
        <w:t xml:space="preserve"> </w:t>
      </w:r>
      <w:r w:rsidR="003E29B7" w:rsidRPr="001A0C66">
        <w:rPr>
          <w:b/>
        </w:rPr>
        <w:t>201</w:t>
      </w:r>
      <w:r w:rsidR="00AF4B13">
        <w:rPr>
          <w:b/>
        </w:rPr>
        <w:t>5</w:t>
      </w:r>
      <w:r>
        <w:t xml:space="preserve">. However the anticipated timeline may change in line with the </w:t>
      </w:r>
      <w:r w:rsidRPr="007F75F1">
        <w:t>Merger Review Process Guidelines</w:t>
      </w:r>
      <w:r>
        <w:t>. A Public Competition Assessment for the purpose of explaining the ACCC's final view may be published following the ACCC's public announcement.</w:t>
      </w:r>
    </w:p>
    <w:sectPr w:rsidR="00F4428B">
      <w:headerReference w:type="even" r:id="rId14"/>
      <w:headerReference w:type="default" r:id="rId15"/>
      <w:footerReference w:type="even" r:id="rId16"/>
      <w:footerReference w:type="default" r:id="rId17"/>
      <w:headerReference w:type="first" r:id="rId18"/>
      <w:footerReference w:type="first" r:id="rId19"/>
      <w:pgSz w:w="11906" w:h="16838" w:code="9"/>
      <w:pgMar w:top="1440" w:right="1729" w:bottom="1582" w:left="1729" w:header="709" w:footer="10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340F" w:rsidRDefault="00B3340F">
      <w:r>
        <w:separator/>
      </w:r>
    </w:p>
    <w:p w:rsidR="00B3340F" w:rsidRDefault="00B3340F"/>
  </w:endnote>
  <w:endnote w:type="continuationSeparator" w:id="0">
    <w:p w:rsidR="00B3340F" w:rsidRDefault="00B3340F">
      <w:r>
        <w:continuationSeparator/>
      </w:r>
    </w:p>
    <w:p w:rsidR="00B3340F" w:rsidRDefault="00B334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340F" w:rsidRDefault="00B3340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3340F" w:rsidRDefault="00B3340F">
    <w:pPr>
      <w:pStyle w:val="Footer"/>
    </w:pPr>
  </w:p>
  <w:p w:rsidR="00B3340F" w:rsidRDefault="00B3340F"/>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340F" w:rsidRPr="00E23669" w:rsidRDefault="00B3340F" w:rsidP="00E23669">
    <w:pPr>
      <w:pStyle w:val="Footer"/>
      <w:jc w:val="right"/>
      <w:rPr>
        <w:rFonts w:ascii="Arial" w:hAnsi="Arial" w:cs="Arial"/>
        <w:sz w:val="22"/>
        <w:szCs w:val="22"/>
      </w:rPr>
    </w:pPr>
    <w:r w:rsidRPr="00E23669">
      <w:rPr>
        <w:rFonts w:ascii="Arial" w:hAnsi="Arial" w:cs="Arial"/>
        <w:sz w:val="22"/>
        <w:szCs w:val="22"/>
      </w:rPr>
      <w:t xml:space="preserve">Page </w:t>
    </w:r>
    <w:r w:rsidRPr="00E23669">
      <w:rPr>
        <w:rFonts w:ascii="Arial" w:hAnsi="Arial" w:cs="Arial"/>
        <w:b/>
        <w:sz w:val="22"/>
        <w:szCs w:val="22"/>
      </w:rPr>
      <w:fldChar w:fldCharType="begin"/>
    </w:r>
    <w:r w:rsidRPr="00E23669">
      <w:rPr>
        <w:rFonts w:ascii="Arial" w:hAnsi="Arial" w:cs="Arial"/>
        <w:b/>
        <w:sz w:val="22"/>
        <w:szCs w:val="22"/>
      </w:rPr>
      <w:instrText xml:space="preserve"> PAGE </w:instrText>
    </w:r>
    <w:r w:rsidRPr="00E23669">
      <w:rPr>
        <w:rFonts w:ascii="Arial" w:hAnsi="Arial" w:cs="Arial"/>
        <w:b/>
        <w:sz w:val="22"/>
        <w:szCs w:val="22"/>
      </w:rPr>
      <w:fldChar w:fldCharType="separate"/>
    </w:r>
    <w:r w:rsidR="000857DF">
      <w:rPr>
        <w:rFonts w:ascii="Arial" w:hAnsi="Arial" w:cs="Arial"/>
        <w:b/>
        <w:noProof/>
        <w:sz w:val="22"/>
        <w:szCs w:val="22"/>
      </w:rPr>
      <w:t>16</w:t>
    </w:r>
    <w:r w:rsidRPr="00E23669">
      <w:rPr>
        <w:rFonts w:ascii="Arial" w:hAnsi="Arial" w:cs="Arial"/>
        <w:b/>
        <w:sz w:val="22"/>
        <w:szCs w:val="22"/>
      </w:rPr>
      <w:fldChar w:fldCharType="end"/>
    </w:r>
    <w:r w:rsidRPr="00E23669">
      <w:rPr>
        <w:rFonts w:ascii="Arial" w:hAnsi="Arial" w:cs="Arial"/>
        <w:sz w:val="22"/>
        <w:szCs w:val="22"/>
      </w:rPr>
      <w:t xml:space="preserve"> of </w:t>
    </w:r>
    <w:r w:rsidRPr="00E23669">
      <w:rPr>
        <w:rFonts w:ascii="Arial" w:hAnsi="Arial" w:cs="Arial"/>
        <w:b/>
        <w:sz w:val="22"/>
        <w:szCs w:val="22"/>
      </w:rPr>
      <w:fldChar w:fldCharType="begin"/>
    </w:r>
    <w:r w:rsidRPr="00E23669">
      <w:rPr>
        <w:rFonts w:ascii="Arial" w:hAnsi="Arial" w:cs="Arial"/>
        <w:b/>
        <w:sz w:val="22"/>
        <w:szCs w:val="22"/>
      </w:rPr>
      <w:instrText xml:space="preserve"> NUMPAGES  </w:instrText>
    </w:r>
    <w:r w:rsidRPr="00E23669">
      <w:rPr>
        <w:rFonts w:ascii="Arial" w:hAnsi="Arial" w:cs="Arial"/>
        <w:b/>
        <w:sz w:val="22"/>
        <w:szCs w:val="22"/>
      </w:rPr>
      <w:fldChar w:fldCharType="separate"/>
    </w:r>
    <w:r w:rsidR="000857DF">
      <w:rPr>
        <w:rFonts w:ascii="Arial" w:hAnsi="Arial" w:cs="Arial"/>
        <w:b/>
        <w:noProof/>
        <w:sz w:val="22"/>
        <w:szCs w:val="22"/>
      </w:rPr>
      <w:t>16</w:t>
    </w:r>
    <w:r w:rsidRPr="00E23669">
      <w:rPr>
        <w:rFonts w:ascii="Arial" w:hAnsi="Arial" w:cs="Arial"/>
        <w:b/>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340F" w:rsidRPr="00497688" w:rsidRDefault="00B3340F">
    <w:pPr>
      <w:pStyle w:val="Footer"/>
      <w:jc w:val="right"/>
      <w:rPr>
        <w:rFonts w:ascii="Arial" w:hAnsi="Arial" w:cs="Arial"/>
        <w:sz w:val="22"/>
        <w:szCs w:val="22"/>
      </w:rPr>
    </w:pPr>
    <w:r w:rsidRPr="00497688">
      <w:rPr>
        <w:rFonts w:ascii="Arial" w:hAnsi="Arial" w:cs="Arial"/>
        <w:sz w:val="22"/>
        <w:szCs w:val="22"/>
      </w:rPr>
      <w:t xml:space="preserve">Page </w:t>
    </w:r>
    <w:r w:rsidRPr="00497688">
      <w:rPr>
        <w:rFonts w:ascii="Arial" w:hAnsi="Arial" w:cs="Arial"/>
        <w:b/>
        <w:sz w:val="22"/>
        <w:szCs w:val="22"/>
      </w:rPr>
      <w:fldChar w:fldCharType="begin"/>
    </w:r>
    <w:r w:rsidRPr="00497688">
      <w:rPr>
        <w:rFonts w:ascii="Arial" w:hAnsi="Arial" w:cs="Arial"/>
        <w:b/>
        <w:sz w:val="22"/>
        <w:szCs w:val="22"/>
      </w:rPr>
      <w:instrText xml:space="preserve"> PAGE </w:instrText>
    </w:r>
    <w:r w:rsidRPr="00497688">
      <w:rPr>
        <w:rFonts w:ascii="Arial" w:hAnsi="Arial" w:cs="Arial"/>
        <w:b/>
        <w:sz w:val="22"/>
        <w:szCs w:val="22"/>
      </w:rPr>
      <w:fldChar w:fldCharType="separate"/>
    </w:r>
    <w:r w:rsidR="000857DF">
      <w:rPr>
        <w:rFonts w:ascii="Arial" w:hAnsi="Arial" w:cs="Arial"/>
        <w:b/>
        <w:noProof/>
        <w:sz w:val="22"/>
        <w:szCs w:val="22"/>
      </w:rPr>
      <w:t>1</w:t>
    </w:r>
    <w:r w:rsidRPr="00497688">
      <w:rPr>
        <w:rFonts w:ascii="Arial" w:hAnsi="Arial" w:cs="Arial"/>
        <w:b/>
        <w:sz w:val="22"/>
        <w:szCs w:val="22"/>
      </w:rPr>
      <w:fldChar w:fldCharType="end"/>
    </w:r>
    <w:r w:rsidRPr="00497688">
      <w:rPr>
        <w:rFonts w:ascii="Arial" w:hAnsi="Arial" w:cs="Arial"/>
        <w:sz w:val="22"/>
        <w:szCs w:val="22"/>
      </w:rPr>
      <w:t xml:space="preserve"> of </w:t>
    </w:r>
    <w:r w:rsidRPr="00497688">
      <w:rPr>
        <w:rFonts w:ascii="Arial" w:hAnsi="Arial" w:cs="Arial"/>
        <w:b/>
        <w:sz w:val="22"/>
        <w:szCs w:val="22"/>
      </w:rPr>
      <w:fldChar w:fldCharType="begin"/>
    </w:r>
    <w:r w:rsidRPr="00497688">
      <w:rPr>
        <w:rFonts w:ascii="Arial" w:hAnsi="Arial" w:cs="Arial"/>
        <w:b/>
        <w:sz w:val="22"/>
        <w:szCs w:val="22"/>
      </w:rPr>
      <w:instrText xml:space="preserve"> NUMPAGES  </w:instrText>
    </w:r>
    <w:r w:rsidRPr="00497688">
      <w:rPr>
        <w:rFonts w:ascii="Arial" w:hAnsi="Arial" w:cs="Arial"/>
        <w:b/>
        <w:sz w:val="22"/>
        <w:szCs w:val="22"/>
      </w:rPr>
      <w:fldChar w:fldCharType="separate"/>
    </w:r>
    <w:r w:rsidR="000857DF">
      <w:rPr>
        <w:rFonts w:ascii="Arial" w:hAnsi="Arial" w:cs="Arial"/>
        <w:b/>
        <w:noProof/>
        <w:sz w:val="22"/>
        <w:szCs w:val="22"/>
      </w:rPr>
      <w:t>16</w:t>
    </w:r>
    <w:r w:rsidRPr="00497688">
      <w:rPr>
        <w:rFonts w:ascii="Arial" w:hAnsi="Arial" w:cs="Arial"/>
        <w:b/>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340F" w:rsidRDefault="00B3340F">
      <w:r>
        <w:separator/>
      </w:r>
    </w:p>
    <w:p w:rsidR="00B3340F" w:rsidRDefault="00B3340F"/>
  </w:footnote>
  <w:footnote w:type="continuationSeparator" w:id="0">
    <w:p w:rsidR="00B3340F" w:rsidRDefault="00B3340F">
      <w:r>
        <w:continuationSeparator/>
      </w:r>
    </w:p>
    <w:p w:rsidR="00B3340F" w:rsidRDefault="00B3340F"/>
  </w:footnote>
  <w:footnote w:id="1">
    <w:p w:rsidR="00B3340F" w:rsidRPr="00E2414A" w:rsidRDefault="00B3340F">
      <w:pPr>
        <w:pStyle w:val="FootnoteText"/>
        <w:rPr>
          <w:rFonts w:ascii="Arial" w:hAnsi="Arial" w:cs="Arial"/>
          <w:sz w:val="18"/>
          <w:szCs w:val="18"/>
        </w:rPr>
      </w:pPr>
      <w:r w:rsidRPr="00E2414A">
        <w:rPr>
          <w:rStyle w:val="FootnoteReference"/>
          <w:rFonts w:ascii="Arial" w:hAnsi="Arial" w:cs="Arial"/>
          <w:sz w:val="18"/>
          <w:szCs w:val="18"/>
        </w:rPr>
        <w:footnoteRef/>
      </w:r>
      <w:r w:rsidRPr="00E2414A">
        <w:rPr>
          <w:rFonts w:ascii="Arial" w:hAnsi="Arial" w:cs="Arial"/>
          <w:sz w:val="18"/>
          <w:szCs w:val="18"/>
        </w:rPr>
        <w:t xml:space="preserve"> </w:t>
      </w:r>
      <w:r>
        <w:rPr>
          <w:rFonts w:ascii="Arial" w:hAnsi="Arial" w:cs="Arial"/>
          <w:sz w:val="18"/>
          <w:szCs w:val="18"/>
        </w:rPr>
        <w:t>IBISWorld Industry Report OD5517, ‘Document Management Services in Australia</w:t>
      </w:r>
      <w:r w:rsidR="00A75D37">
        <w:rPr>
          <w:rFonts w:ascii="Arial" w:hAnsi="Arial" w:cs="Arial"/>
          <w:sz w:val="18"/>
          <w:szCs w:val="18"/>
        </w:rPr>
        <w:t>’</w:t>
      </w:r>
      <w:r>
        <w:rPr>
          <w:rFonts w:ascii="Arial" w:hAnsi="Arial" w:cs="Arial"/>
          <w:sz w:val="18"/>
          <w:szCs w:val="18"/>
        </w:rPr>
        <w:t>, January 2015.</w:t>
      </w:r>
    </w:p>
  </w:footnote>
  <w:footnote w:id="2">
    <w:p w:rsidR="003C05B1" w:rsidRPr="00943DA5" w:rsidRDefault="003C05B1" w:rsidP="003C05B1">
      <w:pPr>
        <w:pStyle w:val="FootnoteText"/>
        <w:rPr>
          <w:rFonts w:ascii="Arial" w:hAnsi="Arial" w:cs="Arial"/>
          <w:sz w:val="18"/>
          <w:szCs w:val="18"/>
        </w:rPr>
      </w:pPr>
      <w:r w:rsidRPr="00943DA5">
        <w:rPr>
          <w:rStyle w:val="FootnoteReference"/>
          <w:rFonts w:ascii="Arial" w:hAnsi="Arial" w:cs="Arial"/>
          <w:sz w:val="18"/>
          <w:szCs w:val="18"/>
        </w:rPr>
        <w:footnoteRef/>
      </w:r>
      <w:r w:rsidRPr="00943DA5">
        <w:rPr>
          <w:rFonts w:ascii="Arial" w:hAnsi="Arial" w:cs="Arial"/>
          <w:sz w:val="18"/>
          <w:szCs w:val="18"/>
        </w:rPr>
        <w:t xml:space="preserve"> Share estimates are based on the sum of the various estimates </w:t>
      </w:r>
      <w:r w:rsidR="00943DA5">
        <w:rPr>
          <w:rFonts w:ascii="Arial" w:hAnsi="Arial" w:cs="Arial"/>
          <w:sz w:val="18"/>
          <w:szCs w:val="18"/>
        </w:rPr>
        <w:t>from</w:t>
      </w:r>
      <w:r w:rsidRPr="00943DA5">
        <w:rPr>
          <w:rFonts w:ascii="Arial" w:hAnsi="Arial" w:cs="Arial"/>
          <w:sz w:val="18"/>
          <w:szCs w:val="18"/>
        </w:rPr>
        <w:t xml:space="preserve"> each interested party that provided an estimate. Therefore the range of estimates for the merged entity is narrower than the sum of the lowest and highest estimates of the merger parties’ individual shares.</w:t>
      </w:r>
    </w:p>
  </w:footnote>
  <w:footnote w:id="3">
    <w:p w:rsidR="00B3340F" w:rsidRPr="00017D9A" w:rsidRDefault="00B3340F" w:rsidP="00D657CC">
      <w:pPr>
        <w:pStyle w:val="FootnoteText"/>
        <w:jc w:val="left"/>
        <w:rPr>
          <w:rFonts w:ascii="Arial" w:hAnsi="Arial" w:cs="Arial"/>
          <w:sz w:val="18"/>
          <w:szCs w:val="18"/>
        </w:rPr>
      </w:pPr>
      <w:r w:rsidRPr="00017D9A">
        <w:rPr>
          <w:rStyle w:val="FootnoteReference"/>
          <w:rFonts w:ascii="Arial" w:hAnsi="Arial" w:cs="Arial"/>
          <w:sz w:val="18"/>
          <w:szCs w:val="18"/>
        </w:rPr>
        <w:footnoteRef/>
      </w:r>
      <w:r w:rsidRPr="00017D9A">
        <w:rPr>
          <w:rFonts w:ascii="Arial" w:hAnsi="Arial" w:cs="Arial"/>
          <w:sz w:val="18"/>
          <w:szCs w:val="18"/>
        </w:rPr>
        <w:t xml:space="preserve"> </w:t>
      </w:r>
      <w:r>
        <w:rPr>
          <w:rFonts w:ascii="Arial" w:hAnsi="Arial" w:cs="Arial"/>
          <w:sz w:val="18"/>
          <w:szCs w:val="18"/>
        </w:rPr>
        <w:t xml:space="preserve">Table </w:t>
      </w:r>
      <w:r w:rsidR="003C05B1">
        <w:rPr>
          <w:rFonts w:ascii="Arial" w:hAnsi="Arial" w:cs="Arial"/>
          <w:sz w:val="18"/>
          <w:szCs w:val="18"/>
        </w:rPr>
        <w:t>2</w:t>
      </w:r>
      <w:r>
        <w:rPr>
          <w:rFonts w:ascii="Arial" w:hAnsi="Arial" w:cs="Arial"/>
          <w:sz w:val="18"/>
          <w:szCs w:val="18"/>
        </w:rPr>
        <w:t xml:space="preserve"> shows the midpoint of estimates received from different interested parties, and therefore may not add to 100 per cent. </w:t>
      </w:r>
      <w:r w:rsidR="003C05B1">
        <w:rPr>
          <w:rFonts w:ascii="Arial" w:hAnsi="Arial" w:cs="Arial"/>
          <w:sz w:val="18"/>
          <w:szCs w:val="18"/>
        </w:rPr>
        <w:t xml:space="preserve">The full range of estimates for the national market is shown in Table 1. </w:t>
      </w:r>
      <w:r w:rsidRPr="003D27E9">
        <w:rPr>
          <w:rFonts w:ascii="Arial" w:hAnsi="Arial" w:cs="Arial"/>
          <w:sz w:val="18"/>
          <w:szCs w:val="18"/>
        </w:rPr>
        <w:t xml:space="preserve">Regional </w:t>
      </w:r>
      <w:r>
        <w:rPr>
          <w:rFonts w:ascii="Arial" w:hAnsi="Arial" w:cs="Arial"/>
          <w:sz w:val="18"/>
          <w:szCs w:val="18"/>
        </w:rPr>
        <w:t>markets, which are centred on state/territory capital cities, may not neatly align with state/territory boundaries. Therefore the share estimates for each state/territory may not directly correspond to market shares in each regional market.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2AF6" w:rsidRDefault="00F82AF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340F" w:rsidRPr="00BC4450" w:rsidRDefault="00B3340F">
    <w:pPr>
      <w:pStyle w:val="Header"/>
      <w:jc w:val="right"/>
      <w:rPr>
        <w:rFonts w:ascii="Arial" w:hAnsi="Arial" w:cs="Arial"/>
        <w:color w:val="000000"/>
        <w:sz w:val="22"/>
        <w:szCs w:val="22"/>
      </w:rPr>
    </w:pPr>
    <w:r w:rsidRPr="00BC4450">
      <w:rPr>
        <w:rFonts w:ascii="Arial" w:hAnsi="Arial" w:cs="Arial"/>
        <w:color w:val="000000"/>
        <w:sz w:val="22"/>
        <w:szCs w:val="22"/>
      </w:rPr>
      <w:t>Iron Mountain – proposed acquisition of Recall</w:t>
    </w:r>
  </w:p>
  <w:p w:rsidR="00B3340F" w:rsidRDefault="00B3340F"/>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2AF6" w:rsidRDefault="00F82AF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3942146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6C15A6C"/>
    <w:multiLevelType w:val="hybridMultilevel"/>
    <w:tmpl w:val="355ECCA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nsid w:val="07FA25F8"/>
    <w:multiLevelType w:val="hybridMultilevel"/>
    <w:tmpl w:val="0C8CD202"/>
    <w:lvl w:ilvl="0" w:tplc="0C09000F">
      <w:start w:val="2"/>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
    <w:nsid w:val="0C357939"/>
    <w:multiLevelType w:val="hybridMultilevel"/>
    <w:tmpl w:val="ABF4654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nsid w:val="133E73B6"/>
    <w:multiLevelType w:val="hybridMultilevel"/>
    <w:tmpl w:val="80220B84"/>
    <w:lvl w:ilvl="0" w:tplc="F5987420">
      <w:start w:val="1"/>
      <w:numFmt w:val="decimal"/>
      <w:pStyle w:val="Numberedlist"/>
      <w:lvlText w:val="%1."/>
      <w:lvlJc w:val="left"/>
      <w:pPr>
        <w:ind w:left="360" w:hanging="360"/>
      </w:pPr>
      <w:rPr>
        <w:rFonts w:hint="default"/>
      </w:rPr>
    </w:lvl>
    <w:lvl w:ilvl="1" w:tplc="A5728FDE" w:tentative="1">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5">
    <w:nsid w:val="13B12ECD"/>
    <w:multiLevelType w:val="hybridMultilevel"/>
    <w:tmpl w:val="59B4A534"/>
    <w:lvl w:ilvl="0" w:tplc="0C090001">
      <w:start w:val="1"/>
      <w:numFmt w:val="bullet"/>
      <w:lvlText w:val=""/>
      <w:lvlJc w:val="left"/>
      <w:pPr>
        <w:tabs>
          <w:tab w:val="num" w:pos="1134"/>
        </w:tabs>
        <w:ind w:left="1134" w:hanging="567"/>
      </w:pPr>
      <w:rPr>
        <w:rFonts w:ascii="Symbol" w:hAnsi="Symbol" w:hint="default"/>
      </w:rPr>
    </w:lvl>
    <w:lvl w:ilvl="1" w:tplc="0C090001">
      <w:start w:val="1"/>
      <w:numFmt w:val="bullet"/>
      <w:lvlText w:val=""/>
      <w:lvlJc w:val="left"/>
      <w:pPr>
        <w:tabs>
          <w:tab w:val="num" w:pos="2007"/>
        </w:tabs>
        <w:ind w:left="2007" w:hanging="360"/>
      </w:pPr>
      <w:rPr>
        <w:rFonts w:ascii="Symbol" w:hAnsi="Symbol" w:hint="default"/>
      </w:rPr>
    </w:lvl>
    <w:lvl w:ilvl="2" w:tplc="0680CE72">
      <w:start w:val="1"/>
      <w:numFmt w:val="bullet"/>
      <w:lvlText w:val="-"/>
      <w:lvlJc w:val="left"/>
      <w:pPr>
        <w:ind w:left="2907" w:hanging="360"/>
      </w:pPr>
      <w:rPr>
        <w:rFonts w:ascii="Arial" w:eastAsia="Times New Roman" w:hAnsi="Arial" w:cs="Arial" w:hint="default"/>
      </w:rPr>
    </w:lvl>
    <w:lvl w:ilvl="3" w:tplc="0C09000F" w:tentative="1">
      <w:start w:val="1"/>
      <w:numFmt w:val="decimal"/>
      <w:lvlText w:val="%4."/>
      <w:lvlJc w:val="left"/>
      <w:pPr>
        <w:tabs>
          <w:tab w:val="num" w:pos="3447"/>
        </w:tabs>
        <w:ind w:left="3447" w:hanging="360"/>
      </w:pPr>
    </w:lvl>
    <w:lvl w:ilvl="4" w:tplc="0C090019" w:tentative="1">
      <w:start w:val="1"/>
      <w:numFmt w:val="lowerLetter"/>
      <w:lvlText w:val="%5."/>
      <w:lvlJc w:val="left"/>
      <w:pPr>
        <w:tabs>
          <w:tab w:val="num" w:pos="4167"/>
        </w:tabs>
        <w:ind w:left="4167" w:hanging="360"/>
      </w:pPr>
    </w:lvl>
    <w:lvl w:ilvl="5" w:tplc="0C09001B" w:tentative="1">
      <w:start w:val="1"/>
      <w:numFmt w:val="lowerRoman"/>
      <w:lvlText w:val="%6."/>
      <w:lvlJc w:val="right"/>
      <w:pPr>
        <w:tabs>
          <w:tab w:val="num" w:pos="4887"/>
        </w:tabs>
        <w:ind w:left="4887" w:hanging="180"/>
      </w:pPr>
    </w:lvl>
    <w:lvl w:ilvl="6" w:tplc="0C09000F" w:tentative="1">
      <w:start w:val="1"/>
      <w:numFmt w:val="decimal"/>
      <w:lvlText w:val="%7."/>
      <w:lvlJc w:val="left"/>
      <w:pPr>
        <w:tabs>
          <w:tab w:val="num" w:pos="5607"/>
        </w:tabs>
        <w:ind w:left="5607" w:hanging="360"/>
      </w:pPr>
    </w:lvl>
    <w:lvl w:ilvl="7" w:tplc="0C090019" w:tentative="1">
      <w:start w:val="1"/>
      <w:numFmt w:val="lowerLetter"/>
      <w:lvlText w:val="%8."/>
      <w:lvlJc w:val="left"/>
      <w:pPr>
        <w:tabs>
          <w:tab w:val="num" w:pos="6327"/>
        </w:tabs>
        <w:ind w:left="6327" w:hanging="360"/>
      </w:pPr>
    </w:lvl>
    <w:lvl w:ilvl="8" w:tplc="0C09001B" w:tentative="1">
      <w:start w:val="1"/>
      <w:numFmt w:val="lowerRoman"/>
      <w:lvlText w:val="%9."/>
      <w:lvlJc w:val="right"/>
      <w:pPr>
        <w:tabs>
          <w:tab w:val="num" w:pos="7047"/>
        </w:tabs>
        <w:ind w:left="7047" w:hanging="180"/>
      </w:pPr>
    </w:lvl>
  </w:abstractNum>
  <w:abstractNum w:abstractNumId="6">
    <w:nsid w:val="19F7594D"/>
    <w:multiLevelType w:val="hybridMultilevel"/>
    <w:tmpl w:val="652EFE5A"/>
    <w:lvl w:ilvl="0" w:tplc="5C8E4EDA">
      <w:start w:val="1"/>
      <w:numFmt w:val="decimal"/>
      <w:lvlText w:val="%1."/>
      <w:lvlJc w:val="left"/>
      <w:pPr>
        <w:tabs>
          <w:tab w:val="num" w:pos="927"/>
        </w:tabs>
        <w:ind w:left="927" w:hanging="360"/>
      </w:pPr>
      <w:rPr>
        <w:rFonts w:ascii="Arial" w:hAnsi="Arial" w:cs="Arial" w:hint="default"/>
        <w:i w:val="0"/>
        <w:sz w:val="24"/>
        <w:szCs w:val="24"/>
      </w:rPr>
    </w:lvl>
    <w:lvl w:ilvl="1" w:tplc="0C090019">
      <w:start w:val="1"/>
      <w:numFmt w:val="lowerLetter"/>
      <w:lvlText w:val="%2."/>
      <w:lvlJc w:val="left"/>
      <w:pPr>
        <w:tabs>
          <w:tab w:val="num" w:pos="927"/>
        </w:tabs>
        <w:ind w:left="927" w:hanging="360"/>
      </w:pPr>
    </w:lvl>
    <w:lvl w:ilvl="2" w:tplc="FFFFFFFF">
      <w:start w:val="1"/>
      <w:numFmt w:val="lowerRoman"/>
      <w:lvlText w:val="%3."/>
      <w:lvlJc w:val="right"/>
      <w:pPr>
        <w:tabs>
          <w:tab w:val="num" w:pos="2585"/>
        </w:tabs>
        <w:ind w:left="2585" w:hanging="180"/>
      </w:pPr>
    </w:lvl>
    <w:lvl w:ilvl="3" w:tplc="FFFFFFFF" w:tentative="1">
      <w:start w:val="1"/>
      <w:numFmt w:val="decimal"/>
      <w:lvlText w:val="%4."/>
      <w:lvlJc w:val="left"/>
      <w:pPr>
        <w:tabs>
          <w:tab w:val="num" w:pos="3305"/>
        </w:tabs>
        <w:ind w:left="3305" w:hanging="360"/>
      </w:pPr>
    </w:lvl>
    <w:lvl w:ilvl="4" w:tplc="FFFFFFFF" w:tentative="1">
      <w:start w:val="1"/>
      <w:numFmt w:val="lowerLetter"/>
      <w:lvlText w:val="%5."/>
      <w:lvlJc w:val="left"/>
      <w:pPr>
        <w:tabs>
          <w:tab w:val="num" w:pos="4025"/>
        </w:tabs>
        <w:ind w:left="4025" w:hanging="360"/>
      </w:pPr>
    </w:lvl>
    <w:lvl w:ilvl="5" w:tplc="FFFFFFFF" w:tentative="1">
      <w:start w:val="1"/>
      <w:numFmt w:val="lowerRoman"/>
      <w:lvlText w:val="%6."/>
      <w:lvlJc w:val="right"/>
      <w:pPr>
        <w:tabs>
          <w:tab w:val="num" w:pos="4745"/>
        </w:tabs>
        <w:ind w:left="4745" w:hanging="180"/>
      </w:pPr>
    </w:lvl>
    <w:lvl w:ilvl="6" w:tplc="FFFFFFFF" w:tentative="1">
      <w:start w:val="1"/>
      <w:numFmt w:val="decimal"/>
      <w:lvlText w:val="%7."/>
      <w:lvlJc w:val="left"/>
      <w:pPr>
        <w:tabs>
          <w:tab w:val="num" w:pos="5465"/>
        </w:tabs>
        <w:ind w:left="5465" w:hanging="360"/>
      </w:pPr>
    </w:lvl>
    <w:lvl w:ilvl="7" w:tplc="FFFFFFFF" w:tentative="1">
      <w:start w:val="1"/>
      <w:numFmt w:val="lowerLetter"/>
      <w:lvlText w:val="%8."/>
      <w:lvlJc w:val="left"/>
      <w:pPr>
        <w:tabs>
          <w:tab w:val="num" w:pos="6185"/>
        </w:tabs>
        <w:ind w:left="6185" w:hanging="360"/>
      </w:pPr>
    </w:lvl>
    <w:lvl w:ilvl="8" w:tplc="FFFFFFFF" w:tentative="1">
      <w:start w:val="1"/>
      <w:numFmt w:val="lowerRoman"/>
      <w:lvlText w:val="%9."/>
      <w:lvlJc w:val="right"/>
      <w:pPr>
        <w:tabs>
          <w:tab w:val="num" w:pos="6905"/>
        </w:tabs>
        <w:ind w:left="6905" w:hanging="180"/>
      </w:pPr>
    </w:lvl>
  </w:abstractNum>
  <w:abstractNum w:abstractNumId="7">
    <w:nsid w:val="21805366"/>
    <w:multiLevelType w:val="hybridMultilevel"/>
    <w:tmpl w:val="52BC8D90"/>
    <w:lvl w:ilvl="0" w:tplc="3D66C35C">
      <w:start w:val="1"/>
      <w:numFmt w:val="decimal"/>
      <w:pStyle w:val="Numbered"/>
      <w:lvlText w:val="%1."/>
      <w:lvlJc w:val="left"/>
      <w:pPr>
        <w:tabs>
          <w:tab w:val="num" w:pos="567"/>
        </w:tabs>
        <w:ind w:left="567" w:hanging="567"/>
      </w:pPr>
      <w:rPr>
        <w:rFonts w:hint="default"/>
      </w:rPr>
    </w:lvl>
    <w:lvl w:ilvl="1" w:tplc="0C090019">
      <w:start w:val="1"/>
      <w:numFmt w:val="lowerLetter"/>
      <w:lvlText w:val="%2."/>
      <w:lvlJc w:val="left"/>
      <w:pPr>
        <w:tabs>
          <w:tab w:val="num" w:pos="1440"/>
        </w:tabs>
        <w:ind w:left="1440" w:hanging="360"/>
      </w:pPr>
    </w:lvl>
    <w:lvl w:ilvl="2" w:tplc="0680CE72">
      <w:start w:val="1"/>
      <w:numFmt w:val="bullet"/>
      <w:lvlText w:val="-"/>
      <w:lvlJc w:val="left"/>
      <w:pPr>
        <w:ind w:left="2340" w:hanging="360"/>
      </w:pPr>
      <w:rPr>
        <w:rFonts w:ascii="Arial" w:eastAsia="Times New Roman" w:hAnsi="Arial" w:cs="Arial" w:hint="default"/>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nsid w:val="26471AEB"/>
    <w:multiLevelType w:val="hybridMultilevel"/>
    <w:tmpl w:val="E490F7A8"/>
    <w:lvl w:ilvl="0" w:tplc="0C090019">
      <w:start w:val="1"/>
      <w:numFmt w:val="lowerLetter"/>
      <w:lvlText w:val="%1."/>
      <w:lvlJc w:val="left"/>
      <w:pPr>
        <w:tabs>
          <w:tab w:val="num" w:pos="1134"/>
        </w:tabs>
        <w:ind w:left="1134" w:hanging="567"/>
      </w:pPr>
      <w:rPr>
        <w:rFonts w:hint="default"/>
      </w:rPr>
    </w:lvl>
    <w:lvl w:ilvl="1" w:tplc="0C090019">
      <w:start w:val="1"/>
      <w:numFmt w:val="lowerLetter"/>
      <w:lvlText w:val="%2."/>
      <w:lvlJc w:val="left"/>
      <w:pPr>
        <w:tabs>
          <w:tab w:val="num" w:pos="2007"/>
        </w:tabs>
        <w:ind w:left="2007" w:hanging="360"/>
      </w:pPr>
    </w:lvl>
    <w:lvl w:ilvl="2" w:tplc="0680CE72">
      <w:start w:val="1"/>
      <w:numFmt w:val="bullet"/>
      <w:lvlText w:val="-"/>
      <w:lvlJc w:val="left"/>
      <w:pPr>
        <w:ind w:left="2907" w:hanging="360"/>
      </w:pPr>
      <w:rPr>
        <w:rFonts w:ascii="Arial" w:eastAsia="Times New Roman" w:hAnsi="Arial" w:cs="Arial" w:hint="default"/>
      </w:rPr>
    </w:lvl>
    <w:lvl w:ilvl="3" w:tplc="0C09000F" w:tentative="1">
      <w:start w:val="1"/>
      <w:numFmt w:val="decimal"/>
      <w:lvlText w:val="%4."/>
      <w:lvlJc w:val="left"/>
      <w:pPr>
        <w:tabs>
          <w:tab w:val="num" w:pos="3447"/>
        </w:tabs>
        <w:ind w:left="3447" w:hanging="360"/>
      </w:pPr>
    </w:lvl>
    <w:lvl w:ilvl="4" w:tplc="0C090019" w:tentative="1">
      <w:start w:val="1"/>
      <w:numFmt w:val="lowerLetter"/>
      <w:lvlText w:val="%5."/>
      <w:lvlJc w:val="left"/>
      <w:pPr>
        <w:tabs>
          <w:tab w:val="num" w:pos="4167"/>
        </w:tabs>
        <w:ind w:left="4167" w:hanging="360"/>
      </w:pPr>
    </w:lvl>
    <w:lvl w:ilvl="5" w:tplc="0C09001B" w:tentative="1">
      <w:start w:val="1"/>
      <w:numFmt w:val="lowerRoman"/>
      <w:lvlText w:val="%6."/>
      <w:lvlJc w:val="right"/>
      <w:pPr>
        <w:tabs>
          <w:tab w:val="num" w:pos="4887"/>
        </w:tabs>
        <w:ind w:left="4887" w:hanging="180"/>
      </w:pPr>
    </w:lvl>
    <w:lvl w:ilvl="6" w:tplc="0C09000F" w:tentative="1">
      <w:start w:val="1"/>
      <w:numFmt w:val="decimal"/>
      <w:lvlText w:val="%7."/>
      <w:lvlJc w:val="left"/>
      <w:pPr>
        <w:tabs>
          <w:tab w:val="num" w:pos="5607"/>
        </w:tabs>
        <w:ind w:left="5607" w:hanging="360"/>
      </w:pPr>
    </w:lvl>
    <w:lvl w:ilvl="7" w:tplc="0C090019" w:tentative="1">
      <w:start w:val="1"/>
      <w:numFmt w:val="lowerLetter"/>
      <w:lvlText w:val="%8."/>
      <w:lvlJc w:val="left"/>
      <w:pPr>
        <w:tabs>
          <w:tab w:val="num" w:pos="6327"/>
        </w:tabs>
        <w:ind w:left="6327" w:hanging="360"/>
      </w:pPr>
    </w:lvl>
    <w:lvl w:ilvl="8" w:tplc="0C09001B" w:tentative="1">
      <w:start w:val="1"/>
      <w:numFmt w:val="lowerRoman"/>
      <w:lvlText w:val="%9."/>
      <w:lvlJc w:val="right"/>
      <w:pPr>
        <w:tabs>
          <w:tab w:val="num" w:pos="7047"/>
        </w:tabs>
        <w:ind w:left="7047" w:hanging="180"/>
      </w:pPr>
    </w:lvl>
  </w:abstractNum>
  <w:abstractNum w:abstractNumId="9">
    <w:nsid w:val="26C5125A"/>
    <w:multiLevelType w:val="hybridMultilevel"/>
    <w:tmpl w:val="E490F7A8"/>
    <w:lvl w:ilvl="0" w:tplc="0C090019">
      <w:start w:val="1"/>
      <w:numFmt w:val="lowerLetter"/>
      <w:lvlText w:val="%1."/>
      <w:lvlJc w:val="left"/>
      <w:pPr>
        <w:tabs>
          <w:tab w:val="num" w:pos="1134"/>
        </w:tabs>
        <w:ind w:left="1134" w:hanging="567"/>
      </w:pPr>
      <w:rPr>
        <w:rFonts w:hint="default"/>
      </w:rPr>
    </w:lvl>
    <w:lvl w:ilvl="1" w:tplc="0C090019">
      <w:start w:val="1"/>
      <w:numFmt w:val="lowerLetter"/>
      <w:lvlText w:val="%2."/>
      <w:lvlJc w:val="left"/>
      <w:pPr>
        <w:tabs>
          <w:tab w:val="num" w:pos="2007"/>
        </w:tabs>
        <w:ind w:left="2007" w:hanging="360"/>
      </w:pPr>
    </w:lvl>
    <w:lvl w:ilvl="2" w:tplc="0680CE72">
      <w:start w:val="1"/>
      <w:numFmt w:val="bullet"/>
      <w:lvlText w:val="-"/>
      <w:lvlJc w:val="left"/>
      <w:pPr>
        <w:ind w:left="2907" w:hanging="360"/>
      </w:pPr>
      <w:rPr>
        <w:rFonts w:ascii="Arial" w:eastAsia="Times New Roman" w:hAnsi="Arial" w:cs="Arial" w:hint="default"/>
      </w:rPr>
    </w:lvl>
    <w:lvl w:ilvl="3" w:tplc="0C09000F" w:tentative="1">
      <w:start w:val="1"/>
      <w:numFmt w:val="decimal"/>
      <w:lvlText w:val="%4."/>
      <w:lvlJc w:val="left"/>
      <w:pPr>
        <w:tabs>
          <w:tab w:val="num" w:pos="3447"/>
        </w:tabs>
        <w:ind w:left="3447" w:hanging="360"/>
      </w:pPr>
    </w:lvl>
    <w:lvl w:ilvl="4" w:tplc="0C090019" w:tentative="1">
      <w:start w:val="1"/>
      <w:numFmt w:val="lowerLetter"/>
      <w:lvlText w:val="%5."/>
      <w:lvlJc w:val="left"/>
      <w:pPr>
        <w:tabs>
          <w:tab w:val="num" w:pos="4167"/>
        </w:tabs>
        <w:ind w:left="4167" w:hanging="360"/>
      </w:pPr>
    </w:lvl>
    <w:lvl w:ilvl="5" w:tplc="0C09001B" w:tentative="1">
      <w:start w:val="1"/>
      <w:numFmt w:val="lowerRoman"/>
      <w:lvlText w:val="%6."/>
      <w:lvlJc w:val="right"/>
      <w:pPr>
        <w:tabs>
          <w:tab w:val="num" w:pos="4887"/>
        </w:tabs>
        <w:ind w:left="4887" w:hanging="180"/>
      </w:pPr>
    </w:lvl>
    <w:lvl w:ilvl="6" w:tplc="0C09000F" w:tentative="1">
      <w:start w:val="1"/>
      <w:numFmt w:val="decimal"/>
      <w:lvlText w:val="%7."/>
      <w:lvlJc w:val="left"/>
      <w:pPr>
        <w:tabs>
          <w:tab w:val="num" w:pos="5607"/>
        </w:tabs>
        <w:ind w:left="5607" w:hanging="360"/>
      </w:pPr>
    </w:lvl>
    <w:lvl w:ilvl="7" w:tplc="0C090019" w:tentative="1">
      <w:start w:val="1"/>
      <w:numFmt w:val="lowerLetter"/>
      <w:lvlText w:val="%8."/>
      <w:lvlJc w:val="left"/>
      <w:pPr>
        <w:tabs>
          <w:tab w:val="num" w:pos="6327"/>
        </w:tabs>
        <w:ind w:left="6327" w:hanging="360"/>
      </w:pPr>
    </w:lvl>
    <w:lvl w:ilvl="8" w:tplc="0C09001B" w:tentative="1">
      <w:start w:val="1"/>
      <w:numFmt w:val="lowerRoman"/>
      <w:lvlText w:val="%9."/>
      <w:lvlJc w:val="right"/>
      <w:pPr>
        <w:tabs>
          <w:tab w:val="num" w:pos="7047"/>
        </w:tabs>
        <w:ind w:left="7047" w:hanging="180"/>
      </w:pPr>
    </w:lvl>
  </w:abstractNum>
  <w:abstractNum w:abstractNumId="10">
    <w:nsid w:val="26DD3570"/>
    <w:multiLevelType w:val="hybridMultilevel"/>
    <w:tmpl w:val="84508490"/>
    <w:lvl w:ilvl="0" w:tplc="0C090019">
      <w:start w:val="1"/>
      <w:numFmt w:val="lowerLetter"/>
      <w:lvlText w:val="%1."/>
      <w:lvlJc w:val="left"/>
      <w:pPr>
        <w:tabs>
          <w:tab w:val="num" w:pos="1134"/>
        </w:tabs>
        <w:ind w:left="1134" w:hanging="567"/>
      </w:pPr>
      <w:rPr>
        <w:rFonts w:hint="default"/>
      </w:rPr>
    </w:lvl>
    <w:lvl w:ilvl="1" w:tplc="0C090019">
      <w:start w:val="1"/>
      <w:numFmt w:val="lowerLetter"/>
      <w:lvlText w:val="%2."/>
      <w:lvlJc w:val="left"/>
      <w:pPr>
        <w:tabs>
          <w:tab w:val="num" w:pos="2007"/>
        </w:tabs>
        <w:ind w:left="2007" w:hanging="360"/>
      </w:pPr>
    </w:lvl>
    <w:lvl w:ilvl="2" w:tplc="0C09001B">
      <w:start w:val="1"/>
      <w:numFmt w:val="lowerRoman"/>
      <w:lvlText w:val="%3."/>
      <w:lvlJc w:val="right"/>
      <w:pPr>
        <w:tabs>
          <w:tab w:val="num" w:pos="2727"/>
        </w:tabs>
        <w:ind w:left="2727" w:hanging="180"/>
      </w:pPr>
    </w:lvl>
    <w:lvl w:ilvl="3" w:tplc="0C09000F" w:tentative="1">
      <w:start w:val="1"/>
      <w:numFmt w:val="decimal"/>
      <w:lvlText w:val="%4."/>
      <w:lvlJc w:val="left"/>
      <w:pPr>
        <w:tabs>
          <w:tab w:val="num" w:pos="3447"/>
        </w:tabs>
        <w:ind w:left="3447" w:hanging="360"/>
      </w:pPr>
    </w:lvl>
    <w:lvl w:ilvl="4" w:tplc="0C090019" w:tentative="1">
      <w:start w:val="1"/>
      <w:numFmt w:val="lowerLetter"/>
      <w:lvlText w:val="%5."/>
      <w:lvlJc w:val="left"/>
      <w:pPr>
        <w:tabs>
          <w:tab w:val="num" w:pos="4167"/>
        </w:tabs>
        <w:ind w:left="4167" w:hanging="360"/>
      </w:pPr>
    </w:lvl>
    <w:lvl w:ilvl="5" w:tplc="0C09001B" w:tentative="1">
      <w:start w:val="1"/>
      <w:numFmt w:val="lowerRoman"/>
      <w:lvlText w:val="%6."/>
      <w:lvlJc w:val="right"/>
      <w:pPr>
        <w:tabs>
          <w:tab w:val="num" w:pos="4887"/>
        </w:tabs>
        <w:ind w:left="4887" w:hanging="180"/>
      </w:pPr>
    </w:lvl>
    <w:lvl w:ilvl="6" w:tplc="0C09000F" w:tentative="1">
      <w:start w:val="1"/>
      <w:numFmt w:val="decimal"/>
      <w:lvlText w:val="%7."/>
      <w:lvlJc w:val="left"/>
      <w:pPr>
        <w:tabs>
          <w:tab w:val="num" w:pos="5607"/>
        </w:tabs>
        <w:ind w:left="5607" w:hanging="360"/>
      </w:pPr>
    </w:lvl>
    <w:lvl w:ilvl="7" w:tplc="0C090019" w:tentative="1">
      <w:start w:val="1"/>
      <w:numFmt w:val="lowerLetter"/>
      <w:lvlText w:val="%8."/>
      <w:lvlJc w:val="left"/>
      <w:pPr>
        <w:tabs>
          <w:tab w:val="num" w:pos="6327"/>
        </w:tabs>
        <w:ind w:left="6327" w:hanging="360"/>
      </w:pPr>
    </w:lvl>
    <w:lvl w:ilvl="8" w:tplc="0C09001B" w:tentative="1">
      <w:start w:val="1"/>
      <w:numFmt w:val="lowerRoman"/>
      <w:lvlText w:val="%9."/>
      <w:lvlJc w:val="right"/>
      <w:pPr>
        <w:tabs>
          <w:tab w:val="num" w:pos="7047"/>
        </w:tabs>
        <w:ind w:left="7047" w:hanging="180"/>
      </w:pPr>
    </w:lvl>
  </w:abstractNum>
  <w:abstractNum w:abstractNumId="11">
    <w:nsid w:val="29CA7849"/>
    <w:multiLevelType w:val="hybridMultilevel"/>
    <w:tmpl w:val="A3D233B6"/>
    <w:lvl w:ilvl="0" w:tplc="0C090019">
      <w:start w:val="1"/>
      <w:numFmt w:val="lowerLetter"/>
      <w:lvlText w:val="%1."/>
      <w:lvlJc w:val="left"/>
      <w:pPr>
        <w:ind w:left="927" w:hanging="360"/>
      </w:p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12">
    <w:nsid w:val="29F8494C"/>
    <w:multiLevelType w:val="hybridMultilevel"/>
    <w:tmpl w:val="54B2C1A2"/>
    <w:lvl w:ilvl="0" w:tplc="0C090019">
      <w:start w:val="1"/>
      <w:numFmt w:val="lowerLetter"/>
      <w:lvlText w:val="%1."/>
      <w:lvlJc w:val="left"/>
      <w:pPr>
        <w:tabs>
          <w:tab w:val="num" w:pos="1134"/>
        </w:tabs>
        <w:ind w:left="1134" w:hanging="567"/>
      </w:pPr>
      <w:rPr>
        <w:rFonts w:hint="default"/>
      </w:rPr>
    </w:lvl>
    <w:lvl w:ilvl="1" w:tplc="0C090019">
      <w:start w:val="1"/>
      <w:numFmt w:val="lowerLetter"/>
      <w:lvlText w:val="%2."/>
      <w:lvlJc w:val="left"/>
      <w:pPr>
        <w:tabs>
          <w:tab w:val="num" w:pos="2007"/>
        </w:tabs>
        <w:ind w:left="2007" w:hanging="360"/>
      </w:pPr>
    </w:lvl>
    <w:lvl w:ilvl="2" w:tplc="0680CE72">
      <w:start w:val="1"/>
      <w:numFmt w:val="bullet"/>
      <w:lvlText w:val="-"/>
      <w:lvlJc w:val="left"/>
      <w:pPr>
        <w:ind w:left="2907" w:hanging="360"/>
      </w:pPr>
      <w:rPr>
        <w:rFonts w:ascii="Arial" w:eastAsia="Times New Roman" w:hAnsi="Arial" w:cs="Arial" w:hint="default"/>
      </w:rPr>
    </w:lvl>
    <w:lvl w:ilvl="3" w:tplc="0C09000F" w:tentative="1">
      <w:start w:val="1"/>
      <w:numFmt w:val="decimal"/>
      <w:lvlText w:val="%4."/>
      <w:lvlJc w:val="left"/>
      <w:pPr>
        <w:tabs>
          <w:tab w:val="num" w:pos="3447"/>
        </w:tabs>
        <w:ind w:left="3447" w:hanging="360"/>
      </w:pPr>
    </w:lvl>
    <w:lvl w:ilvl="4" w:tplc="0C090019" w:tentative="1">
      <w:start w:val="1"/>
      <w:numFmt w:val="lowerLetter"/>
      <w:lvlText w:val="%5."/>
      <w:lvlJc w:val="left"/>
      <w:pPr>
        <w:tabs>
          <w:tab w:val="num" w:pos="4167"/>
        </w:tabs>
        <w:ind w:left="4167" w:hanging="360"/>
      </w:pPr>
    </w:lvl>
    <w:lvl w:ilvl="5" w:tplc="0C09001B" w:tentative="1">
      <w:start w:val="1"/>
      <w:numFmt w:val="lowerRoman"/>
      <w:lvlText w:val="%6."/>
      <w:lvlJc w:val="right"/>
      <w:pPr>
        <w:tabs>
          <w:tab w:val="num" w:pos="4887"/>
        </w:tabs>
        <w:ind w:left="4887" w:hanging="180"/>
      </w:pPr>
    </w:lvl>
    <w:lvl w:ilvl="6" w:tplc="0C09000F" w:tentative="1">
      <w:start w:val="1"/>
      <w:numFmt w:val="decimal"/>
      <w:lvlText w:val="%7."/>
      <w:lvlJc w:val="left"/>
      <w:pPr>
        <w:tabs>
          <w:tab w:val="num" w:pos="5607"/>
        </w:tabs>
        <w:ind w:left="5607" w:hanging="360"/>
      </w:pPr>
    </w:lvl>
    <w:lvl w:ilvl="7" w:tplc="0C090019" w:tentative="1">
      <w:start w:val="1"/>
      <w:numFmt w:val="lowerLetter"/>
      <w:lvlText w:val="%8."/>
      <w:lvlJc w:val="left"/>
      <w:pPr>
        <w:tabs>
          <w:tab w:val="num" w:pos="6327"/>
        </w:tabs>
        <w:ind w:left="6327" w:hanging="360"/>
      </w:pPr>
    </w:lvl>
    <w:lvl w:ilvl="8" w:tplc="0C09001B" w:tentative="1">
      <w:start w:val="1"/>
      <w:numFmt w:val="lowerRoman"/>
      <w:lvlText w:val="%9."/>
      <w:lvlJc w:val="right"/>
      <w:pPr>
        <w:tabs>
          <w:tab w:val="num" w:pos="7047"/>
        </w:tabs>
        <w:ind w:left="7047" w:hanging="180"/>
      </w:pPr>
    </w:lvl>
  </w:abstractNum>
  <w:abstractNum w:abstractNumId="13">
    <w:nsid w:val="2FAE51E9"/>
    <w:multiLevelType w:val="hybridMultilevel"/>
    <w:tmpl w:val="2EF4B780"/>
    <w:lvl w:ilvl="0" w:tplc="0C090019">
      <w:start w:val="1"/>
      <w:numFmt w:val="lowerLetter"/>
      <w:lvlText w:val="%1."/>
      <w:lvlJc w:val="left"/>
      <w:pPr>
        <w:tabs>
          <w:tab w:val="num" w:pos="1134"/>
        </w:tabs>
        <w:ind w:left="1134" w:hanging="567"/>
      </w:pPr>
      <w:rPr>
        <w:rFonts w:hint="default"/>
      </w:rPr>
    </w:lvl>
    <w:lvl w:ilvl="1" w:tplc="0C090019">
      <w:start w:val="1"/>
      <w:numFmt w:val="lowerLetter"/>
      <w:lvlText w:val="%2."/>
      <w:lvlJc w:val="left"/>
      <w:pPr>
        <w:tabs>
          <w:tab w:val="num" w:pos="2007"/>
        </w:tabs>
        <w:ind w:left="2007" w:hanging="360"/>
      </w:pPr>
    </w:lvl>
    <w:lvl w:ilvl="2" w:tplc="0680CE72">
      <w:start w:val="1"/>
      <w:numFmt w:val="bullet"/>
      <w:lvlText w:val="-"/>
      <w:lvlJc w:val="left"/>
      <w:pPr>
        <w:ind w:left="2907" w:hanging="360"/>
      </w:pPr>
      <w:rPr>
        <w:rFonts w:ascii="Arial" w:eastAsia="Times New Roman" w:hAnsi="Arial" w:cs="Arial" w:hint="default"/>
      </w:rPr>
    </w:lvl>
    <w:lvl w:ilvl="3" w:tplc="0C09000F" w:tentative="1">
      <w:start w:val="1"/>
      <w:numFmt w:val="decimal"/>
      <w:lvlText w:val="%4."/>
      <w:lvlJc w:val="left"/>
      <w:pPr>
        <w:tabs>
          <w:tab w:val="num" w:pos="3447"/>
        </w:tabs>
        <w:ind w:left="3447" w:hanging="360"/>
      </w:pPr>
    </w:lvl>
    <w:lvl w:ilvl="4" w:tplc="0C090019" w:tentative="1">
      <w:start w:val="1"/>
      <w:numFmt w:val="lowerLetter"/>
      <w:lvlText w:val="%5."/>
      <w:lvlJc w:val="left"/>
      <w:pPr>
        <w:tabs>
          <w:tab w:val="num" w:pos="4167"/>
        </w:tabs>
        <w:ind w:left="4167" w:hanging="360"/>
      </w:pPr>
    </w:lvl>
    <w:lvl w:ilvl="5" w:tplc="0C09001B" w:tentative="1">
      <w:start w:val="1"/>
      <w:numFmt w:val="lowerRoman"/>
      <w:lvlText w:val="%6."/>
      <w:lvlJc w:val="right"/>
      <w:pPr>
        <w:tabs>
          <w:tab w:val="num" w:pos="4887"/>
        </w:tabs>
        <w:ind w:left="4887" w:hanging="180"/>
      </w:pPr>
    </w:lvl>
    <w:lvl w:ilvl="6" w:tplc="0C09000F" w:tentative="1">
      <w:start w:val="1"/>
      <w:numFmt w:val="decimal"/>
      <w:lvlText w:val="%7."/>
      <w:lvlJc w:val="left"/>
      <w:pPr>
        <w:tabs>
          <w:tab w:val="num" w:pos="5607"/>
        </w:tabs>
        <w:ind w:left="5607" w:hanging="360"/>
      </w:pPr>
    </w:lvl>
    <w:lvl w:ilvl="7" w:tplc="0C090019" w:tentative="1">
      <w:start w:val="1"/>
      <w:numFmt w:val="lowerLetter"/>
      <w:lvlText w:val="%8."/>
      <w:lvlJc w:val="left"/>
      <w:pPr>
        <w:tabs>
          <w:tab w:val="num" w:pos="6327"/>
        </w:tabs>
        <w:ind w:left="6327" w:hanging="360"/>
      </w:pPr>
    </w:lvl>
    <w:lvl w:ilvl="8" w:tplc="0C09001B" w:tentative="1">
      <w:start w:val="1"/>
      <w:numFmt w:val="lowerRoman"/>
      <w:lvlText w:val="%9."/>
      <w:lvlJc w:val="right"/>
      <w:pPr>
        <w:tabs>
          <w:tab w:val="num" w:pos="7047"/>
        </w:tabs>
        <w:ind w:left="7047" w:hanging="180"/>
      </w:pPr>
    </w:lvl>
  </w:abstractNum>
  <w:abstractNum w:abstractNumId="14">
    <w:nsid w:val="309F0F5B"/>
    <w:multiLevelType w:val="hybridMultilevel"/>
    <w:tmpl w:val="9B98861C"/>
    <w:lvl w:ilvl="0" w:tplc="0C090019">
      <w:start w:val="1"/>
      <w:numFmt w:val="lowerLetter"/>
      <w:lvlText w:val="%1."/>
      <w:lvlJc w:val="left"/>
      <w:pPr>
        <w:tabs>
          <w:tab w:val="num" w:pos="1134"/>
        </w:tabs>
        <w:ind w:left="1134" w:hanging="567"/>
      </w:pPr>
      <w:rPr>
        <w:rFonts w:hint="default"/>
      </w:rPr>
    </w:lvl>
    <w:lvl w:ilvl="1" w:tplc="0C090019">
      <w:start w:val="1"/>
      <w:numFmt w:val="lowerLetter"/>
      <w:lvlText w:val="%2."/>
      <w:lvlJc w:val="left"/>
      <w:pPr>
        <w:tabs>
          <w:tab w:val="num" w:pos="2007"/>
        </w:tabs>
        <w:ind w:left="2007" w:hanging="360"/>
      </w:pPr>
    </w:lvl>
    <w:lvl w:ilvl="2" w:tplc="0680CE72">
      <w:start w:val="1"/>
      <w:numFmt w:val="bullet"/>
      <w:lvlText w:val="-"/>
      <w:lvlJc w:val="left"/>
      <w:pPr>
        <w:ind w:left="2907" w:hanging="360"/>
      </w:pPr>
      <w:rPr>
        <w:rFonts w:ascii="Arial" w:eastAsia="Times New Roman" w:hAnsi="Arial" w:cs="Arial" w:hint="default"/>
      </w:rPr>
    </w:lvl>
    <w:lvl w:ilvl="3" w:tplc="0C09000F" w:tentative="1">
      <w:start w:val="1"/>
      <w:numFmt w:val="decimal"/>
      <w:lvlText w:val="%4."/>
      <w:lvlJc w:val="left"/>
      <w:pPr>
        <w:tabs>
          <w:tab w:val="num" w:pos="3447"/>
        </w:tabs>
        <w:ind w:left="3447" w:hanging="360"/>
      </w:pPr>
    </w:lvl>
    <w:lvl w:ilvl="4" w:tplc="0C090019" w:tentative="1">
      <w:start w:val="1"/>
      <w:numFmt w:val="lowerLetter"/>
      <w:lvlText w:val="%5."/>
      <w:lvlJc w:val="left"/>
      <w:pPr>
        <w:tabs>
          <w:tab w:val="num" w:pos="4167"/>
        </w:tabs>
        <w:ind w:left="4167" w:hanging="360"/>
      </w:pPr>
    </w:lvl>
    <w:lvl w:ilvl="5" w:tplc="0C09001B" w:tentative="1">
      <w:start w:val="1"/>
      <w:numFmt w:val="lowerRoman"/>
      <w:lvlText w:val="%6."/>
      <w:lvlJc w:val="right"/>
      <w:pPr>
        <w:tabs>
          <w:tab w:val="num" w:pos="4887"/>
        </w:tabs>
        <w:ind w:left="4887" w:hanging="180"/>
      </w:pPr>
    </w:lvl>
    <w:lvl w:ilvl="6" w:tplc="0C09000F" w:tentative="1">
      <w:start w:val="1"/>
      <w:numFmt w:val="decimal"/>
      <w:lvlText w:val="%7."/>
      <w:lvlJc w:val="left"/>
      <w:pPr>
        <w:tabs>
          <w:tab w:val="num" w:pos="5607"/>
        </w:tabs>
        <w:ind w:left="5607" w:hanging="360"/>
      </w:pPr>
    </w:lvl>
    <w:lvl w:ilvl="7" w:tplc="0C090019" w:tentative="1">
      <w:start w:val="1"/>
      <w:numFmt w:val="lowerLetter"/>
      <w:lvlText w:val="%8."/>
      <w:lvlJc w:val="left"/>
      <w:pPr>
        <w:tabs>
          <w:tab w:val="num" w:pos="6327"/>
        </w:tabs>
        <w:ind w:left="6327" w:hanging="360"/>
      </w:pPr>
    </w:lvl>
    <w:lvl w:ilvl="8" w:tplc="0C09001B" w:tentative="1">
      <w:start w:val="1"/>
      <w:numFmt w:val="lowerRoman"/>
      <w:lvlText w:val="%9."/>
      <w:lvlJc w:val="right"/>
      <w:pPr>
        <w:tabs>
          <w:tab w:val="num" w:pos="7047"/>
        </w:tabs>
        <w:ind w:left="7047" w:hanging="180"/>
      </w:pPr>
    </w:lvl>
  </w:abstractNum>
  <w:abstractNum w:abstractNumId="15">
    <w:nsid w:val="3BE509FD"/>
    <w:multiLevelType w:val="hybridMultilevel"/>
    <w:tmpl w:val="2DA43CD4"/>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nsid w:val="405E078E"/>
    <w:multiLevelType w:val="hybridMultilevel"/>
    <w:tmpl w:val="17740768"/>
    <w:lvl w:ilvl="0" w:tplc="0C090019">
      <w:start w:val="1"/>
      <w:numFmt w:val="lowerLetter"/>
      <w:lvlText w:val="%1."/>
      <w:lvlJc w:val="left"/>
      <w:pPr>
        <w:tabs>
          <w:tab w:val="num" w:pos="1134"/>
        </w:tabs>
        <w:ind w:left="1134" w:hanging="567"/>
      </w:pPr>
      <w:rPr>
        <w:rFonts w:hint="default"/>
      </w:rPr>
    </w:lvl>
    <w:lvl w:ilvl="1" w:tplc="0C090019">
      <w:start w:val="1"/>
      <w:numFmt w:val="lowerLetter"/>
      <w:lvlText w:val="%2."/>
      <w:lvlJc w:val="left"/>
      <w:pPr>
        <w:tabs>
          <w:tab w:val="num" w:pos="2007"/>
        </w:tabs>
        <w:ind w:left="2007" w:hanging="360"/>
      </w:pPr>
    </w:lvl>
    <w:lvl w:ilvl="2" w:tplc="0C09001B">
      <w:start w:val="1"/>
      <w:numFmt w:val="lowerRoman"/>
      <w:lvlText w:val="%3."/>
      <w:lvlJc w:val="right"/>
      <w:pPr>
        <w:tabs>
          <w:tab w:val="num" w:pos="2727"/>
        </w:tabs>
        <w:ind w:left="2727" w:hanging="180"/>
      </w:pPr>
    </w:lvl>
    <w:lvl w:ilvl="3" w:tplc="0C09000F" w:tentative="1">
      <w:start w:val="1"/>
      <w:numFmt w:val="decimal"/>
      <w:lvlText w:val="%4."/>
      <w:lvlJc w:val="left"/>
      <w:pPr>
        <w:tabs>
          <w:tab w:val="num" w:pos="3447"/>
        </w:tabs>
        <w:ind w:left="3447" w:hanging="360"/>
      </w:pPr>
    </w:lvl>
    <w:lvl w:ilvl="4" w:tplc="0C090019" w:tentative="1">
      <w:start w:val="1"/>
      <w:numFmt w:val="lowerLetter"/>
      <w:lvlText w:val="%5."/>
      <w:lvlJc w:val="left"/>
      <w:pPr>
        <w:tabs>
          <w:tab w:val="num" w:pos="4167"/>
        </w:tabs>
        <w:ind w:left="4167" w:hanging="360"/>
      </w:pPr>
    </w:lvl>
    <w:lvl w:ilvl="5" w:tplc="0C09001B" w:tentative="1">
      <w:start w:val="1"/>
      <w:numFmt w:val="lowerRoman"/>
      <w:lvlText w:val="%6."/>
      <w:lvlJc w:val="right"/>
      <w:pPr>
        <w:tabs>
          <w:tab w:val="num" w:pos="4887"/>
        </w:tabs>
        <w:ind w:left="4887" w:hanging="180"/>
      </w:pPr>
    </w:lvl>
    <w:lvl w:ilvl="6" w:tplc="0C09000F" w:tentative="1">
      <w:start w:val="1"/>
      <w:numFmt w:val="decimal"/>
      <w:lvlText w:val="%7."/>
      <w:lvlJc w:val="left"/>
      <w:pPr>
        <w:tabs>
          <w:tab w:val="num" w:pos="5607"/>
        </w:tabs>
        <w:ind w:left="5607" w:hanging="360"/>
      </w:pPr>
    </w:lvl>
    <w:lvl w:ilvl="7" w:tplc="0C090019" w:tentative="1">
      <w:start w:val="1"/>
      <w:numFmt w:val="lowerLetter"/>
      <w:lvlText w:val="%8."/>
      <w:lvlJc w:val="left"/>
      <w:pPr>
        <w:tabs>
          <w:tab w:val="num" w:pos="6327"/>
        </w:tabs>
        <w:ind w:left="6327" w:hanging="360"/>
      </w:pPr>
    </w:lvl>
    <w:lvl w:ilvl="8" w:tplc="0C09001B" w:tentative="1">
      <w:start w:val="1"/>
      <w:numFmt w:val="lowerRoman"/>
      <w:lvlText w:val="%9."/>
      <w:lvlJc w:val="right"/>
      <w:pPr>
        <w:tabs>
          <w:tab w:val="num" w:pos="7047"/>
        </w:tabs>
        <w:ind w:left="7047" w:hanging="180"/>
      </w:pPr>
    </w:lvl>
  </w:abstractNum>
  <w:abstractNum w:abstractNumId="17">
    <w:nsid w:val="44E305FB"/>
    <w:multiLevelType w:val="multilevel"/>
    <w:tmpl w:val="A776FF52"/>
    <w:lvl w:ilvl="0">
      <w:start w:val="1"/>
      <w:numFmt w:val="decimal"/>
      <w:lvlText w:val="%1."/>
      <w:lvlJc w:val="left"/>
      <w:pPr>
        <w:tabs>
          <w:tab w:val="num" w:pos="2629"/>
        </w:tabs>
        <w:ind w:left="2629" w:hanging="360"/>
      </w:pPr>
      <w:rPr>
        <w:rFonts w:hint="default"/>
        <w:i w:val="0"/>
        <w:sz w:val="24"/>
      </w:rPr>
    </w:lvl>
    <w:lvl w:ilvl="1">
      <w:start w:val="1"/>
      <w:numFmt w:val="bullet"/>
      <w:lvlText w:val=""/>
      <w:lvlJc w:val="left"/>
      <w:pPr>
        <w:tabs>
          <w:tab w:val="num" w:pos="720"/>
        </w:tabs>
        <w:ind w:left="720" w:hanging="360"/>
      </w:pPr>
      <w:rPr>
        <w:rFonts w:ascii="Wingdings" w:hAnsi="Wingdings" w:hint="default"/>
        <w:sz w:val="12"/>
      </w:rPr>
    </w:lvl>
    <w:lvl w:ilvl="2">
      <w:start w:val="1"/>
      <w:numFmt w:val="bullet"/>
      <w:lvlText w:val="–"/>
      <w:lvlJc w:val="left"/>
      <w:pPr>
        <w:tabs>
          <w:tab w:val="num" w:pos="1080"/>
        </w:tabs>
        <w:ind w:left="1080" w:hanging="360"/>
      </w:pPr>
      <w:rPr>
        <w:rFonts w:ascii="Times New Roman" w:hAnsi="Times New Roman" w:hint="default"/>
        <w:sz w:val="24"/>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8">
    <w:nsid w:val="4D2D0D09"/>
    <w:multiLevelType w:val="hybridMultilevel"/>
    <w:tmpl w:val="373C4CD0"/>
    <w:lvl w:ilvl="0" w:tplc="5E0A30CA">
      <w:start w:val="1"/>
      <w:numFmt w:val="decimal"/>
      <w:pStyle w:val="stdparanumbered"/>
      <w:lvlText w:val="%1."/>
      <w:lvlJc w:val="left"/>
      <w:pPr>
        <w:tabs>
          <w:tab w:val="num" w:pos="357"/>
        </w:tabs>
        <w:ind w:left="357" w:hanging="357"/>
      </w:pPr>
      <w:rPr>
        <w:rFonts w:ascii="Times" w:hAnsi="Times" w:hint="default"/>
        <w:b w:val="0"/>
        <w:szCs w:val="24"/>
      </w:rPr>
    </w:lvl>
    <w:lvl w:ilvl="1" w:tplc="037264EA">
      <w:start w:val="2"/>
      <w:numFmt w:val="bullet"/>
      <w:lvlText w:val=""/>
      <w:lvlJc w:val="left"/>
      <w:pPr>
        <w:tabs>
          <w:tab w:val="num" w:pos="1437"/>
        </w:tabs>
        <w:ind w:left="1437" w:hanging="357"/>
      </w:pPr>
      <w:rPr>
        <w:rFonts w:ascii="Symbol" w:hAnsi="Symbol" w:hint="default"/>
        <w:sz w:val="24"/>
        <w:szCs w:val="24"/>
      </w:rPr>
    </w:lvl>
    <w:lvl w:ilvl="2" w:tplc="FBEA0A24" w:tentative="1">
      <w:start w:val="1"/>
      <w:numFmt w:val="lowerRoman"/>
      <w:lvlText w:val="%3."/>
      <w:lvlJc w:val="right"/>
      <w:pPr>
        <w:tabs>
          <w:tab w:val="num" w:pos="2160"/>
        </w:tabs>
        <w:ind w:left="2160" w:hanging="180"/>
      </w:pPr>
    </w:lvl>
    <w:lvl w:ilvl="3" w:tplc="4224E8F8" w:tentative="1">
      <w:start w:val="1"/>
      <w:numFmt w:val="decimal"/>
      <w:lvlText w:val="%4."/>
      <w:lvlJc w:val="left"/>
      <w:pPr>
        <w:tabs>
          <w:tab w:val="num" w:pos="2880"/>
        </w:tabs>
        <w:ind w:left="2880" w:hanging="360"/>
      </w:pPr>
    </w:lvl>
    <w:lvl w:ilvl="4" w:tplc="F2AC5AA0" w:tentative="1">
      <w:start w:val="1"/>
      <w:numFmt w:val="lowerLetter"/>
      <w:lvlText w:val="%5."/>
      <w:lvlJc w:val="left"/>
      <w:pPr>
        <w:tabs>
          <w:tab w:val="num" w:pos="3600"/>
        </w:tabs>
        <w:ind w:left="3600" w:hanging="360"/>
      </w:pPr>
    </w:lvl>
    <w:lvl w:ilvl="5" w:tplc="35CC57D2" w:tentative="1">
      <w:start w:val="1"/>
      <w:numFmt w:val="lowerRoman"/>
      <w:lvlText w:val="%6."/>
      <w:lvlJc w:val="right"/>
      <w:pPr>
        <w:tabs>
          <w:tab w:val="num" w:pos="4320"/>
        </w:tabs>
        <w:ind w:left="4320" w:hanging="180"/>
      </w:pPr>
    </w:lvl>
    <w:lvl w:ilvl="6" w:tplc="8C54E376" w:tentative="1">
      <w:start w:val="1"/>
      <w:numFmt w:val="decimal"/>
      <w:lvlText w:val="%7."/>
      <w:lvlJc w:val="left"/>
      <w:pPr>
        <w:tabs>
          <w:tab w:val="num" w:pos="5040"/>
        </w:tabs>
        <w:ind w:left="5040" w:hanging="360"/>
      </w:pPr>
    </w:lvl>
    <w:lvl w:ilvl="7" w:tplc="DF3CC3EA" w:tentative="1">
      <w:start w:val="1"/>
      <w:numFmt w:val="lowerLetter"/>
      <w:lvlText w:val="%8."/>
      <w:lvlJc w:val="left"/>
      <w:pPr>
        <w:tabs>
          <w:tab w:val="num" w:pos="5760"/>
        </w:tabs>
        <w:ind w:left="5760" w:hanging="360"/>
      </w:pPr>
    </w:lvl>
    <w:lvl w:ilvl="8" w:tplc="58FE90B0" w:tentative="1">
      <w:start w:val="1"/>
      <w:numFmt w:val="lowerRoman"/>
      <w:lvlText w:val="%9."/>
      <w:lvlJc w:val="right"/>
      <w:pPr>
        <w:tabs>
          <w:tab w:val="num" w:pos="6480"/>
        </w:tabs>
        <w:ind w:left="6480" w:hanging="180"/>
      </w:pPr>
    </w:lvl>
  </w:abstractNum>
  <w:abstractNum w:abstractNumId="19">
    <w:nsid w:val="59264396"/>
    <w:multiLevelType w:val="hybridMultilevel"/>
    <w:tmpl w:val="8AEAC91E"/>
    <w:lvl w:ilvl="0" w:tplc="0C090019">
      <w:start w:val="1"/>
      <w:numFmt w:val="lowerLetter"/>
      <w:lvlText w:val="%1."/>
      <w:lvlJc w:val="left"/>
      <w:pPr>
        <w:tabs>
          <w:tab w:val="num" w:pos="1134"/>
        </w:tabs>
        <w:ind w:left="1134" w:hanging="567"/>
      </w:pPr>
      <w:rPr>
        <w:rFonts w:hint="default"/>
      </w:rPr>
    </w:lvl>
    <w:lvl w:ilvl="1" w:tplc="0C090001">
      <w:start w:val="1"/>
      <w:numFmt w:val="bullet"/>
      <w:lvlText w:val=""/>
      <w:lvlJc w:val="left"/>
      <w:pPr>
        <w:tabs>
          <w:tab w:val="num" w:pos="2007"/>
        </w:tabs>
        <w:ind w:left="2007" w:hanging="360"/>
      </w:pPr>
      <w:rPr>
        <w:rFonts w:ascii="Symbol" w:hAnsi="Symbol" w:hint="default"/>
      </w:rPr>
    </w:lvl>
    <w:lvl w:ilvl="2" w:tplc="0680CE72">
      <w:start w:val="1"/>
      <w:numFmt w:val="bullet"/>
      <w:lvlText w:val="-"/>
      <w:lvlJc w:val="left"/>
      <w:pPr>
        <w:ind w:left="2907" w:hanging="360"/>
      </w:pPr>
      <w:rPr>
        <w:rFonts w:ascii="Arial" w:eastAsia="Times New Roman" w:hAnsi="Arial" w:cs="Arial" w:hint="default"/>
      </w:rPr>
    </w:lvl>
    <w:lvl w:ilvl="3" w:tplc="0C09000F" w:tentative="1">
      <w:start w:val="1"/>
      <w:numFmt w:val="decimal"/>
      <w:lvlText w:val="%4."/>
      <w:lvlJc w:val="left"/>
      <w:pPr>
        <w:tabs>
          <w:tab w:val="num" w:pos="3447"/>
        </w:tabs>
        <w:ind w:left="3447" w:hanging="360"/>
      </w:pPr>
    </w:lvl>
    <w:lvl w:ilvl="4" w:tplc="0C090019" w:tentative="1">
      <w:start w:val="1"/>
      <w:numFmt w:val="lowerLetter"/>
      <w:lvlText w:val="%5."/>
      <w:lvlJc w:val="left"/>
      <w:pPr>
        <w:tabs>
          <w:tab w:val="num" w:pos="4167"/>
        </w:tabs>
        <w:ind w:left="4167" w:hanging="360"/>
      </w:pPr>
    </w:lvl>
    <w:lvl w:ilvl="5" w:tplc="0C09001B" w:tentative="1">
      <w:start w:val="1"/>
      <w:numFmt w:val="lowerRoman"/>
      <w:lvlText w:val="%6."/>
      <w:lvlJc w:val="right"/>
      <w:pPr>
        <w:tabs>
          <w:tab w:val="num" w:pos="4887"/>
        </w:tabs>
        <w:ind w:left="4887" w:hanging="180"/>
      </w:pPr>
    </w:lvl>
    <w:lvl w:ilvl="6" w:tplc="0C09000F" w:tentative="1">
      <w:start w:val="1"/>
      <w:numFmt w:val="decimal"/>
      <w:lvlText w:val="%7."/>
      <w:lvlJc w:val="left"/>
      <w:pPr>
        <w:tabs>
          <w:tab w:val="num" w:pos="5607"/>
        </w:tabs>
        <w:ind w:left="5607" w:hanging="360"/>
      </w:pPr>
    </w:lvl>
    <w:lvl w:ilvl="7" w:tplc="0C090019" w:tentative="1">
      <w:start w:val="1"/>
      <w:numFmt w:val="lowerLetter"/>
      <w:lvlText w:val="%8."/>
      <w:lvlJc w:val="left"/>
      <w:pPr>
        <w:tabs>
          <w:tab w:val="num" w:pos="6327"/>
        </w:tabs>
        <w:ind w:left="6327" w:hanging="360"/>
      </w:pPr>
    </w:lvl>
    <w:lvl w:ilvl="8" w:tplc="0C09001B" w:tentative="1">
      <w:start w:val="1"/>
      <w:numFmt w:val="lowerRoman"/>
      <w:lvlText w:val="%9."/>
      <w:lvlJc w:val="right"/>
      <w:pPr>
        <w:tabs>
          <w:tab w:val="num" w:pos="7047"/>
        </w:tabs>
        <w:ind w:left="7047" w:hanging="180"/>
      </w:pPr>
    </w:lvl>
  </w:abstractNum>
  <w:abstractNum w:abstractNumId="20">
    <w:nsid w:val="594905A9"/>
    <w:multiLevelType w:val="hybridMultilevel"/>
    <w:tmpl w:val="E490F7A8"/>
    <w:lvl w:ilvl="0" w:tplc="0C090019">
      <w:start w:val="1"/>
      <w:numFmt w:val="lowerLetter"/>
      <w:lvlText w:val="%1."/>
      <w:lvlJc w:val="left"/>
      <w:pPr>
        <w:tabs>
          <w:tab w:val="num" w:pos="1134"/>
        </w:tabs>
        <w:ind w:left="1134" w:hanging="567"/>
      </w:pPr>
      <w:rPr>
        <w:rFonts w:hint="default"/>
      </w:rPr>
    </w:lvl>
    <w:lvl w:ilvl="1" w:tplc="0C090019">
      <w:start w:val="1"/>
      <w:numFmt w:val="lowerLetter"/>
      <w:lvlText w:val="%2."/>
      <w:lvlJc w:val="left"/>
      <w:pPr>
        <w:tabs>
          <w:tab w:val="num" w:pos="2007"/>
        </w:tabs>
        <w:ind w:left="2007" w:hanging="360"/>
      </w:pPr>
    </w:lvl>
    <w:lvl w:ilvl="2" w:tplc="0680CE72">
      <w:start w:val="1"/>
      <w:numFmt w:val="bullet"/>
      <w:lvlText w:val="-"/>
      <w:lvlJc w:val="left"/>
      <w:pPr>
        <w:ind w:left="2907" w:hanging="360"/>
      </w:pPr>
      <w:rPr>
        <w:rFonts w:ascii="Arial" w:eastAsia="Times New Roman" w:hAnsi="Arial" w:cs="Arial" w:hint="default"/>
      </w:rPr>
    </w:lvl>
    <w:lvl w:ilvl="3" w:tplc="0C09000F" w:tentative="1">
      <w:start w:val="1"/>
      <w:numFmt w:val="decimal"/>
      <w:lvlText w:val="%4."/>
      <w:lvlJc w:val="left"/>
      <w:pPr>
        <w:tabs>
          <w:tab w:val="num" w:pos="3447"/>
        </w:tabs>
        <w:ind w:left="3447" w:hanging="360"/>
      </w:pPr>
    </w:lvl>
    <w:lvl w:ilvl="4" w:tplc="0C090019" w:tentative="1">
      <w:start w:val="1"/>
      <w:numFmt w:val="lowerLetter"/>
      <w:lvlText w:val="%5."/>
      <w:lvlJc w:val="left"/>
      <w:pPr>
        <w:tabs>
          <w:tab w:val="num" w:pos="4167"/>
        </w:tabs>
        <w:ind w:left="4167" w:hanging="360"/>
      </w:pPr>
    </w:lvl>
    <w:lvl w:ilvl="5" w:tplc="0C09001B" w:tentative="1">
      <w:start w:val="1"/>
      <w:numFmt w:val="lowerRoman"/>
      <w:lvlText w:val="%6."/>
      <w:lvlJc w:val="right"/>
      <w:pPr>
        <w:tabs>
          <w:tab w:val="num" w:pos="4887"/>
        </w:tabs>
        <w:ind w:left="4887" w:hanging="180"/>
      </w:pPr>
    </w:lvl>
    <w:lvl w:ilvl="6" w:tplc="0C09000F" w:tentative="1">
      <w:start w:val="1"/>
      <w:numFmt w:val="decimal"/>
      <w:lvlText w:val="%7."/>
      <w:lvlJc w:val="left"/>
      <w:pPr>
        <w:tabs>
          <w:tab w:val="num" w:pos="5607"/>
        </w:tabs>
        <w:ind w:left="5607" w:hanging="360"/>
      </w:pPr>
    </w:lvl>
    <w:lvl w:ilvl="7" w:tplc="0C090019" w:tentative="1">
      <w:start w:val="1"/>
      <w:numFmt w:val="lowerLetter"/>
      <w:lvlText w:val="%8."/>
      <w:lvlJc w:val="left"/>
      <w:pPr>
        <w:tabs>
          <w:tab w:val="num" w:pos="6327"/>
        </w:tabs>
        <w:ind w:left="6327" w:hanging="360"/>
      </w:pPr>
    </w:lvl>
    <w:lvl w:ilvl="8" w:tplc="0C09001B" w:tentative="1">
      <w:start w:val="1"/>
      <w:numFmt w:val="lowerRoman"/>
      <w:lvlText w:val="%9."/>
      <w:lvlJc w:val="right"/>
      <w:pPr>
        <w:tabs>
          <w:tab w:val="num" w:pos="7047"/>
        </w:tabs>
        <w:ind w:left="7047" w:hanging="180"/>
      </w:pPr>
    </w:lvl>
  </w:abstractNum>
  <w:abstractNum w:abstractNumId="21">
    <w:nsid w:val="6B5F583B"/>
    <w:multiLevelType w:val="hybridMultilevel"/>
    <w:tmpl w:val="E490F7A8"/>
    <w:lvl w:ilvl="0" w:tplc="0C090019">
      <w:start w:val="1"/>
      <w:numFmt w:val="lowerLetter"/>
      <w:lvlText w:val="%1."/>
      <w:lvlJc w:val="left"/>
      <w:pPr>
        <w:tabs>
          <w:tab w:val="num" w:pos="1134"/>
        </w:tabs>
        <w:ind w:left="1134" w:hanging="567"/>
      </w:pPr>
      <w:rPr>
        <w:rFonts w:hint="default"/>
      </w:rPr>
    </w:lvl>
    <w:lvl w:ilvl="1" w:tplc="0C090019">
      <w:start w:val="1"/>
      <w:numFmt w:val="lowerLetter"/>
      <w:lvlText w:val="%2."/>
      <w:lvlJc w:val="left"/>
      <w:pPr>
        <w:tabs>
          <w:tab w:val="num" w:pos="2007"/>
        </w:tabs>
        <w:ind w:left="2007" w:hanging="360"/>
      </w:pPr>
    </w:lvl>
    <w:lvl w:ilvl="2" w:tplc="0680CE72">
      <w:start w:val="1"/>
      <w:numFmt w:val="bullet"/>
      <w:lvlText w:val="-"/>
      <w:lvlJc w:val="left"/>
      <w:pPr>
        <w:ind w:left="2907" w:hanging="360"/>
      </w:pPr>
      <w:rPr>
        <w:rFonts w:ascii="Arial" w:eastAsia="Times New Roman" w:hAnsi="Arial" w:cs="Arial" w:hint="default"/>
      </w:rPr>
    </w:lvl>
    <w:lvl w:ilvl="3" w:tplc="0C09000F" w:tentative="1">
      <w:start w:val="1"/>
      <w:numFmt w:val="decimal"/>
      <w:lvlText w:val="%4."/>
      <w:lvlJc w:val="left"/>
      <w:pPr>
        <w:tabs>
          <w:tab w:val="num" w:pos="3447"/>
        </w:tabs>
        <w:ind w:left="3447" w:hanging="360"/>
      </w:pPr>
    </w:lvl>
    <w:lvl w:ilvl="4" w:tplc="0C090019" w:tentative="1">
      <w:start w:val="1"/>
      <w:numFmt w:val="lowerLetter"/>
      <w:lvlText w:val="%5."/>
      <w:lvlJc w:val="left"/>
      <w:pPr>
        <w:tabs>
          <w:tab w:val="num" w:pos="4167"/>
        </w:tabs>
        <w:ind w:left="4167" w:hanging="360"/>
      </w:pPr>
    </w:lvl>
    <w:lvl w:ilvl="5" w:tplc="0C09001B" w:tentative="1">
      <w:start w:val="1"/>
      <w:numFmt w:val="lowerRoman"/>
      <w:lvlText w:val="%6."/>
      <w:lvlJc w:val="right"/>
      <w:pPr>
        <w:tabs>
          <w:tab w:val="num" w:pos="4887"/>
        </w:tabs>
        <w:ind w:left="4887" w:hanging="180"/>
      </w:pPr>
    </w:lvl>
    <w:lvl w:ilvl="6" w:tplc="0C09000F" w:tentative="1">
      <w:start w:val="1"/>
      <w:numFmt w:val="decimal"/>
      <w:lvlText w:val="%7."/>
      <w:lvlJc w:val="left"/>
      <w:pPr>
        <w:tabs>
          <w:tab w:val="num" w:pos="5607"/>
        </w:tabs>
        <w:ind w:left="5607" w:hanging="360"/>
      </w:pPr>
    </w:lvl>
    <w:lvl w:ilvl="7" w:tplc="0C090019" w:tentative="1">
      <w:start w:val="1"/>
      <w:numFmt w:val="lowerLetter"/>
      <w:lvlText w:val="%8."/>
      <w:lvlJc w:val="left"/>
      <w:pPr>
        <w:tabs>
          <w:tab w:val="num" w:pos="6327"/>
        </w:tabs>
        <w:ind w:left="6327" w:hanging="360"/>
      </w:pPr>
    </w:lvl>
    <w:lvl w:ilvl="8" w:tplc="0C09001B" w:tentative="1">
      <w:start w:val="1"/>
      <w:numFmt w:val="lowerRoman"/>
      <w:lvlText w:val="%9."/>
      <w:lvlJc w:val="right"/>
      <w:pPr>
        <w:tabs>
          <w:tab w:val="num" w:pos="7047"/>
        </w:tabs>
        <w:ind w:left="7047" w:hanging="180"/>
      </w:pPr>
    </w:lvl>
  </w:abstractNum>
  <w:abstractNum w:abstractNumId="22">
    <w:nsid w:val="6EE047DD"/>
    <w:multiLevelType w:val="hybridMultilevel"/>
    <w:tmpl w:val="534AB40A"/>
    <w:lvl w:ilvl="0" w:tplc="0C090001">
      <w:start w:val="1"/>
      <w:numFmt w:val="bullet"/>
      <w:lvlText w:val=""/>
      <w:lvlJc w:val="left"/>
      <w:pPr>
        <w:tabs>
          <w:tab w:val="num" w:pos="1134"/>
        </w:tabs>
        <w:ind w:left="1134" w:hanging="567"/>
      </w:pPr>
      <w:rPr>
        <w:rFonts w:ascii="Symbol" w:hAnsi="Symbol" w:hint="default"/>
      </w:rPr>
    </w:lvl>
    <w:lvl w:ilvl="1" w:tplc="0C090001">
      <w:start w:val="1"/>
      <w:numFmt w:val="bullet"/>
      <w:lvlText w:val=""/>
      <w:lvlJc w:val="left"/>
      <w:pPr>
        <w:tabs>
          <w:tab w:val="num" w:pos="2007"/>
        </w:tabs>
        <w:ind w:left="2007" w:hanging="360"/>
      </w:pPr>
      <w:rPr>
        <w:rFonts w:ascii="Symbol" w:hAnsi="Symbol" w:hint="default"/>
      </w:rPr>
    </w:lvl>
    <w:lvl w:ilvl="2" w:tplc="0680CE72">
      <w:start w:val="1"/>
      <w:numFmt w:val="bullet"/>
      <w:lvlText w:val="-"/>
      <w:lvlJc w:val="left"/>
      <w:pPr>
        <w:ind w:left="2907" w:hanging="360"/>
      </w:pPr>
      <w:rPr>
        <w:rFonts w:ascii="Arial" w:eastAsia="Times New Roman" w:hAnsi="Arial" w:cs="Arial" w:hint="default"/>
      </w:rPr>
    </w:lvl>
    <w:lvl w:ilvl="3" w:tplc="0C09000F" w:tentative="1">
      <w:start w:val="1"/>
      <w:numFmt w:val="decimal"/>
      <w:lvlText w:val="%4."/>
      <w:lvlJc w:val="left"/>
      <w:pPr>
        <w:tabs>
          <w:tab w:val="num" w:pos="3447"/>
        </w:tabs>
        <w:ind w:left="3447" w:hanging="360"/>
      </w:pPr>
    </w:lvl>
    <w:lvl w:ilvl="4" w:tplc="0C090019" w:tentative="1">
      <w:start w:val="1"/>
      <w:numFmt w:val="lowerLetter"/>
      <w:lvlText w:val="%5."/>
      <w:lvlJc w:val="left"/>
      <w:pPr>
        <w:tabs>
          <w:tab w:val="num" w:pos="4167"/>
        </w:tabs>
        <w:ind w:left="4167" w:hanging="360"/>
      </w:pPr>
    </w:lvl>
    <w:lvl w:ilvl="5" w:tplc="0C09001B" w:tentative="1">
      <w:start w:val="1"/>
      <w:numFmt w:val="lowerRoman"/>
      <w:lvlText w:val="%6."/>
      <w:lvlJc w:val="right"/>
      <w:pPr>
        <w:tabs>
          <w:tab w:val="num" w:pos="4887"/>
        </w:tabs>
        <w:ind w:left="4887" w:hanging="180"/>
      </w:pPr>
    </w:lvl>
    <w:lvl w:ilvl="6" w:tplc="0C09000F" w:tentative="1">
      <w:start w:val="1"/>
      <w:numFmt w:val="decimal"/>
      <w:lvlText w:val="%7."/>
      <w:lvlJc w:val="left"/>
      <w:pPr>
        <w:tabs>
          <w:tab w:val="num" w:pos="5607"/>
        </w:tabs>
        <w:ind w:left="5607" w:hanging="360"/>
      </w:pPr>
    </w:lvl>
    <w:lvl w:ilvl="7" w:tplc="0C090019" w:tentative="1">
      <w:start w:val="1"/>
      <w:numFmt w:val="lowerLetter"/>
      <w:lvlText w:val="%8."/>
      <w:lvlJc w:val="left"/>
      <w:pPr>
        <w:tabs>
          <w:tab w:val="num" w:pos="6327"/>
        </w:tabs>
        <w:ind w:left="6327" w:hanging="360"/>
      </w:pPr>
    </w:lvl>
    <w:lvl w:ilvl="8" w:tplc="0C09001B" w:tentative="1">
      <w:start w:val="1"/>
      <w:numFmt w:val="lowerRoman"/>
      <w:lvlText w:val="%9."/>
      <w:lvlJc w:val="right"/>
      <w:pPr>
        <w:tabs>
          <w:tab w:val="num" w:pos="7047"/>
        </w:tabs>
        <w:ind w:left="7047" w:hanging="180"/>
      </w:pPr>
    </w:lvl>
  </w:abstractNum>
  <w:abstractNum w:abstractNumId="23">
    <w:nsid w:val="72266934"/>
    <w:multiLevelType w:val="hybridMultilevel"/>
    <w:tmpl w:val="8AEAC91E"/>
    <w:lvl w:ilvl="0" w:tplc="0C090019">
      <w:start w:val="1"/>
      <w:numFmt w:val="lowerLetter"/>
      <w:lvlText w:val="%1."/>
      <w:lvlJc w:val="left"/>
      <w:pPr>
        <w:tabs>
          <w:tab w:val="num" w:pos="1134"/>
        </w:tabs>
        <w:ind w:left="1134" w:hanging="567"/>
      </w:pPr>
      <w:rPr>
        <w:rFonts w:hint="default"/>
      </w:rPr>
    </w:lvl>
    <w:lvl w:ilvl="1" w:tplc="0C090001">
      <w:start w:val="1"/>
      <w:numFmt w:val="bullet"/>
      <w:lvlText w:val=""/>
      <w:lvlJc w:val="left"/>
      <w:pPr>
        <w:tabs>
          <w:tab w:val="num" w:pos="2007"/>
        </w:tabs>
        <w:ind w:left="2007" w:hanging="360"/>
      </w:pPr>
      <w:rPr>
        <w:rFonts w:ascii="Symbol" w:hAnsi="Symbol" w:hint="default"/>
      </w:rPr>
    </w:lvl>
    <w:lvl w:ilvl="2" w:tplc="0680CE72">
      <w:start w:val="1"/>
      <w:numFmt w:val="bullet"/>
      <w:lvlText w:val="-"/>
      <w:lvlJc w:val="left"/>
      <w:pPr>
        <w:ind w:left="2907" w:hanging="360"/>
      </w:pPr>
      <w:rPr>
        <w:rFonts w:ascii="Arial" w:eastAsia="Times New Roman" w:hAnsi="Arial" w:cs="Arial" w:hint="default"/>
      </w:rPr>
    </w:lvl>
    <w:lvl w:ilvl="3" w:tplc="0C09000F" w:tentative="1">
      <w:start w:val="1"/>
      <w:numFmt w:val="decimal"/>
      <w:lvlText w:val="%4."/>
      <w:lvlJc w:val="left"/>
      <w:pPr>
        <w:tabs>
          <w:tab w:val="num" w:pos="3447"/>
        </w:tabs>
        <w:ind w:left="3447" w:hanging="360"/>
      </w:pPr>
    </w:lvl>
    <w:lvl w:ilvl="4" w:tplc="0C090019" w:tentative="1">
      <w:start w:val="1"/>
      <w:numFmt w:val="lowerLetter"/>
      <w:lvlText w:val="%5."/>
      <w:lvlJc w:val="left"/>
      <w:pPr>
        <w:tabs>
          <w:tab w:val="num" w:pos="4167"/>
        </w:tabs>
        <w:ind w:left="4167" w:hanging="360"/>
      </w:pPr>
    </w:lvl>
    <w:lvl w:ilvl="5" w:tplc="0C09001B" w:tentative="1">
      <w:start w:val="1"/>
      <w:numFmt w:val="lowerRoman"/>
      <w:lvlText w:val="%6."/>
      <w:lvlJc w:val="right"/>
      <w:pPr>
        <w:tabs>
          <w:tab w:val="num" w:pos="4887"/>
        </w:tabs>
        <w:ind w:left="4887" w:hanging="180"/>
      </w:pPr>
    </w:lvl>
    <w:lvl w:ilvl="6" w:tplc="0C09000F" w:tentative="1">
      <w:start w:val="1"/>
      <w:numFmt w:val="decimal"/>
      <w:lvlText w:val="%7."/>
      <w:lvlJc w:val="left"/>
      <w:pPr>
        <w:tabs>
          <w:tab w:val="num" w:pos="5607"/>
        </w:tabs>
        <w:ind w:left="5607" w:hanging="360"/>
      </w:pPr>
    </w:lvl>
    <w:lvl w:ilvl="7" w:tplc="0C090019" w:tentative="1">
      <w:start w:val="1"/>
      <w:numFmt w:val="lowerLetter"/>
      <w:lvlText w:val="%8."/>
      <w:lvlJc w:val="left"/>
      <w:pPr>
        <w:tabs>
          <w:tab w:val="num" w:pos="6327"/>
        </w:tabs>
        <w:ind w:left="6327" w:hanging="360"/>
      </w:pPr>
    </w:lvl>
    <w:lvl w:ilvl="8" w:tplc="0C09001B" w:tentative="1">
      <w:start w:val="1"/>
      <w:numFmt w:val="lowerRoman"/>
      <w:lvlText w:val="%9."/>
      <w:lvlJc w:val="right"/>
      <w:pPr>
        <w:tabs>
          <w:tab w:val="num" w:pos="7047"/>
        </w:tabs>
        <w:ind w:left="7047" w:hanging="180"/>
      </w:pPr>
    </w:lvl>
  </w:abstractNum>
  <w:abstractNum w:abstractNumId="24">
    <w:nsid w:val="732E7F8C"/>
    <w:multiLevelType w:val="hybridMultilevel"/>
    <w:tmpl w:val="CE80994A"/>
    <w:lvl w:ilvl="0" w:tplc="0C090019">
      <w:start w:val="1"/>
      <w:numFmt w:val="lowerLetter"/>
      <w:lvlText w:val="%1."/>
      <w:lvlJc w:val="left"/>
      <w:pPr>
        <w:tabs>
          <w:tab w:val="num" w:pos="1134"/>
        </w:tabs>
        <w:ind w:left="1134" w:hanging="567"/>
      </w:pPr>
      <w:rPr>
        <w:rFonts w:hint="default"/>
      </w:rPr>
    </w:lvl>
    <w:lvl w:ilvl="1" w:tplc="0C090019">
      <w:start w:val="1"/>
      <w:numFmt w:val="lowerLetter"/>
      <w:lvlText w:val="%2."/>
      <w:lvlJc w:val="left"/>
      <w:pPr>
        <w:tabs>
          <w:tab w:val="num" w:pos="2007"/>
        </w:tabs>
        <w:ind w:left="2007" w:hanging="360"/>
      </w:pPr>
    </w:lvl>
    <w:lvl w:ilvl="2" w:tplc="0C09001B" w:tentative="1">
      <w:start w:val="1"/>
      <w:numFmt w:val="lowerRoman"/>
      <w:lvlText w:val="%3."/>
      <w:lvlJc w:val="right"/>
      <w:pPr>
        <w:tabs>
          <w:tab w:val="num" w:pos="2727"/>
        </w:tabs>
        <w:ind w:left="2727" w:hanging="180"/>
      </w:pPr>
    </w:lvl>
    <w:lvl w:ilvl="3" w:tplc="0C09000F" w:tentative="1">
      <w:start w:val="1"/>
      <w:numFmt w:val="decimal"/>
      <w:lvlText w:val="%4."/>
      <w:lvlJc w:val="left"/>
      <w:pPr>
        <w:tabs>
          <w:tab w:val="num" w:pos="3447"/>
        </w:tabs>
        <w:ind w:left="3447" w:hanging="360"/>
      </w:pPr>
    </w:lvl>
    <w:lvl w:ilvl="4" w:tplc="0C090019" w:tentative="1">
      <w:start w:val="1"/>
      <w:numFmt w:val="lowerLetter"/>
      <w:lvlText w:val="%5."/>
      <w:lvlJc w:val="left"/>
      <w:pPr>
        <w:tabs>
          <w:tab w:val="num" w:pos="4167"/>
        </w:tabs>
        <w:ind w:left="4167" w:hanging="360"/>
      </w:pPr>
    </w:lvl>
    <w:lvl w:ilvl="5" w:tplc="0C09001B" w:tentative="1">
      <w:start w:val="1"/>
      <w:numFmt w:val="lowerRoman"/>
      <w:lvlText w:val="%6."/>
      <w:lvlJc w:val="right"/>
      <w:pPr>
        <w:tabs>
          <w:tab w:val="num" w:pos="4887"/>
        </w:tabs>
        <w:ind w:left="4887" w:hanging="180"/>
      </w:pPr>
    </w:lvl>
    <w:lvl w:ilvl="6" w:tplc="0C09000F" w:tentative="1">
      <w:start w:val="1"/>
      <w:numFmt w:val="decimal"/>
      <w:lvlText w:val="%7."/>
      <w:lvlJc w:val="left"/>
      <w:pPr>
        <w:tabs>
          <w:tab w:val="num" w:pos="5607"/>
        </w:tabs>
        <w:ind w:left="5607" w:hanging="360"/>
      </w:pPr>
    </w:lvl>
    <w:lvl w:ilvl="7" w:tplc="0C090019" w:tentative="1">
      <w:start w:val="1"/>
      <w:numFmt w:val="lowerLetter"/>
      <w:lvlText w:val="%8."/>
      <w:lvlJc w:val="left"/>
      <w:pPr>
        <w:tabs>
          <w:tab w:val="num" w:pos="6327"/>
        </w:tabs>
        <w:ind w:left="6327" w:hanging="360"/>
      </w:pPr>
    </w:lvl>
    <w:lvl w:ilvl="8" w:tplc="0C09001B" w:tentative="1">
      <w:start w:val="1"/>
      <w:numFmt w:val="lowerRoman"/>
      <w:lvlText w:val="%9."/>
      <w:lvlJc w:val="right"/>
      <w:pPr>
        <w:tabs>
          <w:tab w:val="num" w:pos="7047"/>
        </w:tabs>
        <w:ind w:left="7047" w:hanging="180"/>
      </w:pPr>
    </w:lvl>
  </w:abstractNum>
  <w:abstractNum w:abstractNumId="25">
    <w:nsid w:val="763F175E"/>
    <w:multiLevelType w:val="hybridMultilevel"/>
    <w:tmpl w:val="5F48B86C"/>
    <w:lvl w:ilvl="0" w:tplc="0C090019">
      <w:start w:val="1"/>
      <w:numFmt w:val="lowerLetter"/>
      <w:lvlText w:val="%1."/>
      <w:lvlJc w:val="left"/>
      <w:pPr>
        <w:tabs>
          <w:tab w:val="num" w:pos="1134"/>
        </w:tabs>
        <w:ind w:left="1134" w:hanging="567"/>
      </w:pPr>
      <w:rPr>
        <w:rFonts w:hint="default"/>
      </w:rPr>
    </w:lvl>
    <w:lvl w:ilvl="1" w:tplc="0C090019">
      <w:start w:val="1"/>
      <w:numFmt w:val="lowerLetter"/>
      <w:lvlText w:val="%2."/>
      <w:lvlJc w:val="left"/>
      <w:pPr>
        <w:tabs>
          <w:tab w:val="num" w:pos="2007"/>
        </w:tabs>
        <w:ind w:left="2007" w:hanging="360"/>
      </w:pPr>
    </w:lvl>
    <w:lvl w:ilvl="2" w:tplc="0680CE72">
      <w:start w:val="1"/>
      <w:numFmt w:val="bullet"/>
      <w:lvlText w:val="-"/>
      <w:lvlJc w:val="left"/>
      <w:pPr>
        <w:ind w:left="2907" w:hanging="360"/>
      </w:pPr>
      <w:rPr>
        <w:rFonts w:ascii="Arial" w:eastAsia="Times New Roman" w:hAnsi="Arial" w:cs="Arial" w:hint="default"/>
      </w:rPr>
    </w:lvl>
    <w:lvl w:ilvl="3" w:tplc="0C09000F" w:tentative="1">
      <w:start w:val="1"/>
      <w:numFmt w:val="decimal"/>
      <w:lvlText w:val="%4."/>
      <w:lvlJc w:val="left"/>
      <w:pPr>
        <w:tabs>
          <w:tab w:val="num" w:pos="3447"/>
        </w:tabs>
        <w:ind w:left="3447" w:hanging="360"/>
      </w:pPr>
    </w:lvl>
    <w:lvl w:ilvl="4" w:tplc="0C090019" w:tentative="1">
      <w:start w:val="1"/>
      <w:numFmt w:val="lowerLetter"/>
      <w:lvlText w:val="%5."/>
      <w:lvlJc w:val="left"/>
      <w:pPr>
        <w:tabs>
          <w:tab w:val="num" w:pos="4167"/>
        </w:tabs>
        <w:ind w:left="4167" w:hanging="360"/>
      </w:pPr>
    </w:lvl>
    <w:lvl w:ilvl="5" w:tplc="0C09001B" w:tentative="1">
      <w:start w:val="1"/>
      <w:numFmt w:val="lowerRoman"/>
      <w:lvlText w:val="%6."/>
      <w:lvlJc w:val="right"/>
      <w:pPr>
        <w:tabs>
          <w:tab w:val="num" w:pos="4887"/>
        </w:tabs>
        <w:ind w:left="4887" w:hanging="180"/>
      </w:pPr>
    </w:lvl>
    <w:lvl w:ilvl="6" w:tplc="0C09000F" w:tentative="1">
      <w:start w:val="1"/>
      <w:numFmt w:val="decimal"/>
      <w:lvlText w:val="%7."/>
      <w:lvlJc w:val="left"/>
      <w:pPr>
        <w:tabs>
          <w:tab w:val="num" w:pos="5607"/>
        </w:tabs>
        <w:ind w:left="5607" w:hanging="360"/>
      </w:pPr>
    </w:lvl>
    <w:lvl w:ilvl="7" w:tplc="0C090019" w:tentative="1">
      <w:start w:val="1"/>
      <w:numFmt w:val="lowerLetter"/>
      <w:lvlText w:val="%8."/>
      <w:lvlJc w:val="left"/>
      <w:pPr>
        <w:tabs>
          <w:tab w:val="num" w:pos="6327"/>
        </w:tabs>
        <w:ind w:left="6327" w:hanging="360"/>
      </w:pPr>
    </w:lvl>
    <w:lvl w:ilvl="8" w:tplc="0C09001B" w:tentative="1">
      <w:start w:val="1"/>
      <w:numFmt w:val="lowerRoman"/>
      <w:lvlText w:val="%9."/>
      <w:lvlJc w:val="right"/>
      <w:pPr>
        <w:tabs>
          <w:tab w:val="num" w:pos="7047"/>
        </w:tabs>
        <w:ind w:left="7047" w:hanging="180"/>
      </w:pPr>
    </w:lvl>
  </w:abstractNum>
  <w:abstractNum w:abstractNumId="26">
    <w:nsid w:val="7B857E07"/>
    <w:multiLevelType w:val="hybridMultilevel"/>
    <w:tmpl w:val="B2BAFA94"/>
    <w:lvl w:ilvl="0" w:tplc="0C090001">
      <w:start w:val="1"/>
      <w:numFmt w:val="bullet"/>
      <w:lvlText w:val=""/>
      <w:lvlJc w:val="left"/>
      <w:pPr>
        <w:tabs>
          <w:tab w:val="num" w:pos="1134"/>
        </w:tabs>
        <w:ind w:left="1134" w:hanging="567"/>
      </w:pPr>
      <w:rPr>
        <w:rFonts w:ascii="Symbol" w:hAnsi="Symbol" w:hint="default"/>
      </w:rPr>
    </w:lvl>
    <w:lvl w:ilvl="1" w:tplc="0C090019">
      <w:start w:val="1"/>
      <w:numFmt w:val="lowerLetter"/>
      <w:lvlText w:val="%2."/>
      <w:lvlJc w:val="left"/>
      <w:pPr>
        <w:tabs>
          <w:tab w:val="num" w:pos="2007"/>
        </w:tabs>
        <w:ind w:left="2007" w:hanging="360"/>
      </w:pPr>
    </w:lvl>
    <w:lvl w:ilvl="2" w:tplc="0C09001B">
      <w:start w:val="1"/>
      <w:numFmt w:val="lowerRoman"/>
      <w:lvlText w:val="%3."/>
      <w:lvlJc w:val="right"/>
      <w:pPr>
        <w:tabs>
          <w:tab w:val="num" w:pos="2727"/>
        </w:tabs>
        <w:ind w:left="2727" w:hanging="180"/>
      </w:pPr>
    </w:lvl>
    <w:lvl w:ilvl="3" w:tplc="0C09000F" w:tentative="1">
      <w:start w:val="1"/>
      <w:numFmt w:val="decimal"/>
      <w:lvlText w:val="%4."/>
      <w:lvlJc w:val="left"/>
      <w:pPr>
        <w:tabs>
          <w:tab w:val="num" w:pos="3447"/>
        </w:tabs>
        <w:ind w:left="3447" w:hanging="360"/>
      </w:pPr>
    </w:lvl>
    <w:lvl w:ilvl="4" w:tplc="0C090019" w:tentative="1">
      <w:start w:val="1"/>
      <w:numFmt w:val="lowerLetter"/>
      <w:lvlText w:val="%5."/>
      <w:lvlJc w:val="left"/>
      <w:pPr>
        <w:tabs>
          <w:tab w:val="num" w:pos="4167"/>
        </w:tabs>
        <w:ind w:left="4167" w:hanging="360"/>
      </w:pPr>
    </w:lvl>
    <w:lvl w:ilvl="5" w:tplc="0C09001B" w:tentative="1">
      <w:start w:val="1"/>
      <w:numFmt w:val="lowerRoman"/>
      <w:lvlText w:val="%6."/>
      <w:lvlJc w:val="right"/>
      <w:pPr>
        <w:tabs>
          <w:tab w:val="num" w:pos="4887"/>
        </w:tabs>
        <w:ind w:left="4887" w:hanging="180"/>
      </w:pPr>
    </w:lvl>
    <w:lvl w:ilvl="6" w:tplc="0C09000F" w:tentative="1">
      <w:start w:val="1"/>
      <w:numFmt w:val="decimal"/>
      <w:lvlText w:val="%7."/>
      <w:lvlJc w:val="left"/>
      <w:pPr>
        <w:tabs>
          <w:tab w:val="num" w:pos="5607"/>
        </w:tabs>
        <w:ind w:left="5607" w:hanging="360"/>
      </w:pPr>
    </w:lvl>
    <w:lvl w:ilvl="7" w:tplc="0C090019" w:tentative="1">
      <w:start w:val="1"/>
      <w:numFmt w:val="lowerLetter"/>
      <w:lvlText w:val="%8."/>
      <w:lvlJc w:val="left"/>
      <w:pPr>
        <w:tabs>
          <w:tab w:val="num" w:pos="6327"/>
        </w:tabs>
        <w:ind w:left="6327" w:hanging="360"/>
      </w:pPr>
    </w:lvl>
    <w:lvl w:ilvl="8" w:tplc="0C09001B" w:tentative="1">
      <w:start w:val="1"/>
      <w:numFmt w:val="lowerRoman"/>
      <w:lvlText w:val="%9."/>
      <w:lvlJc w:val="right"/>
      <w:pPr>
        <w:tabs>
          <w:tab w:val="num" w:pos="7047"/>
        </w:tabs>
        <w:ind w:left="7047" w:hanging="180"/>
      </w:pPr>
    </w:lvl>
  </w:abstractNum>
  <w:abstractNum w:abstractNumId="27">
    <w:nsid w:val="7DA31AB2"/>
    <w:multiLevelType w:val="hybridMultilevel"/>
    <w:tmpl w:val="C5D4E028"/>
    <w:lvl w:ilvl="0" w:tplc="008E7FDE">
      <w:start w:val="1"/>
      <w:numFmt w:val="lowerLetter"/>
      <w:pStyle w:val="ABCList"/>
      <w:lvlText w:val="%1."/>
      <w:lvlJc w:val="left"/>
      <w:pPr>
        <w:ind w:left="192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2640" w:hanging="360"/>
      </w:pPr>
    </w:lvl>
    <w:lvl w:ilvl="2" w:tplc="0C09001B" w:tentative="1">
      <w:start w:val="1"/>
      <w:numFmt w:val="lowerRoman"/>
      <w:lvlText w:val="%3."/>
      <w:lvlJc w:val="right"/>
      <w:pPr>
        <w:ind w:left="3360" w:hanging="180"/>
      </w:pPr>
    </w:lvl>
    <w:lvl w:ilvl="3" w:tplc="0C09000F" w:tentative="1">
      <w:start w:val="1"/>
      <w:numFmt w:val="decimal"/>
      <w:lvlText w:val="%4."/>
      <w:lvlJc w:val="left"/>
      <w:pPr>
        <w:ind w:left="4080" w:hanging="360"/>
      </w:pPr>
    </w:lvl>
    <w:lvl w:ilvl="4" w:tplc="0C090019" w:tentative="1">
      <w:start w:val="1"/>
      <w:numFmt w:val="lowerLetter"/>
      <w:lvlText w:val="%5."/>
      <w:lvlJc w:val="left"/>
      <w:pPr>
        <w:ind w:left="4800" w:hanging="360"/>
      </w:pPr>
    </w:lvl>
    <w:lvl w:ilvl="5" w:tplc="0C09001B" w:tentative="1">
      <w:start w:val="1"/>
      <w:numFmt w:val="lowerRoman"/>
      <w:lvlText w:val="%6."/>
      <w:lvlJc w:val="right"/>
      <w:pPr>
        <w:ind w:left="5520" w:hanging="180"/>
      </w:pPr>
    </w:lvl>
    <w:lvl w:ilvl="6" w:tplc="0C09000F" w:tentative="1">
      <w:start w:val="1"/>
      <w:numFmt w:val="decimal"/>
      <w:lvlText w:val="%7."/>
      <w:lvlJc w:val="left"/>
      <w:pPr>
        <w:ind w:left="6240" w:hanging="360"/>
      </w:pPr>
    </w:lvl>
    <w:lvl w:ilvl="7" w:tplc="0C090019" w:tentative="1">
      <w:start w:val="1"/>
      <w:numFmt w:val="lowerLetter"/>
      <w:lvlText w:val="%8."/>
      <w:lvlJc w:val="left"/>
      <w:pPr>
        <w:ind w:left="6960" w:hanging="360"/>
      </w:pPr>
    </w:lvl>
    <w:lvl w:ilvl="8" w:tplc="0C09001B" w:tentative="1">
      <w:start w:val="1"/>
      <w:numFmt w:val="lowerRoman"/>
      <w:lvlText w:val="%9."/>
      <w:lvlJc w:val="right"/>
      <w:pPr>
        <w:ind w:left="7680" w:hanging="180"/>
      </w:pPr>
    </w:lvl>
  </w:abstractNum>
  <w:abstractNum w:abstractNumId="28">
    <w:nsid w:val="7E2819EC"/>
    <w:multiLevelType w:val="multilevel"/>
    <w:tmpl w:val="1250F310"/>
    <w:lvl w:ilvl="0">
      <w:start w:val="1"/>
      <w:numFmt w:val="bullet"/>
      <w:pStyle w:val="Bulletpoin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0"/>
  </w:num>
  <w:num w:numId="2">
    <w:abstractNumId w:val="7"/>
  </w:num>
  <w:num w:numId="3">
    <w:abstractNumId w:val="27"/>
  </w:num>
  <w:num w:numId="4">
    <w:abstractNumId w:val="15"/>
  </w:num>
  <w:num w:numId="5">
    <w:abstractNumId w:val="26"/>
  </w:num>
  <w:num w:numId="6">
    <w:abstractNumId w:val="4"/>
  </w:num>
  <w:num w:numId="7">
    <w:abstractNumId w:val="28"/>
  </w:num>
  <w:num w:numId="8">
    <w:abstractNumId w:val="11"/>
  </w:num>
  <w:num w:numId="9">
    <w:abstractNumId w:val="18"/>
  </w:num>
  <w:num w:numId="10">
    <w:abstractNumId w:val="24"/>
  </w:num>
  <w:num w:numId="11">
    <w:abstractNumId w:val="5"/>
  </w:num>
  <w:num w:numId="12">
    <w:abstractNumId w:val="22"/>
  </w:num>
  <w:num w:numId="13">
    <w:abstractNumId w:val="13"/>
  </w:num>
  <w:num w:numId="14">
    <w:abstractNumId w:val="1"/>
  </w:num>
  <w:num w:numId="15">
    <w:abstractNumId w:val="3"/>
  </w:num>
  <w:num w:numId="16">
    <w:abstractNumId w:val="8"/>
  </w:num>
  <w:num w:numId="17">
    <w:abstractNumId w:val="10"/>
  </w:num>
  <w:num w:numId="18">
    <w:abstractNumId w:val="12"/>
  </w:num>
  <w:num w:numId="19">
    <w:abstractNumId w:val="25"/>
  </w:num>
  <w:num w:numId="20">
    <w:abstractNumId w:val="14"/>
  </w:num>
  <w:num w:numId="21">
    <w:abstractNumId w:val="7"/>
  </w:num>
  <w:num w:numId="22">
    <w:abstractNumId w:val="16"/>
  </w:num>
  <w:num w:numId="23">
    <w:abstractNumId w:val="23"/>
  </w:num>
  <w:num w:numId="24">
    <w:abstractNumId w:val="7"/>
  </w:num>
  <w:num w:numId="25">
    <w:abstractNumId w:val="7"/>
  </w:num>
  <w:num w:numId="26">
    <w:abstractNumId w:val="7"/>
  </w:num>
  <w:num w:numId="27">
    <w:abstractNumId w:val="7"/>
  </w:num>
  <w:num w:numId="28">
    <w:abstractNumId w:val="7"/>
  </w:num>
  <w:num w:numId="29">
    <w:abstractNumId w:val="7"/>
  </w:num>
  <w:num w:numId="30">
    <w:abstractNumId w:val="7"/>
  </w:num>
  <w:num w:numId="31">
    <w:abstractNumId w:val="7"/>
  </w:num>
  <w:num w:numId="32">
    <w:abstractNumId w:val="7"/>
  </w:num>
  <w:num w:numId="33">
    <w:abstractNumId w:val="21"/>
  </w:num>
  <w:num w:numId="34">
    <w:abstractNumId w:val="7"/>
  </w:num>
  <w:num w:numId="35">
    <w:abstractNumId w:val="7"/>
  </w:num>
  <w:num w:numId="36">
    <w:abstractNumId w:val="7"/>
  </w:num>
  <w:num w:numId="37">
    <w:abstractNumId w:val="7"/>
  </w:num>
  <w:num w:numId="38">
    <w:abstractNumId w:val="7"/>
  </w:num>
  <w:num w:numId="39">
    <w:abstractNumId w:val="7"/>
  </w:num>
  <w:num w:numId="40">
    <w:abstractNumId w:val="7"/>
  </w:num>
  <w:num w:numId="41">
    <w:abstractNumId w:val="7"/>
  </w:num>
  <w:num w:numId="42">
    <w:abstractNumId w:val="7"/>
  </w:num>
  <w:num w:numId="43">
    <w:abstractNumId w:val="19"/>
  </w:num>
  <w:num w:numId="44">
    <w:abstractNumId w:val="7"/>
  </w:num>
  <w:num w:numId="45">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
  </w:num>
  <w:num w:numId="47">
    <w:abstractNumId w:val="17"/>
  </w:num>
  <w:num w:numId="48">
    <w:abstractNumId w:val="7"/>
  </w:num>
  <w:num w:numId="49">
    <w:abstractNumId w:val="6"/>
  </w:num>
  <w:num w:numId="50">
    <w:abstractNumId w:val="7"/>
  </w:num>
  <w:num w:numId="51">
    <w:abstractNumId w:val="7"/>
  </w:num>
  <w:num w:numId="52">
    <w:abstractNumId w:val="7"/>
  </w:num>
  <w:num w:numId="53">
    <w:abstractNumId w:val="20"/>
  </w:num>
  <w:num w:numId="54">
    <w:abstractNumId w:val="7"/>
  </w:num>
  <w:num w:numId="55">
    <w:abstractNumId w:val="7"/>
  </w:num>
  <w:num w:numId="56">
    <w:abstractNumId w:val="7"/>
  </w:num>
  <w:num w:numId="57">
    <w:abstractNumId w:val="7"/>
  </w:num>
  <w:num w:numId="58">
    <w:abstractNumId w:val="7"/>
  </w:num>
  <w:num w:numId="59">
    <w:abstractNumId w:val="7"/>
  </w:num>
  <w:num w:numId="60">
    <w:abstractNumId w:val="9"/>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noPunctuationKerning/>
  <w:characterSpacingControl w:val="doNotCompress"/>
  <w:hdrShapeDefaults>
    <o:shapedefaults v:ext="edit" spidmax="237569"/>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urrentname" w:val="\\cdchnas-evs02\home$\rneil\iron mountain recall - statement of issues for public release - 5 november 2015 (MER2015-11349).docx"/>
  </w:docVars>
  <w:rsids>
    <w:rsidRoot w:val="002A6DE2"/>
    <w:rsid w:val="00000309"/>
    <w:rsid w:val="000028A1"/>
    <w:rsid w:val="00004141"/>
    <w:rsid w:val="0000563E"/>
    <w:rsid w:val="00007911"/>
    <w:rsid w:val="00007A45"/>
    <w:rsid w:val="000107A1"/>
    <w:rsid w:val="000113A1"/>
    <w:rsid w:val="00011816"/>
    <w:rsid w:val="00016892"/>
    <w:rsid w:val="000216CE"/>
    <w:rsid w:val="00021752"/>
    <w:rsid w:val="00022D03"/>
    <w:rsid w:val="0002412F"/>
    <w:rsid w:val="00024AFF"/>
    <w:rsid w:val="00025630"/>
    <w:rsid w:val="000262C5"/>
    <w:rsid w:val="00027560"/>
    <w:rsid w:val="00027F34"/>
    <w:rsid w:val="000306B3"/>
    <w:rsid w:val="00033890"/>
    <w:rsid w:val="00033C3A"/>
    <w:rsid w:val="000367AE"/>
    <w:rsid w:val="00037BA9"/>
    <w:rsid w:val="00041F98"/>
    <w:rsid w:val="00043EFD"/>
    <w:rsid w:val="000510D4"/>
    <w:rsid w:val="00052EB7"/>
    <w:rsid w:val="00056933"/>
    <w:rsid w:val="000570AF"/>
    <w:rsid w:val="0005788A"/>
    <w:rsid w:val="00057984"/>
    <w:rsid w:val="00061804"/>
    <w:rsid w:val="00064905"/>
    <w:rsid w:val="00065BEF"/>
    <w:rsid w:val="000701FC"/>
    <w:rsid w:val="000712BC"/>
    <w:rsid w:val="00072E29"/>
    <w:rsid w:val="0007394B"/>
    <w:rsid w:val="000761BD"/>
    <w:rsid w:val="0007658B"/>
    <w:rsid w:val="0008189E"/>
    <w:rsid w:val="00081A7F"/>
    <w:rsid w:val="00082BE1"/>
    <w:rsid w:val="0008445B"/>
    <w:rsid w:val="000857DF"/>
    <w:rsid w:val="00086CE4"/>
    <w:rsid w:val="00093253"/>
    <w:rsid w:val="0009401F"/>
    <w:rsid w:val="000945B7"/>
    <w:rsid w:val="000A206B"/>
    <w:rsid w:val="000A3A82"/>
    <w:rsid w:val="000A498D"/>
    <w:rsid w:val="000B3332"/>
    <w:rsid w:val="000B341A"/>
    <w:rsid w:val="000B7065"/>
    <w:rsid w:val="000B7B7D"/>
    <w:rsid w:val="000C047F"/>
    <w:rsid w:val="000C1F32"/>
    <w:rsid w:val="000C2ED9"/>
    <w:rsid w:val="000C5597"/>
    <w:rsid w:val="000C79D5"/>
    <w:rsid w:val="000D03A6"/>
    <w:rsid w:val="000D7536"/>
    <w:rsid w:val="000D7F27"/>
    <w:rsid w:val="000E0735"/>
    <w:rsid w:val="000E14B9"/>
    <w:rsid w:val="000E2B9C"/>
    <w:rsid w:val="000E3C6C"/>
    <w:rsid w:val="000E58C8"/>
    <w:rsid w:val="000E5C21"/>
    <w:rsid w:val="000E61C6"/>
    <w:rsid w:val="000E636D"/>
    <w:rsid w:val="000F09D5"/>
    <w:rsid w:val="000F1353"/>
    <w:rsid w:val="000F158A"/>
    <w:rsid w:val="000F1F83"/>
    <w:rsid w:val="000F207C"/>
    <w:rsid w:val="000F24E8"/>
    <w:rsid w:val="000F535C"/>
    <w:rsid w:val="000F6D42"/>
    <w:rsid w:val="000F7716"/>
    <w:rsid w:val="001030CA"/>
    <w:rsid w:val="00103DB7"/>
    <w:rsid w:val="001040A1"/>
    <w:rsid w:val="001052FF"/>
    <w:rsid w:val="001057BD"/>
    <w:rsid w:val="00106536"/>
    <w:rsid w:val="0010745D"/>
    <w:rsid w:val="00112FED"/>
    <w:rsid w:val="0011391C"/>
    <w:rsid w:val="00114F35"/>
    <w:rsid w:val="00115360"/>
    <w:rsid w:val="00121EB4"/>
    <w:rsid w:val="00124F04"/>
    <w:rsid w:val="00130649"/>
    <w:rsid w:val="00130F2C"/>
    <w:rsid w:val="001315C5"/>
    <w:rsid w:val="00132A55"/>
    <w:rsid w:val="0013421F"/>
    <w:rsid w:val="00134AD5"/>
    <w:rsid w:val="00135D2B"/>
    <w:rsid w:val="001373B3"/>
    <w:rsid w:val="0014271B"/>
    <w:rsid w:val="001428B3"/>
    <w:rsid w:val="00142E52"/>
    <w:rsid w:val="00144622"/>
    <w:rsid w:val="00144AA2"/>
    <w:rsid w:val="001461A7"/>
    <w:rsid w:val="0015014F"/>
    <w:rsid w:val="001502A5"/>
    <w:rsid w:val="00150E91"/>
    <w:rsid w:val="00152741"/>
    <w:rsid w:val="00152CBD"/>
    <w:rsid w:val="00153098"/>
    <w:rsid w:val="0015560A"/>
    <w:rsid w:val="00162883"/>
    <w:rsid w:val="001640AC"/>
    <w:rsid w:val="001641B5"/>
    <w:rsid w:val="0016595F"/>
    <w:rsid w:val="0017017D"/>
    <w:rsid w:val="00170ECD"/>
    <w:rsid w:val="001720D8"/>
    <w:rsid w:val="001736AB"/>
    <w:rsid w:val="001759CD"/>
    <w:rsid w:val="001773A6"/>
    <w:rsid w:val="0018455C"/>
    <w:rsid w:val="00185A99"/>
    <w:rsid w:val="0018660E"/>
    <w:rsid w:val="00187EE4"/>
    <w:rsid w:val="0019013F"/>
    <w:rsid w:val="001931AF"/>
    <w:rsid w:val="00193EA2"/>
    <w:rsid w:val="00194633"/>
    <w:rsid w:val="00194B34"/>
    <w:rsid w:val="00194D5D"/>
    <w:rsid w:val="00194EFF"/>
    <w:rsid w:val="0019511C"/>
    <w:rsid w:val="001A0758"/>
    <w:rsid w:val="001A08AE"/>
    <w:rsid w:val="001A0C66"/>
    <w:rsid w:val="001A2B35"/>
    <w:rsid w:val="001A2DCF"/>
    <w:rsid w:val="001A4C29"/>
    <w:rsid w:val="001A4F55"/>
    <w:rsid w:val="001A68F4"/>
    <w:rsid w:val="001B0A01"/>
    <w:rsid w:val="001B0B69"/>
    <w:rsid w:val="001B3433"/>
    <w:rsid w:val="001B4418"/>
    <w:rsid w:val="001B6B00"/>
    <w:rsid w:val="001C0D35"/>
    <w:rsid w:val="001C1695"/>
    <w:rsid w:val="001C42C7"/>
    <w:rsid w:val="001C6DB4"/>
    <w:rsid w:val="001D24C3"/>
    <w:rsid w:val="001D34C1"/>
    <w:rsid w:val="001D65C2"/>
    <w:rsid w:val="001D69C8"/>
    <w:rsid w:val="001D71D1"/>
    <w:rsid w:val="001D7279"/>
    <w:rsid w:val="001D7BFD"/>
    <w:rsid w:val="001E325D"/>
    <w:rsid w:val="001E54B7"/>
    <w:rsid w:val="001E5BF4"/>
    <w:rsid w:val="001E654E"/>
    <w:rsid w:val="001E7CB1"/>
    <w:rsid w:val="001F60A1"/>
    <w:rsid w:val="001F7558"/>
    <w:rsid w:val="001F7AED"/>
    <w:rsid w:val="00200409"/>
    <w:rsid w:val="00206986"/>
    <w:rsid w:val="0020741A"/>
    <w:rsid w:val="00207425"/>
    <w:rsid w:val="0021005E"/>
    <w:rsid w:val="00210704"/>
    <w:rsid w:val="00213408"/>
    <w:rsid w:val="002139D7"/>
    <w:rsid w:val="00214DE9"/>
    <w:rsid w:val="00221E71"/>
    <w:rsid w:val="0022220A"/>
    <w:rsid w:val="00222DCF"/>
    <w:rsid w:val="002307B6"/>
    <w:rsid w:val="00231036"/>
    <w:rsid w:val="002314C6"/>
    <w:rsid w:val="00232372"/>
    <w:rsid w:val="00240DAA"/>
    <w:rsid w:val="00245B49"/>
    <w:rsid w:val="00245E8B"/>
    <w:rsid w:val="00251203"/>
    <w:rsid w:val="0025180F"/>
    <w:rsid w:val="0025223B"/>
    <w:rsid w:val="0026181C"/>
    <w:rsid w:val="00264495"/>
    <w:rsid w:val="00266D8A"/>
    <w:rsid w:val="00270946"/>
    <w:rsid w:val="00270B18"/>
    <w:rsid w:val="00270BF1"/>
    <w:rsid w:val="00274EAA"/>
    <w:rsid w:val="00274F7D"/>
    <w:rsid w:val="00276444"/>
    <w:rsid w:val="00276E57"/>
    <w:rsid w:val="00280935"/>
    <w:rsid w:val="00281BAB"/>
    <w:rsid w:val="00281FBA"/>
    <w:rsid w:val="002820B5"/>
    <w:rsid w:val="00293B71"/>
    <w:rsid w:val="00294EA4"/>
    <w:rsid w:val="0029529C"/>
    <w:rsid w:val="002958C8"/>
    <w:rsid w:val="00296943"/>
    <w:rsid w:val="00297037"/>
    <w:rsid w:val="002A1B54"/>
    <w:rsid w:val="002A1E7A"/>
    <w:rsid w:val="002A1EB3"/>
    <w:rsid w:val="002A2ABF"/>
    <w:rsid w:val="002A3AF5"/>
    <w:rsid w:val="002A3C3A"/>
    <w:rsid w:val="002A6B4D"/>
    <w:rsid w:val="002A6DE2"/>
    <w:rsid w:val="002A729B"/>
    <w:rsid w:val="002B049A"/>
    <w:rsid w:val="002B063B"/>
    <w:rsid w:val="002B136D"/>
    <w:rsid w:val="002B33D8"/>
    <w:rsid w:val="002B4523"/>
    <w:rsid w:val="002B61E7"/>
    <w:rsid w:val="002B7B7F"/>
    <w:rsid w:val="002C0DF1"/>
    <w:rsid w:val="002C1157"/>
    <w:rsid w:val="002C392F"/>
    <w:rsid w:val="002C3D31"/>
    <w:rsid w:val="002C4AB7"/>
    <w:rsid w:val="002C55A1"/>
    <w:rsid w:val="002C7733"/>
    <w:rsid w:val="002D15FF"/>
    <w:rsid w:val="002D300E"/>
    <w:rsid w:val="002E1103"/>
    <w:rsid w:val="002E153A"/>
    <w:rsid w:val="002E1607"/>
    <w:rsid w:val="002E5550"/>
    <w:rsid w:val="002E56E2"/>
    <w:rsid w:val="002E6513"/>
    <w:rsid w:val="002E6EC6"/>
    <w:rsid w:val="002F0E33"/>
    <w:rsid w:val="002F3628"/>
    <w:rsid w:val="002F3833"/>
    <w:rsid w:val="00302D57"/>
    <w:rsid w:val="00304689"/>
    <w:rsid w:val="00306451"/>
    <w:rsid w:val="00313C88"/>
    <w:rsid w:val="00313F22"/>
    <w:rsid w:val="003148F9"/>
    <w:rsid w:val="00315BA0"/>
    <w:rsid w:val="00316FB2"/>
    <w:rsid w:val="0031710A"/>
    <w:rsid w:val="003207AF"/>
    <w:rsid w:val="00321B3C"/>
    <w:rsid w:val="00321ED9"/>
    <w:rsid w:val="00322CAB"/>
    <w:rsid w:val="00322F22"/>
    <w:rsid w:val="00323C56"/>
    <w:rsid w:val="00326F40"/>
    <w:rsid w:val="0032702A"/>
    <w:rsid w:val="003312E6"/>
    <w:rsid w:val="00331918"/>
    <w:rsid w:val="0033648E"/>
    <w:rsid w:val="003375EA"/>
    <w:rsid w:val="003413D6"/>
    <w:rsid w:val="00343DA2"/>
    <w:rsid w:val="00346285"/>
    <w:rsid w:val="00346461"/>
    <w:rsid w:val="0035083C"/>
    <w:rsid w:val="00351A90"/>
    <w:rsid w:val="00351C4B"/>
    <w:rsid w:val="00353A12"/>
    <w:rsid w:val="00361292"/>
    <w:rsid w:val="00365ECF"/>
    <w:rsid w:val="00367ED4"/>
    <w:rsid w:val="00370C20"/>
    <w:rsid w:val="00370F96"/>
    <w:rsid w:val="003736C1"/>
    <w:rsid w:val="00373725"/>
    <w:rsid w:val="00373836"/>
    <w:rsid w:val="0037401E"/>
    <w:rsid w:val="00374C4B"/>
    <w:rsid w:val="0037569D"/>
    <w:rsid w:val="00385133"/>
    <w:rsid w:val="00385910"/>
    <w:rsid w:val="0038753A"/>
    <w:rsid w:val="00393DD8"/>
    <w:rsid w:val="00397BB4"/>
    <w:rsid w:val="003A287C"/>
    <w:rsid w:val="003A2DA5"/>
    <w:rsid w:val="003A4A16"/>
    <w:rsid w:val="003A5BBB"/>
    <w:rsid w:val="003B073A"/>
    <w:rsid w:val="003B11DD"/>
    <w:rsid w:val="003B2AAE"/>
    <w:rsid w:val="003B6810"/>
    <w:rsid w:val="003C05B1"/>
    <w:rsid w:val="003C1A7A"/>
    <w:rsid w:val="003C4A55"/>
    <w:rsid w:val="003C5DDA"/>
    <w:rsid w:val="003C6139"/>
    <w:rsid w:val="003C7AC7"/>
    <w:rsid w:val="003D27E9"/>
    <w:rsid w:val="003D71DA"/>
    <w:rsid w:val="003E0BBF"/>
    <w:rsid w:val="003E22CB"/>
    <w:rsid w:val="003E29B7"/>
    <w:rsid w:val="003E2C0A"/>
    <w:rsid w:val="003E2F67"/>
    <w:rsid w:val="003E517C"/>
    <w:rsid w:val="003E5700"/>
    <w:rsid w:val="003E6724"/>
    <w:rsid w:val="003F5455"/>
    <w:rsid w:val="003F78F4"/>
    <w:rsid w:val="004016E7"/>
    <w:rsid w:val="00401AC3"/>
    <w:rsid w:val="00401F9A"/>
    <w:rsid w:val="004056BA"/>
    <w:rsid w:val="0041128C"/>
    <w:rsid w:val="00415A17"/>
    <w:rsid w:val="00421468"/>
    <w:rsid w:val="0042146A"/>
    <w:rsid w:val="00424FDD"/>
    <w:rsid w:val="0042558E"/>
    <w:rsid w:val="00427B99"/>
    <w:rsid w:val="00431CD6"/>
    <w:rsid w:val="00433F91"/>
    <w:rsid w:val="0043530F"/>
    <w:rsid w:val="00435B15"/>
    <w:rsid w:val="00435D8B"/>
    <w:rsid w:val="00441ABC"/>
    <w:rsid w:val="00444C82"/>
    <w:rsid w:val="00450BCC"/>
    <w:rsid w:val="00453030"/>
    <w:rsid w:val="00453453"/>
    <w:rsid w:val="00455554"/>
    <w:rsid w:val="00456FD9"/>
    <w:rsid w:val="004577BB"/>
    <w:rsid w:val="004618DD"/>
    <w:rsid w:val="004623E7"/>
    <w:rsid w:val="00463B15"/>
    <w:rsid w:val="00475811"/>
    <w:rsid w:val="00475D50"/>
    <w:rsid w:val="00480F99"/>
    <w:rsid w:val="00481D7B"/>
    <w:rsid w:val="00484248"/>
    <w:rsid w:val="00485716"/>
    <w:rsid w:val="00490D08"/>
    <w:rsid w:val="00491672"/>
    <w:rsid w:val="00491E4B"/>
    <w:rsid w:val="00492375"/>
    <w:rsid w:val="00493B0F"/>
    <w:rsid w:val="00495431"/>
    <w:rsid w:val="00497688"/>
    <w:rsid w:val="004979AC"/>
    <w:rsid w:val="004A0007"/>
    <w:rsid w:val="004A096A"/>
    <w:rsid w:val="004A2428"/>
    <w:rsid w:val="004A532B"/>
    <w:rsid w:val="004A595E"/>
    <w:rsid w:val="004A7B4E"/>
    <w:rsid w:val="004B0044"/>
    <w:rsid w:val="004B1554"/>
    <w:rsid w:val="004B1DAE"/>
    <w:rsid w:val="004B23A1"/>
    <w:rsid w:val="004B4A0B"/>
    <w:rsid w:val="004B5955"/>
    <w:rsid w:val="004C16AD"/>
    <w:rsid w:val="004C4AAF"/>
    <w:rsid w:val="004C6B2F"/>
    <w:rsid w:val="004D3271"/>
    <w:rsid w:val="004D38AD"/>
    <w:rsid w:val="004D3C22"/>
    <w:rsid w:val="004D425B"/>
    <w:rsid w:val="004E0FD8"/>
    <w:rsid w:val="004E34C1"/>
    <w:rsid w:val="004E4560"/>
    <w:rsid w:val="004F26D2"/>
    <w:rsid w:val="004F6F14"/>
    <w:rsid w:val="004F6F68"/>
    <w:rsid w:val="004F7AFB"/>
    <w:rsid w:val="00501306"/>
    <w:rsid w:val="00502E5B"/>
    <w:rsid w:val="005059ED"/>
    <w:rsid w:val="00507096"/>
    <w:rsid w:val="00511CFB"/>
    <w:rsid w:val="005121E7"/>
    <w:rsid w:val="0051274D"/>
    <w:rsid w:val="0052265F"/>
    <w:rsid w:val="00524945"/>
    <w:rsid w:val="00526A01"/>
    <w:rsid w:val="00527EBC"/>
    <w:rsid w:val="00530C51"/>
    <w:rsid w:val="005314BE"/>
    <w:rsid w:val="00531C81"/>
    <w:rsid w:val="005348F6"/>
    <w:rsid w:val="00537AFB"/>
    <w:rsid w:val="00541AAD"/>
    <w:rsid w:val="00542181"/>
    <w:rsid w:val="00545512"/>
    <w:rsid w:val="0054720F"/>
    <w:rsid w:val="00550FC8"/>
    <w:rsid w:val="00552946"/>
    <w:rsid w:val="00556797"/>
    <w:rsid w:val="00556F05"/>
    <w:rsid w:val="005608C1"/>
    <w:rsid w:val="00560D7F"/>
    <w:rsid w:val="005618AE"/>
    <w:rsid w:val="005638F4"/>
    <w:rsid w:val="005639E5"/>
    <w:rsid w:val="0056465E"/>
    <w:rsid w:val="0056474D"/>
    <w:rsid w:val="00566566"/>
    <w:rsid w:val="005673B7"/>
    <w:rsid w:val="005731CE"/>
    <w:rsid w:val="00574D21"/>
    <w:rsid w:val="00576DFD"/>
    <w:rsid w:val="005811A9"/>
    <w:rsid w:val="0058603E"/>
    <w:rsid w:val="00586332"/>
    <w:rsid w:val="0059007D"/>
    <w:rsid w:val="005917A2"/>
    <w:rsid w:val="00591D45"/>
    <w:rsid w:val="00592CB4"/>
    <w:rsid w:val="00595494"/>
    <w:rsid w:val="0059690A"/>
    <w:rsid w:val="00596CCF"/>
    <w:rsid w:val="005A2657"/>
    <w:rsid w:val="005A29C4"/>
    <w:rsid w:val="005A3D63"/>
    <w:rsid w:val="005A5ECD"/>
    <w:rsid w:val="005A7779"/>
    <w:rsid w:val="005B198D"/>
    <w:rsid w:val="005B6A56"/>
    <w:rsid w:val="005C1C13"/>
    <w:rsid w:val="005C2A3B"/>
    <w:rsid w:val="005C4DDF"/>
    <w:rsid w:val="005C6A67"/>
    <w:rsid w:val="005C7375"/>
    <w:rsid w:val="005C7F04"/>
    <w:rsid w:val="005D2142"/>
    <w:rsid w:val="005D28E9"/>
    <w:rsid w:val="005D2FC3"/>
    <w:rsid w:val="005D3EB2"/>
    <w:rsid w:val="005D5B2E"/>
    <w:rsid w:val="005E0448"/>
    <w:rsid w:val="005E42DF"/>
    <w:rsid w:val="005E6986"/>
    <w:rsid w:val="005F1F0B"/>
    <w:rsid w:val="005F3E52"/>
    <w:rsid w:val="005F52CB"/>
    <w:rsid w:val="005F5B1A"/>
    <w:rsid w:val="005F6214"/>
    <w:rsid w:val="00603D16"/>
    <w:rsid w:val="00604DD2"/>
    <w:rsid w:val="00605B9B"/>
    <w:rsid w:val="00607459"/>
    <w:rsid w:val="00607487"/>
    <w:rsid w:val="006075BC"/>
    <w:rsid w:val="0061182E"/>
    <w:rsid w:val="00612B42"/>
    <w:rsid w:val="006134B8"/>
    <w:rsid w:val="00624B5C"/>
    <w:rsid w:val="00624C97"/>
    <w:rsid w:val="0062556B"/>
    <w:rsid w:val="00626BD1"/>
    <w:rsid w:val="00642184"/>
    <w:rsid w:val="00656472"/>
    <w:rsid w:val="006617D6"/>
    <w:rsid w:val="00662E26"/>
    <w:rsid w:val="00663453"/>
    <w:rsid w:val="00663D57"/>
    <w:rsid w:val="00664D86"/>
    <w:rsid w:val="00674A7A"/>
    <w:rsid w:val="00677BE5"/>
    <w:rsid w:val="00680FBA"/>
    <w:rsid w:val="00682171"/>
    <w:rsid w:val="00685DB0"/>
    <w:rsid w:val="006866B9"/>
    <w:rsid w:val="00690787"/>
    <w:rsid w:val="00692C62"/>
    <w:rsid w:val="00694EFE"/>
    <w:rsid w:val="00697D4F"/>
    <w:rsid w:val="00697F9D"/>
    <w:rsid w:val="006A1715"/>
    <w:rsid w:val="006A2184"/>
    <w:rsid w:val="006A5532"/>
    <w:rsid w:val="006A5CFA"/>
    <w:rsid w:val="006B0621"/>
    <w:rsid w:val="006B1125"/>
    <w:rsid w:val="006B12D5"/>
    <w:rsid w:val="006B16F4"/>
    <w:rsid w:val="006B4693"/>
    <w:rsid w:val="006B599A"/>
    <w:rsid w:val="006B7580"/>
    <w:rsid w:val="006C3F66"/>
    <w:rsid w:val="006C4041"/>
    <w:rsid w:val="006C5131"/>
    <w:rsid w:val="006C5F4C"/>
    <w:rsid w:val="006D0531"/>
    <w:rsid w:val="006D5148"/>
    <w:rsid w:val="006D7FBB"/>
    <w:rsid w:val="006E0935"/>
    <w:rsid w:val="006E28A3"/>
    <w:rsid w:val="006E43A2"/>
    <w:rsid w:val="006E56CC"/>
    <w:rsid w:val="006E64E5"/>
    <w:rsid w:val="006E6F8E"/>
    <w:rsid w:val="006E7DDB"/>
    <w:rsid w:val="006F12CE"/>
    <w:rsid w:val="006F2F4E"/>
    <w:rsid w:val="006F79A1"/>
    <w:rsid w:val="00702332"/>
    <w:rsid w:val="00703BD1"/>
    <w:rsid w:val="00704AA0"/>
    <w:rsid w:val="0071147D"/>
    <w:rsid w:val="00712320"/>
    <w:rsid w:val="0071263A"/>
    <w:rsid w:val="00712CC9"/>
    <w:rsid w:val="00714073"/>
    <w:rsid w:val="00723C3B"/>
    <w:rsid w:val="0072482E"/>
    <w:rsid w:val="00725599"/>
    <w:rsid w:val="0072759E"/>
    <w:rsid w:val="00731082"/>
    <w:rsid w:val="007321A8"/>
    <w:rsid w:val="0073666D"/>
    <w:rsid w:val="00737326"/>
    <w:rsid w:val="00743A24"/>
    <w:rsid w:val="007464E3"/>
    <w:rsid w:val="0074686C"/>
    <w:rsid w:val="00750909"/>
    <w:rsid w:val="00753651"/>
    <w:rsid w:val="00754399"/>
    <w:rsid w:val="007547B0"/>
    <w:rsid w:val="00754E5C"/>
    <w:rsid w:val="00755B91"/>
    <w:rsid w:val="00757190"/>
    <w:rsid w:val="00757216"/>
    <w:rsid w:val="00762A72"/>
    <w:rsid w:val="00763CD1"/>
    <w:rsid w:val="00765BE2"/>
    <w:rsid w:val="00770A19"/>
    <w:rsid w:val="007733AC"/>
    <w:rsid w:val="00774B2D"/>
    <w:rsid w:val="00777040"/>
    <w:rsid w:val="007818FA"/>
    <w:rsid w:val="007837DE"/>
    <w:rsid w:val="007842DB"/>
    <w:rsid w:val="007847D7"/>
    <w:rsid w:val="00784EEE"/>
    <w:rsid w:val="00785941"/>
    <w:rsid w:val="007900C7"/>
    <w:rsid w:val="00790B00"/>
    <w:rsid w:val="00797BA5"/>
    <w:rsid w:val="007A4512"/>
    <w:rsid w:val="007A4C1D"/>
    <w:rsid w:val="007A6125"/>
    <w:rsid w:val="007A642A"/>
    <w:rsid w:val="007A6AD6"/>
    <w:rsid w:val="007A74AF"/>
    <w:rsid w:val="007B5A30"/>
    <w:rsid w:val="007C08CC"/>
    <w:rsid w:val="007C1152"/>
    <w:rsid w:val="007C60FE"/>
    <w:rsid w:val="007C68D8"/>
    <w:rsid w:val="007C7207"/>
    <w:rsid w:val="007C7B20"/>
    <w:rsid w:val="007C7CC9"/>
    <w:rsid w:val="007D28EA"/>
    <w:rsid w:val="007D42CF"/>
    <w:rsid w:val="007E188E"/>
    <w:rsid w:val="007E209A"/>
    <w:rsid w:val="007F358A"/>
    <w:rsid w:val="007F563D"/>
    <w:rsid w:val="007F6104"/>
    <w:rsid w:val="007F75F1"/>
    <w:rsid w:val="0080312C"/>
    <w:rsid w:val="00803F86"/>
    <w:rsid w:val="008042A5"/>
    <w:rsid w:val="00804B2C"/>
    <w:rsid w:val="00805186"/>
    <w:rsid w:val="0080689C"/>
    <w:rsid w:val="00806AA4"/>
    <w:rsid w:val="0081112E"/>
    <w:rsid w:val="00812DA7"/>
    <w:rsid w:val="00814C22"/>
    <w:rsid w:val="0081739B"/>
    <w:rsid w:val="0082056B"/>
    <w:rsid w:val="00821B59"/>
    <w:rsid w:val="008220F5"/>
    <w:rsid w:val="00823218"/>
    <w:rsid w:val="0082426A"/>
    <w:rsid w:val="00824884"/>
    <w:rsid w:val="00824E4F"/>
    <w:rsid w:val="00824E62"/>
    <w:rsid w:val="00827D6B"/>
    <w:rsid w:val="008319FB"/>
    <w:rsid w:val="00833147"/>
    <w:rsid w:val="00835498"/>
    <w:rsid w:val="00837088"/>
    <w:rsid w:val="00845157"/>
    <w:rsid w:val="00846456"/>
    <w:rsid w:val="00846631"/>
    <w:rsid w:val="00855653"/>
    <w:rsid w:val="0085758F"/>
    <w:rsid w:val="00857F05"/>
    <w:rsid w:val="008618FC"/>
    <w:rsid w:val="00861A15"/>
    <w:rsid w:val="00864278"/>
    <w:rsid w:val="008656F3"/>
    <w:rsid w:val="00867F6B"/>
    <w:rsid w:val="00870ED2"/>
    <w:rsid w:val="00871A1B"/>
    <w:rsid w:val="0087339D"/>
    <w:rsid w:val="00874AFC"/>
    <w:rsid w:val="00876337"/>
    <w:rsid w:val="008813AD"/>
    <w:rsid w:val="00881F6C"/>
    <w:rsid w:val="00895866"/>
    <w:rsid w:val="00896AFC"/>
    <w:rsid w:val="008974FD"/>
    <w:rsid w:val="008977A9"/>
    <w:rsid w:val="00897A7A"/>
    <w:rsid w:val="008A02CB"/>
    <w:rsid w:val="008A456D"/>
    <w:rsid w:val="008A5458"/>
    <w:rsid w:val="008A71D1"/>
    <w:rsid w:val="008B17E5"/>
    <w:rsid w:val="008B183B"/>
    <w:rsid w:val="008B3317"/>
    <w:rsid w:val="008B4529"/>
    <w:rsid w:val="008B4ED2"/>
    <w:rsid w:val="008B5788"/>
    <w:rsid w:val="008B59BD"/>
    <w:rsid w:val="008C22AA"/>
    <w:rsid w:val="008C2B10"/>
    <w:rsid w:val="008C2B13"/>
    <w:rsid w:val="008C3C26"/>
    <w:rsid w:val="008C7576"/>
    <w:rsid w:val="008D179C"/>
    <w:rsid w:val="008D4C98"/>
    <w:rsid w:val="008D6D5C"/>
    <w:rsid w:val="008D7C6D"/>
    <w:rsid w:val="008D7C7B"/>
    <w:rsid w:val="008D7DC6"/>
    <w:rsid w:val="008E34E4"/>
    <w:rsid w:val="008F2B03"/>
    <w:rsid w:val="008F42B7"/>
    <w:rsid w:val="008F6E3E"/>
    <w:rsid w:val="00900346"/>
    <w:rsid w:val="00901B23"/>
    <w:rsid w:val="009030B4"/>
    <w:rsid w:val="00903FC9"/>
    <w:rsid w:val="009057A6"/>
    <w:rsid w:val="009059C0"/>
    <w:rsid w:val="00907890"/>
    <w:rsid w:val="009102BC"/>
    <w:rsid w:val="0091244A"/>
    <w:rsid w:val="0091403D"/>
    <w:rsid w:val="00914F6F"/>
    <w:rsid w:val="00915188"/>
    <w:rsid w:val="00915750"/>
    <w:rsid w:val="00915FB7"/>
    <w:rsid w:val="0092102C"/>
    <w:rsid w:val="009219BB"/>
    <w:rsid w:val="00921CB4"/>
    <w:rsid w:val="00923C34"/>
    <w:rsid w:val="0092565F"/>
    <w:rsid w:val="009259E9"/>
    <w:rsid w:val="00930B50"/>
    <w:rsid w:val="00932BEF"/>
    <w:rsid w:val="009335E0"/>
    <w:rsid w:val="0093490C"/>
    <w:rsid w:val="009368E6"/>
    <w:rsid w:val="009376CC"/>
    <w:rsid w:val="00941A2D"/>
    <w:rsid w:val="00942AAA"/>
    <w:rsid w:val="00943DA5"/>
    <w:rsid w:val="00944F48"/>
    <w:rsid w:val="00946734"/>
    <w:rsid w:val="009474EB"/>
    <w:rsid w:val="00951B21"/>
    <w:rsid w:val="009552F5"/>
    <w:rsid w:val="00955698"/>
    <w:rsid w:val="00960CE8"/>
    <w:rsid w:val="00961FC7"/>
    <w:rsid w:val="00962A95"/>
    <w:rsid w:val="00962D0E"/>
    <w:rsid w:val="009659C3"/>
    <w:rsid w:val="00965DC5"/>
    <w:rsid w:val="00965E43"/>
    <w:rsid w:val="009666FD"/>
    <w:rsid w:val="00970FC1"/>
    <w:rsid w:val="0097428E"/>
    <w:rsid w:val="0097536C"/>
    <w:rsid w:val="00976F97"/>
    <w:rsid w:val="00977E44"/>
    <w:rsid w:val="00980AC8"/>
    <w:rsid w:val="00981F41"/>
    <w:rsid w:val="00982F3A"/>
    <w:rsid w:val="009835CD"/>
    <w:rsid w:val="009862E0"/>
    <w:rsid w:val="00987BCF"/>
    <w:rsid w:val="0099041D"/>
    <w:rsid w:val="00991207"/>
    <w:rsid w:val="00997AF9"/>
    <w:rsid w:val="00997BE9"/>
    <w:rsid w:val="00997E21"/>
    <w:rsid w:val="009A200B"/>
    <w:rsid w:val="009A317C"/>
    <w:rsid w:val="009B4096"/>
    <w:rsid w:val="009B569C"/>
    <w:rsid w:val="009B7FB7"/>
    <w:rsid w:val="009C0658"/>
    <w:rsid w:val="009C19CD"/>
    <w:rsid w:val="009C21E9"/>
    <w:rsid w:val="009C5DEA"/>
    <w:rsid w:val="009C5ED9"/>
    <w:rsid w:val="009C7021"/>
    <w:rsid w:val="009D0319"/>
    <w:rsid w:val="009D1890"/>
    <w:rsid w:val="009D385B"/>
    <w:rsid w:val="009D54FD"/>
    <w:rsid w:val="009D57E7"/>
    <w:rsid w:val="009D6B99"/>
    <w:rsid w:val="009E077E"/>
    <w:rsid w:val="009E288F"/>
    <w:rsid w:val="009E2F1B"/>
    <w:rsid w:val="009E6799"/>
    <w:rsid w:val="009F0753"/>
    <w:rsid w:val="009F1D4F"/>
    <w:rsid w:val="009F2642"/>
    <w:rsid w:val="009F5901"/>
    <w:rsid w:val="009F6719"/>
    <w:rsid w:val="00A01DDD"/>
    <w:rsid w:val="00A03745"/>
    <w:rsid w:val="00A05011"/>
    <w:rsid w:val="00A05DCB"/>
    <w:rsid w:val="00A13640"/>
    <w:rsid w:val="00A137DC"/>
    <w:rsid w:val="00A17E5E"/>
    <w:rsid w:val="00A20811"/>
    <w:rsid w:val="00A22AD8"/>
    <w:rsid w:val="00A2441D"/>
    <w:rsid w:val="00A24847"/>
    <w:rsid w:val="00A25B41"/>
    <w:rsid w:val="00A26C2D"/>
    <w:rsid w:val="00A27468"/>
    <w:rsid w:val="00A37A4D"/>
    <w:rsid w:val="00A40F66"/>
    <w:rsid w:val="00A42C88"/>
    <w:rsid w:val="00A42D93"/>
    <w:rsid w:val="00A47206"/>
    <w:rsid w:val="00A477DE"/>
    <w:rsid w:val="00A47B9A"/>
    <w:rsid w:val="00A5050D"/>
    <w:rsid w:val="00A554D6"/>
    <w:rsid w:val="00A55787"/>
    <w:rsid w:val="00A614A8"/>
    <w:rsid w:val="00A6265B"/>
    <w:rsid w:val="00A63F43"/>
    <w:rsid w:val="00A642AA"/>
    <w:rsid w:val="00A7337B"/>
    <w:rsid w:val="00A75D37"/>
    <w:rsid w:val="00A85536"/>
    <w:rsid w:val="00A904F6"/>
    <w:rsid w:val="00A908A7"/>
    <w:rsid w:val="00A910D9"/>
    <w:rsid w:val="00A92595"/>
    <w:rsid w:val="00A93CE3"/>
    <w:rsid w:val="00A949A9"/>
    <w:rsid w:val="00A9528E"/>
    <w:rsid w:val="00A95748"/>
    <w:rsid w:val="00A97512"/>
    <w:rsid w:val="00A97A15"/>
    <w:rsid w:val="00AA07D4"/>
    <w:rsid w:val="00AA17E7"/>
    <w:rsid w:val="00AA4BC4"/>
    <w:rsid w:val="00AB204E"/>
    <w:rsid w:val="00AB211B"/>
    <w:rsid w:val="00AB2A8C"/>
    <w:rsid w:val="00AB3236"/>
    <w:rsid w:val="00AB4BE2"/>
    <w:rsid w:val="00AB615C"/>
    <w:rsid w:val="00AB6D69"/>
    <w:rsid w:val="00AB7FE7"/>
    <w:rsid w:val="00AC3A92"/>
    <w:rsid w:val="00AC44FC"/>
    <w:rsid w:val="00AC6BB7"/>
    <w:rsid w:val="00AC6FEE"/>
    <w:rsid w:val="00AD0165"/>
    <w:rsid w:val="00AD047E"/>
    <w:rsid w:val="00AD05CA"/>
    <w:rsid w:val="00AD213C"/>
    <w:rsid w:val="00AD4DD7"/>
    <w:rsid w:val="00AD5A36"/>
    <w:rsid w:val="00AD5BD8"/>
    <w:rsid w:val="00AE09F6"/>
    <w:rsid w:val="00AE14BB"/>
    <w:rsid w:val="00AE54E2"/>
    <w:rsid w:val="00AE7587"/>
    <w:rsid w:val="00AF02B4"/>
    <w:rsid w:val="00AF25E7"/>
    <w:rsid w:val="00AF342C"/>
    <w:rsid w:val="00AF4092"/>
    <w:rsid w:val="00AF4B13"/>
    <w:rsid w:val="00AF4E99"/>
    <w:rsid w:val="00B00289"/>
    <w:rsid w:val="00B035EF"/>
    <w:rsid w:val="00B04B8E"/>
    <w:rsid w:val="00B101B7"/>
    <w:rsid w:val="00B10484"/>
    <w:rsid w:val="00B10A2D"/>
    <w:rsid w:val="00B11DDF"/>
    <w:rsid w:val="00B12083"/>
    <w:rsid w:val="00B121F4"/>
    <w:rsid w:val="00B12ECE"/>
    <w:rsid w:val="00B12F8C"/>
    <w:rsid w:val="00B16AAC"/>
    <w:rsid w:val="00B16DD1"/>
    <w:rsid w:val="00B17B5C"/>
    <w:rsid w:val="00B3340F"/>
    <w:rsid w:val="00B334E5"/>
    <w:rsid w:val="00B362DA"/>
    <w:rsid w:val="00B3679E"/>
    <w:rsid w:val="00B41D9F"/>
    <w:rsid w:val="00B428E6"/>
    <w:rsid w:val="00B43200"/>
    <w:rsid w:val="00B46525"/>
    <w:rsid w:val="00B4683C"/>
    <w:rsid w:val="00B47979"/>
    <w:rsid w:val="00B50669"/>
    <w:rsid w:val="00B50BF9"/>
    <w:rsid w:val="00B52CA4"/>
    <w:rsid w:val="00B54332"/>
    <w:rsid w:val="00B570C3"/>
    <w:rsid w:val="00B609FF"/>
    <w:rsid w:val="00B61F9F"/>
    <w:rsid w:val="00B62813"/>
    <w:rsid w:val="00B62AD2"/>
    <w:rsid w:val="00B6542F"/>
    <w:rsid w:val="00B6632D"/>
    <w:rsid w:val="00B67888"/>
    <w:rsid w:val="00B67B9F"/>
    <w:rsid w:val="00B720A8"/>
    <w:rsid w:val="00B7295C"/>
    <w:rsid w:val="00B74026"/>
    <w:rsid w:val="00B74037"/>
    <w:rsid w:val="00B765B4"/>
    <w:rsid w:val="00B80220"/>
    <w:rsid w:val="00B822D9"/>
    <w:rsid w:val="00B831C1"/>
    <w:rsid w:val="00B86BA0"/>
    <w:rsid w:val="00B91635"/>
    <w:rsid w:val="00B916E0"/>
    <w:rsid w:val="00B93FD3"/>
    <w:rsid w:val="00B942DF"/>
    <w:rsid w:val="00B963E8"/>
    <w:rsid w:val="00B97112"/>
    <w:rsid w:val="00BA2C59"/>
    <w:rsid w:val="00BA3C2C"/>
    <w:rsid w:val="00BA57E3"/>
    <w:rsid w:val="00BA5EE5"/>
    <w:rsid w:val="00BB0710"/>
    <w:rsid w:val="00BB1573"/>
    <w:rsid w:val="00BB40CE"/>
    <w:rsid w:val="00BB477A"/>
    <w:rsid w:val="00BB51DD"/>
    <w:rsid w:val="00BB7678"/>
    <w:rsid w:val="00BC0B2F"/>
    <w:rsid w:val="00BC19EC"/>
    <w:rsid w:val="00BC4450"/>
    <w:rsid w:val="00BC6EED"/>
    <w:rsid w:val="00BD0554"/>
    <w:rsid w:val="00BD2907"/>
    <w:rsid w:val="00BD5B9A"/>
    <w:rsid w:val="00BD68BB"/>
    <w:rsid w:val="00BE0C8C"/>
    <w:rsid w:val="00BE3644"/>
    <w:rsid w:val="00BE3755"/>
    <w:rsid w:val="00BF328F"/>
    <w:rsid w:val="00BF4331"/>
    <w:rsid w:val="00C01BA2"/>
    <w:rsid w:val="00C0242A"/>
    <w:rsid w:val="00C02A10"/>
    <w:rsid w:val="00C02D42"/>
    <w:rsid w:val="00C0358C"/>
    <w:rsid w:val="00C05BBC"/>
    <w:rsid w:val="00C066E1"/>
    <w:rsid w:val="00C07415"/>
    <w:rsid w:val="00C14237"/>
    <w:rsid w:val="00C14C41"/>
    <w:rsid w:val="00C16E46"/>
    <w:rsid w:val="00C16E56"/>
    <w:rsid w:val="00C17E8C"/>
    <w:rsid w:val="00C20850"/>
    <w:rsid w:val="00C237FD"/>
    <w:rsid w:val="00C24010"/>
    <w:rsid w:val="00C30360"/>
    <w:rsid w:val="00C30BEB"/>
    <w:rsid w:val="00C32538"/>
    <w:rsid w:val="00C32F21"/>
    <w:rsid w:val="00C330B9"/>
    <w:rsid w:val="00C33DA6"/>
    <w:rsid w:val="00C34209"/>
    <w:rsid w:val="00C345CD"/>
    <w:rsid w:val="00C37697"/>
    <w:rsid w:val="00C408AE"/>
    <w:rsid w:val="00C408F9"/>
    <w:rsid w:val="00C41261"/>
    <w:rsid w:val="00C412D2"/>
    <w:rsid w:val="00C41503"/>
    <w:rsid w:val="00C423EB"/>
    <w:rsid w:val="00C427E4"/>
    <w:rsid w:val="00C44641"/>
    <w:rsid w:val="00C450EF"/>
    <w:rsid w:val="00C46D2C"/>
    <w:rsid w:val="00C47899"/>
    <w:rsid w:val="00C47E35"/>
    <w:rsid w:val="00C500F3"/>
    <w:rsid w:val="00C50CFC"/>
    <w:rsid w:val="00C51E36"/>
    <w:rsid w:val="00C52921"/>
    <w:rsid w:val="00C53359"/>
    <w:rsid w:val="00C54929"/>
    <w:rsid w:val="00C54D2A"/>
    <w:rsid w:val="00C55D2B"/>
    <w:rsid w:val="00C55D9C"/>
    <w:rsid w:val="00C63096"/>
    <w:rsid w:val="00C633B3"/>
    <w:rsid w:val="00C6638C"/>
    <w:rsid w:val="00C6744B"/>
    <w:rsid w:val="00C71FBE"/>
    <w:rsid w:val="00C728D3"/>
    <w:rsid w:val="00C72AAE"/>
    <w:rsid w:val="00C74126"/>
    <w:rsid w:val="00C74B60"/>
    <w:rsid w:val="00C82E03"/>
    <w:rsid w:val="00C83957"/>
    <w:rsid w:val="00C841E9"/>
    <w:rsid w:val="00C94D55"/>
    <w:rsid w:val="00C95802"/>
    <w:rsid w:val="00C9666A"/>
    <w:rsid w:val="00C96ED3"/>
    <w:rsid w:val="00CA18D0"/>
    <w:rsid w:val="00CA3219"/>
    <w:rsid w:val="00CA5719"/>
    <w:rsid w:val="00CB6989"/>
    <w:rsid w:val="00CB7ACF"/>
    <w:rsid w:val="00CC0045"/>
    <w:rsid w:val="00CC1927"/>
    <w:rsid w:val="00CC2BD4"/>
    <w:rsid w:val="00CC3C70"/>
    <w:rsid w:val="00CC477A"/>
    <w:rsid w:val="00CC51D8"/>
    <w:rsid w:val="00CD0123"/>
    <w:rsid w:val="00CD0294"/>
    <w:rsid w:val="00CD2141"/>
    <w:rsid w:val="00CD3CDD"/>
    <w:rsid w:val="00CD73D0"/>
    <w:rsid w:val="00CD73FA"/>
    <w:rsid w:val="00CE437A"/>
    <w:rsid w:val="00CF364A"/>
    <w:rsid w:val="00CF60B3"/>
    <w:rsid w:val="00D00FDE"/>
    <w:rsid w:val="00D01537"/>
    <w:rsid w:val="00D01E20"/>
    <w:rsid w:val="00D04873"/>
    <w:rsid w:val="00D10728"/>
    <w:rsid w:val="00D12512"/>
    <w:rsid w:val="00D128ED"/>
    <w:rsid w:val="00D12F0B"/>
    <w:rsid w:val="00D205AC"/>
    <w:rsid w:val="00D232D0"/>
    <w:rsid w:val="00D24332"/>
    <w:rsid w:val="00D27BFB"/>
    <w:rsid w:val="00D30373"/>
    <w:rsid w:val="00D31E9C"/>
    <w:rsid w:val="00D36384"/>
    <w:rsid w:val="00D42350"/>
    <w:rsid w:val="00D47E96"/>
    <w:rsid w:val="00D50133"/>
    <w:rsid w:val="00D53256"/>
    <w:rsid w:val="00D53441"/>
    <w:rsid w:val="00D53A5B"/>
    <w:rsid w:val="00D54549"/>
    <w:rsid w:val="00D555D8"/>
    <w:rsid w:val="00D60D88"/>
    <w:rsid w:val="00D620A3"/>
    <w:rsid w:val="00D623C9"/>
    <w:rsid w:val="00D657CC"/>
    <w:rsid w:val="00D754EA"/>
    <w:rsid w:val="00D76BEF"/>
    <w:rsid w:val="00D7735B"/>
    <w:rsid w:val="00D840ED"/>
    <w:rsid w:val="00D850DB"/>
    <w:rsid w:val="00D8665A"/>
    <w:rsid w:val="00D87CFD"/>
    <w:rsid w:val="00D973F4"/>
    <w:rsid w:val="00DA0872"/>
    <w:rsid w:val="00DA0C9E"/>
    <w:rsid w:val="00DB5228"/>
    <w:rsid w:val="00DC23C4"/>
    <w:rsid w:val="00DC2F2F"/>
    <w:rsid w:val="00DC3A4C"/>
    <w:rsid w:val="00DD0607"/>
    <w:rsid w:val="00DD06D9"/>
    <w:rsid w:val="00DD170F"/>
    <w:rsid w:val="00DD320D"/>
    <w:rsid w:val="00DD379A"/>
    <w:rsid w:val="00DD4D9B"/>
    <w:rsid w:val="00DD6B9F"/>
    <w:rsid w:val="00DE1CD8"/>
    <w:rsid w:val="00DE6F82"/>
    <w:rsid w:val="00DE7DDA"/>
    <w:rsid w:val="00DF1ADB"/>
    <w:rsid w:val="00DF38EF"/>
    <w:rsid w:val="00DF4C3C"/>
    <w:rsid w:val="00E01127"/>
    <w:rsid w:val="00E0289F"/>
    <w:rsid w:val="00E05604"/>
    <w:rsid w:val="00E10FC8"/>
    <w:rsid w:val="00E13520"/>
    <w:rsid w:val="00E15F67"/>
    <w:rsid w:val="00E16A0F"/>
    <w:rsid w:val="00E16E22"/>
    <w:rsid w:val="00E20C04"/>
    <w:rsid w:val="00E230EA"/>
    <w:rsid w:val="00E23669"/>
    <w:rsid w:val="00E2414A"/>
    <w:rsid w:val="00E24CAE"/>
    <w:rsid w:val="00E25AD6"/>
    <w:rsid w:val="00E27F9C"/>
    <w:rsid w:val="00E30B86"/>
    <w:rsid w:val="00E37496"/>
    <w:rsid w:val="00E3798A"/>
    <w:rsid w:val="00E424F0"/>
    <w:rsid w:val="00E438AB"/>
    <w:rsid w:val="00E44A40"/>
    <w:rsid w:val="00E47033"/>
    <w:rsid w:val="00E47103"/>
    <w:rsid w:val="00E47281"/>
    <w:rsid w:val="00E509C8"/>
    <w:rsid w:val="00E50A22"/>
    <w:rsid w:val="00E51CC0"/>
    <w:rsid w:val="00E522B7"/>
    <w:rsid w:val="00E53E6C"/>
    <w:rsid w:val="00E549F4"/>
    <w:rsid w:val="00E5564E"/>
    <w:rsid w:val="00E558AD"/>
    <w:rsid w:val="00E56C5F"/>
    <w:rsid w:val="00E571EE"/>
    <w:rsid w:val="00E63320"/>
    <w:rsid w:val="00E63E33"/>
    <w:rsid w:val="00E64820"/>
    <w:rsid w:val="00E70F41"/>
    <w:rsid w:val="00E734BE"/>
    <w:rsid w:val="00E80344"/>
    <w:rsid w:val="00E80486"/>
    <w:rsid w:val="00E8056A"/>
    <w:rsid w:val="00E80716"/>
    <w:rsid w:val="00E813AE"/>
    <w:rsid w:val="00E87316"/>
    <w:rsid w:val="00E901EB"/>
    <w:rsid w:val="00E9245C"/>
    <w:rsid w:val="00E935A4"/>
    <w:rsid w:val="00E94430"/>
    <w:rsid w:val="00EA0D6A"/>
    <w:rsid w:val="00EA1CB3"/>
    <w:rsid w:val="00EA36A3"/>
    <w:rsid w:val="00EA5514"/>
    <w:rsid w:val="00EA7250"/>
    <w:rsid w:val="00EA72B0"/>
    <w:rsid w:val="00EB2608"/>
    <w:rsid w:val="00EB52B7"/>
    <w:rsid w:val="00EB7143"/>
    <w:rsid w:val="00EC2665"/>
    <w:rsid w:val="00EC3057"/>
    <w:rsid w:val="00EC3BEF"/>
    <w:rsid w:val="00EC672F"/>
    <w:rsid w:val="00EC68AF"/>
    <w:rsid w:val="00EC7A8F"/>
    <w:rsid w:val="00ED1899"/>
    <w:rsid w:val="00ED23CA"/>
    <w:rsid w:val="00ED54FA"/>
    <w:rsid w:val="00ED6DFD"/>
    <w:rsid w:val="00EE09D0"/>
    <w:rsid w:val="00EE0A16"/>
    <w:rsid w:val="00EE11A6"/>
    <w:rsid w:val="00EE1706"/>
    <w:rsid w:val="00EE1A08"/>
    <w:rsid w:val="00EE36A0"/>
    <w:rsid w:val="00EE3D3E"/>
    <w:rsid w:val="00EE3EEE"/>
    <w:rsid w:val="00EF18A7"/>
    <w:rsid w:val="00EF2410"/>
    <w:rsid w:val="00F01C7B"/>
    <w:rsid w:val="00F038AA"/>
    <w:rsid w:val="00F05DBB"/>
    <w:rsid w:val="00F10747"/>
    <w:rsid w:val="00F12BB2"/>
    <w:rsid w:val="00F13B73"/>
    <w:rsid w:val="00F20007"/>
    <w:rsid w:val="00F24115"/>
    <w:rsid w:val="00F26E75"/>
    <w:rsid w:val="00F366B4"/>
    <w:rsid w:val="00F4082F"/>
    <w:rsid w:val="00F4310C"/>
    <w:rsid w:val="00F4428B"/>
    <w:rsid w:val="00F45801"/>
    <w:rsid w:val="00F53C0D"/>
    <w:rsid w:val="00F5422A"/>
    <w:rsid w:val="00F577CC"/>
    <w:rsid w:val="00F601BD"/>
    <w:rsid w:val="00F60388"/>
    <w:rsid w:val="00F617AC"/>
    <w:rsid w:val="00F61BDE"/>
    <w:rsid w:val="00F61D52"/>
    <w:rsid w:val="00F62E20"/>
    <w:rsid w:val="00F637D4"/>
    <w:rsid w:val="00F64A1A"/>
    <w:rsid w:val="00F65925"/>
    <w:rsid w:val="00F70028"/>
    <w:rsid w:val="00F71E74"/>
    <w:rsid w:val="00F72537"/>
    <w:rsid w:val="00F75CB1"/>
    <w:rsid w:val="00F77BF7"/>
    <w:rsid w:val="00F80511"/>
    <w:rsid w:val="00F8161E"/>
    <w:rsid w:val="00F82AF6"/>
    <w:rsid w:val="00F835C8"/>
    <w:rsid w:val="00F835E1"/>
    <w:rsid w:val="00F900A7"/>
    <w:rsid w:val="00F905B0"/>
    <w:rsid w:val="00F907EC"/>
    <w:rsid w:val="00F927B7"/>
    <w:rsid w:val="00F92C17"/>
    <w:rsid w:val="00F9577C"/>
    <w:rsid w:val="00FA09B4"/>
    <w:rsid w:val="00FA09C4"/>
    <w:rsid w:val="00FA7AB5"/>
    <w:rsid w:val="00FB0F65"/>
    <w:rsid w:val="00FB1E54"/>
    <w:rsid w:val="00FB27F6"/>
    <w:rsid w:val="00FB30A0"/>
    <w:rsid w:val="00FB4550"/>
    <w:rsid w:val="00FC2990"/>
    <w:rsid w:val="00FC31BD"/>
    <w:rsid w:val="00FC34FC"/>
    <w:rsid w:val="00FC744C"/>
    <w:rsid w:val="00FD02E7"/>
    <w:rsid w:val="00FD0559"/>
    <w:rsid w:val="00FD10D3"/>
    <w:rsid w:val="00FD457A"/>
    <w:rsid w:val="00FD4843"/>
    <w:rsid w:val="00FD50BB"/>
    <w:rsid w:val="00FD761E"/>
    <w:rsid w:val="00FE0972"/>
    <w:rsid w:val="00FE0D78"/>
    <w:rsid w:val="00FE1353"/>
    <w:rsid w:val="00FE2EF0"/>
    <w:rsid w:val="00FE70B9"/>
    <w:rsid w:val="00FF2AB2"/>
    <w:rsid w:val="00FF4327"/>
    <w:rsid w:val="00FF4C7E"/>
    <w:rsid w:val="00FF50CD"/>
    <w:rsid w:val="00FF5B98"/>
    <w:rsid w:val="00FF711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7569"/>
    <o:shapelayout v:ext="edit">
      <o:idmap v:ext="edit" data="1"/>
      <o:rules v:ext="edit">
        <o:r id="V:Rule5" type="connector" idref="#Straight Arrow Connector 10"/>
        <o:r id="V:Rule6" type="connector" idref="#Straight Arrow Connector 7"/>
        <o:r id="V:Rule7" type="connector" idref="#Straight Arrow Connector 8"/>
        <o:r id="V:Rule8" type="connector" idref="#Straight Arrow Connector 9"/>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List Number" w:uiPriority="99"/>
    <w:lsdException w:name="List Number 2" w:uiPriority="99"/>
    <w:lsdException w:name="Date" w:qFormat="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rsid w:val="004D425B"/>
    <w:rPr>
      <w:sz w:val="24"/>
      <w:szCs w:val="24"/>
      <w:lang w:eastAsia="en-US"/>
    </w:rPr>
  </w:style>
  <w:style w:type="paragraph" w:styleId="Heading1">
    <w:name w:val="heading 1"/>
    <w:basedOn w:val="Normal"/>
    <w:next w:val="Normal"/>
    <w:autoRedefine/>
    <w:qFormat/>
    <w:rsid w:val="000F1353"/>
    <w:pPr>
      <w:keepNext/>
      <w:spacing w:after="480"/>
      <w:jc w:val="right"/>
      <w:outlineLvl w:val="0"/>
    </w:pPr>
    <w:rPr>
      <w:rFonts w:ascii="Arial" w:hAnsi="Arial" w:cs="Arial"/>
      <w:b/>
      <w:bCs/>
      <w:kern w:val="32"/>
      <w:sz w:val="36"/>
      <w:szCs w:val="32"/>
    </w:rPr>
  </w:style>
  <w:style w:type="paragraph" w:styleId="Heading2">
    <w:name w:val="heading 2"/>
    <w:next w:val="Normal"/>
    <w:qFormat/>
    <w:rsid w:val="000F1353"/>
    <w:pPr>
      <w:pBdr>
        <w:bottom w:val="single" w:sz="4" w:space="1" w:color="auto"/>
      </w:pBdr>
      <w:jc w:val="right"/>
      <w:outlineLvl w:val="1"/>
    </w:pPr>
    <w:rPr>
      <w:rFonts w:ascii="Arial" w:hAnsi="Arial" w:cs="Arial"/>
      <w:b/>
      <w:bCs/>
      <w:sz w:val="30"/>
      <w:szCs w:val="24"/>
      <w:lang w:eastAsia="en-US"/>
    </w:rPr>
  </w:style>
  <w:style w:type="paragraph" w:styleId="Heading3">
    <w:name w:val="heading 3"/>
    <w:basedOn w:val="Normal"/>
    <w:next w:val="Normal"/>
    <w:qFormat/>
    <w:rsid w:val="005314BE"/>
    <w:pPr>
      <w:keepNext/>
      <w:spacing w:before="240" w:after="240"/>
      <w:outlineLvl w:val="2"/>
    </w:pPr>
    <w:rPr>
      <w:rFonts w:ascii="Arial" w:hAnsi="Arial" w:cs="Arial"/>
      <w:b/>
      <w:bCs/>
      <w:sz w:val="30"/>
      <w:szCs w:val="30"/>
    </w:rPr>
  </w:style>
  <w:style w:type="paragraph" w:styleId="Heading4">
    <w:name w:val="heading 4"/>
    <w:basedOn w:val="Numbered"/>
    <w:next w:val="Normal"/>
    <w:link w:val="Heading4Char"/>
    <w:qFormat/>
    <w:rsid w:val="00162883"/>
    <w:pPr>
      <w:keepNext/>
      <w:numPr>
        <w:numId w:val="0"/>
      </w:numPr>
      <w:outlineLvl w:val="3"/>
    </w:pPr>
    <w:rPr>
      <w:b/>
    </w:rPr>
  </w:style>
  <w:style w:type="paragraph" w:styleId="Heading5">
    <w:name w:val="heading 5"/>
    <w:basedOn w:val="Numbered"/>
    <w:next w:val="Normal"/>
    <w:link w:val="Heading5Char"/>
    <w:qFormat/>
    <w:rsid w:val="004D425B"/>
    <w:pPr>
      <w:numPr>
        <w:numId w:val="0"/>
      </w:numPr>
      <w:outlineLvl w:val="4"/>
    </w:pPr>
    <w:rPr>
      <w:i/>
    </w:rPr>
  </w:style>
  <w:style w:type="paragraph" w:styleId="Heading6">
    <w:name w:val="heading 6"/>
    <w:basedOn w:val="Normal"/>
    <w:next w:val="Normal"/>
    <w:link w:val="Heading6Char"/>
    <w:qFormat/>
    <w:rsid w:val="00784EEE"/>
    <w:pPr>
      <w:spacing w:before="240" w:after="60"/>
      <w:outlineLvl w:val="5"/>
    </w:pPr>
    <w:rPr>
      <w:rFonts w:asciiTheme="minorHAnsi" w:eastAsiaTheme="minorEastAsia" w:hAnsiTheme="minorHAnsi" w:cstheme="minorBid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
    <w:name w:val="Numbered"/>
    <w:basedOn w:val="Normal"/>
    <w:autoRedefine/>
    <w:rsid w:val="00162883"/>
    <w:pPr>
      <w:numPr>
        <w:numId w:val="2"/>
      </w:numPr>
      <w:spacing w:before="120" w:after="120"/>
    </w:pPr>
    <w:rPr>
      <w:rFonts w:ascii="Arial" w:hAnsi="Arial" w:cs="Arial"/>
      <w:sz w:val="22"/>
      <w:szCs w:val="22"/>
    </w:rPr>
  </w:style>
  <w:style w:type="character" w:styleId="Hyperlink">
    <w:name w:val="Hyperlink"/>
    <w:basedOn w:val="DefaultParagraphFont"/>
    <w:rPr>
      <w:color w:val="0000FF"/>
      <w:u w:val="single"/>
    </w:rPr>
  </w:style>
  <w:style w:type="paragraph" w:styleId="Header">
    <w:name w:val="header"/>
    <w:basedOn w:val="Normal"/>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character" w:customStyle="1" w:styleId="Heading4Char">
    <w:name w:val="Heading 4 Char"/>
    <w:basedOn w:val="DefaultParagraphFont"/>
    <w:link w:val="Heading4"/>
    <w:rsid w:val="00162883"/>
    <w:rPr>
      <w:rFonts w:ascii="Arial" w:hAnsi="Arial" w:cs="Arial"/>
      <w:b/>
      <w:sz w:val="22"/>
      <w:szCs w:val="22"/>
      <w:lang w:eastAsia="en-US"/>
    </w:rPr>
  </w:style>
  <w:style w:type="paragraph" w:customStyle="1" w:styleId="NormalParagraph">
    <w:name w:val="Normal Paragraph"/>
    <w:basedOn w:val="Numbered"/>
    <w:link w:val="NormalParagraphChar"/>
    <w:qFormat/>
    <w:rsid w:val="00987BCF"/>
  </w:style>
  <w:style w:type="paragraph" w:styleId="ListParagraph">
    <w:name w:val="List Paragraph"/>
    <w:basedOn w:val="ListBullet"/>
    <w:link w:val="ListParagraphChar"/>
    <w:uiPriority w:val="34"/>
    <w:qFormat/>
    <w:rsid w:val="00A42D93"/>
    <w:pPr>
      <w:tabs>
        <w:tab w:val="clear" w:pos="360"/>
        <w:tab w:val="left" w:pos="993"/>
        <w:tab w:val="left" w:pos="1134"/>
      </w:tabs>
      <w:spacing w:before="120" w:after="120" w:line="360" w:lineRule="auto"/>
      <w:ind w:left="1287"/>
    </w:pPr>
    <w:rPr>
      <w:rFonts w:ascii="Arial" w:hAnsi="Arial"/>
      <w:sz w:val="22"/>
    </w:rPr>
  </w:style>
  <w:style w:type="character" w:customStyle="1" w:styleId="FooterChar">
    <w:name w:val="Footer Char"/>
    <w:basedOn w:val="DefaultParagraphFont"/>
    <w:link w:val="Footer"/>
    <w:uiPriority w:val="99"/>
    <w:rsid w:val="00497688"/>
    <w:rPr>
      <w:sz w:val="24"/>
      <w:szCs w:val="24"/>
      <w:lang w:eastAsia="en-US"/>
    </w:rPr>
  </w:style>
  <w:style w:type="paragraph" w:styleId="ListBullet">
    <w:name w:val="List Bullet"/>
    <w:basedOn w:val="Normal"/>
    <w:rsid w:val="007F75F1"/>
    <w:pPr>
      <w:numPr>
        <w:numId w:val="1"/>
      </w:numPr>
      <w:contextualSpacing/>
    </w:pPr>
  </w:style>
  <w:style w:type="paragraph" w:styleId="Date">
    <w:name w:val="Date"/>
    <w:basedOn w:val="Normal"/>
    <w:next w:val="Normal"/>
    <w:link w:val="DateChar"/>
    <w:qFormat/>
    <w:rsid w:val="00E23669"/>
    <w:pPr>
      <w:spacing w:after="240"/>
      <w:jc w:val="right"/>
    </w:pPr>
    <w:rPr>
      <w:rFonts w:ascii="Arial" w:hAnsi="Arial" w:cs="Arial"/>
      <w:b/>
      <w:sz w:val="28"/>
      <w:szCs w:val="28"/>
    </w:rPr>
  </w:style>
  <w:style w:type="character" w:customStyle="1" w:styleId="DateChar">
    <w:name w:val="Date Char"/>
    <w:basedOn w:val="DefaultParagraphFont"/>
    <w:link w:val="Date"/>
    <w:rsid w:val="00E23669"/>
    <w:rPr>
      <w:rFonts w:ascii="Arial" w:hAnsi="Arial" w:cs="Arial"/>
      <w:b/>
      <w:sz w:val="28"/>
      <w:szCs w:val="28"/>
      <w:lang w:eastAsia="en-US"/>
    </w:rPr>
  </w:style>
  <w:style w:type="paragraph" w:styleId="BalloonText">
    <w:name w:val="Balloon Text"/>
    <w:basedOn w:val="Normal"/>
    <w:link w:val="BalloonTextChar"/>
    <w:rsid w:val="002B61E7"/>
    <w:rPr>
      <w:rFonts w:ascii="Tahoma" w:hAnsi="Tahoma" w:cs="Tahoma"/>
      <w:sz w:val="16"/>
      <w:szCs w:val="16"/>
    </w:rPr>
  </w:style>
  <w:style w:type="character" w:customStyle="1" w:styleId="BalloonTextChar">
    <w:name w:val="Balloon Text Char"/>
    <w:basedOn w:val="DefaultParagraphFont"/>
    <w:link w:val="BalloonText"/>
    <w:rsid w:val="002B61E7"/>
    <w:rPr>
      <w:rFonts w:ascii="Tahoma" w:hAnsi="Tahoma" w:cs="Tahoma"/>
      <w:sz w:val="16"/>
      <w:szCs w:val="16"/>
      <w:lang w:eastAsia="en-US"/>
    </w:rPr>
  </w:style>
  <w:style w:type="paragraph" w:customStyle="1" w:styleId="commentbox">
    <w:name w:val="comment box"/>
    <w:basedOn w:val="NormalParagraph"/>
    <w:qFormat/>
    <w:rsid w:val="00E813AE"/>
    <w:pPr>
      <w:numPr>
        <w:numId w:val="0"/>
      </w:numPr>
      <w:shd w:val="clear" w:color="auto" w:fill="D9D9D9"/>
      <w:spacing w:before="240" w:after="240"/>
    </w:pPr>
  </w:style>
  <w:style w:type="paragraph" w:customStyle="1" w:styleId="ABCList">
    <w:name w:val="ABC List"/>
    <w:qFormat/>
    <w:rsid w:val="002314C6"/>
    <w:pPr>
      <w:numPr>
        <w:numId w:val="3"/>
      </w:numPr>
      <w:spacing w:after="120"/>
      <w:ind w:left="992" w:hanging="425"/>
    </w:pPr>
    <w:rPr>
      <w:rFonts w:ascii="Arial" w:hAnsi="Arial"/>
      <w:sz w:val="22"/>
      <w:szCs w:val="24"/>
      <w:lang w:eastAsia="en-US"/>
    </w:rPr>
  </w:style>
  <w:style w:type="character" w:styleId="CommentReference">
    <w:name w:val="annotation reference"/>
    <w:basedOn w:val="DefaultParagraphFont"/>
    <w:rsid w:val="00C50CFC"/>
    <w:rPr>
      <w:sz w:val="16"/>
      <w:szCs w:val="16"/>
    </w:rPr>
  </w:style>
  <w:style w:type="paragraph" w:styleId="CommentText">
    <w:name w:val="annotation text"/>
    <w:basedOn w:val="Normal"/>
    <w:link w:val="CommentTextChar"/>
    <w:rsid w:val="00C50CFC"/>
    <w:rPr>
      <w:sz w:val="20"/>
      <w:szCs w:val="20"/>
    </w:rPr>
  </w:style>
  <w:style w:type="character" w:customStyle="1" w:styleId="CommentTextChar">
    <w:name w:val="Comment Text Char"/>
    <w:basedOn w:val="DefaultParagraphFont"/>
    <w:link w:val="CommentText"/>
    <w:rsid w:val="00C50CFC"/>
    <w:rPr>
      <w:lang w:eastAsia="en-US"/>
    </w:rPr>
  </w:style>
  <w:style w:type="paragraph" w:styleId="CommentSubject">
    <w:name w:val="annotation subject"/>
    <w:basedOn w:val="CommentText"/>
    <w:next w:val="CommentText"/>
    <w:link w:val="CommentSubjectChar"/>
    <w:rsid w:val="00C50CFC"/>
    <w:rPr>
      <w:b/>
      <w:bCs/>
    </w:rPr>
  </w:style>
  <w:style w:type="character" w:customStyle="1" w:styleId="CommentSubjectChar">
    <w:name w:val="Comment Subject Char"/>
    <w:basedOn w:val="CommentTextChar"/>
    <w:link w:val="CommentSubject"/>
    <w:rsid w:val="00C50CFC"/>
    <w:rPr>
      <w:b/>
      <w:bCs/>
      <w:lang w:eastAsia="en-US"/>
    </w:rPr>
  </w:style>
  <w:style w:type="paragraph" w:styleId="FootnoteText">
    <w:name w:val="footnote text"/>
    <w:basedOn w:val="Normal"/>
    <w:link w:val="FootnoteTextChar"/>
    <w:uiPriority w:val="99"/>
    <w:rsid w:val="0081112E"/>
    <w:pPr>
      <w:jc w:val="both"/>
    </w:pPr>
    <w:rPr>
      <w:sz w:val="20"/>
      <w:szCs w:val="20"/>
      <w:lang w:eastAsia="en-AU"/>
    </w:rPr>
  </w:style>
  <w:style w:type="character" w:customStyle="1" w:styleId="FootnoteTextChar">
    <w:name w:val="Footnote Text Char"/>
    <w:basedOn w:val="DefaultParagraphFont"/>
    <w:link w:val="FootnoteText"/>
    <w:uiPriority w:val="99"/>
    <w:rsid w:val="0081112E"/>
  </w:style>
  <w:style w:type="character" w:styleId="FootnoteReference">
    <w:name w:val="footnote reference"/>
    <w:rsid w:val="0081112E"/>
    <w:rPr>
      <w:position w:val="6"/>
      <w:sz w:val="16"/>
      <w:szCs w:val="16"/>
    </w:rPr>
  </w:style>
  <w:style w:type="paragraph" w:styleId="Revision">
    <w:name w:val="Revision"/>
    <w:hidden/>
    <w:uiPriority w:val="99"/>
    <w:semiHidden/>
    <w:rsid w:val="00A910D9"/>
    <w:rPr>
      <w:sz w:val="24"/>
      <w:szCs w:val="24"/>
      <w:lang w:eastAsia="en-US"/>
    </w:rPr>
  </w:style>
  <w:style w:type="character" w:customStyle="1" w:styleId="Heading5Char">
    <w:name w:val="Heading 5 Char"/>
    <w:basedOn w:val="DefaultParagraphFont"/>
    <w:link w:val="Heading5"/>
    <w:rsid w:val="004D425B"/>
    <w:rPr>
      <w:rFonts w:ascii="Arial" w:hAnsi="Arial" w:cs="Arial"/>
      <w:i/>
      <w:sz w:val="22"/>
      <w:szCs w:val="22"/>
      <w:lang w:eastAsia="en-US"/>
    </w:rPr>
  </w:style>
  <w:style w:type="paragraph" w:customStyle="1" w:styleId="Bulletpoint">
    <w:name w:val="Bullet point"/>
    <w:basedOn w:val="ListBullet"/>
    <w:qFormat/>
    <w:rsid w:val="00E44A40"/>
    <w:pPr>
      <w:numPr>
        <w:numId w:val="7"/>
      </w:numPr>
      <w:tabs>
        <w:tab w:val="num" w:pos="1492"/>
      </w:tabs>
      <w:spacing w:before="120" w:after="120"/>
      <w:ind w:left="357" w:hanging="357"/>
      <w:contextualSpacing w:val="0"/>
    </w:pPr>
    <w:rPr>
      <w:rFonts w:ascii="Arial" w:eastAsia="Arial" w:hAnsi="Arial"/>
      <w:sz w:val="22"/>
      <w:szCs w:val="22"/>
    </w:rPr>
  </w:style>
  <w:style w:type="paragraph" w:styleId="ListNumber">
    <w:name w:val="List Number"/>
    <w:basedOn w:val="Normal"/>
    <w:uiPriority w:val="99"/>
    <w:rsid w:val="00E44A40"/>
    <w:pPr>
      <w:tabs>
        <w:tab w:val="num" w:pos="360"/>
      </w:tabs>
      <w:spacing w:before="120" w:after="120"/>
      <w:ind w:left="357" w:hanging="357"/>
    </w:pPr>
    <w:rPr>
      <w:rFonts w:ascii="Arial" w:eastAsia="Arial" w:hAnsi="Arial"/>
      <w:color w:val="000000"/>
      <w:sz w:val="22"/>
      <w:szCs w:val="22"/>
    </w:rPr>
  </w:style>
  <w:style w:type="paragraph" w:styleId="ListNumber2">
    <w:name w:val="List Number 2"/>
    <w:aliases w:val="List alphabet"/>
    <w:next w:val="Normal"/>
    <w:uiPriority w:val="99"/>
    <w:rsid w:val="00E44A40"/>
    <w:pPr>
      <w:tabs>
        <w:tab w:val="num" w:pos="720"/>
      </w:tabs>
      <w:spacing w:before="120"/>
      <w:ind w:left="357" w:hanging="357"/>
    </w:pPr>
    <w:rPr>
      <w:rFonts w:ascii="Arial" w:eastAsia="Arial" w:hAnsi="Arial"/>
      <w:sz w:val="22"/>
      <w:szCs w:val="22"/>
      <w:lang w:eastAsia="en-US"/>
    </w:rPr>
  </w:style>
  <w:style w:type="paragraph" w:customStyle="1" w:styleId="Numberedlist">
    <w:name w:val="Numbered list"/>
    <w:basedOn w:val="ListNumber"/>
    <w:link w:val="NumberedlistChar"/>
    <w:qFormat/>
    <w:rsid w:val="00E44A40"/>
    <w:pPr>
      <w:numPr>
        <w:numId w:val="6"/>
      </w:numPr>
      <w:ind w:left="357" w:hanging="357"/>
    </w:pPr>
  </w:style>
  <w:style w:type="character" w:customStyle="1" w:styleId="NumberedlistChar">
    <w:name w:val="Numbered list Char"/>
    <w:link w:val="Numberedlist"/>
    <w:rsid w:val="00E44A40"/>
    <w:rPr>
      <w:rFonts w:ascii="Arial" w:eastAsia="Arial" w:hAnsi="Arial"/>
      <w:color w:val="000000"/>
      <w:sz w:val="22"/>
      <w:szCs w:val="22"/>
      <w:lang w:eastAsia="en-US"/>
    </w:rPr>
  </w:style>
  <w:style w:type="table" w:styleId="TableGrid">
    <w:name w:val="Table Grid"/>
    <w:aliases w:val="ACCC Table"/>
    <w:basedOn w:val="TableNormal"/>
    <w:rsid w:val="009E077E"/>
    <w:pPr>
      <w:spacing w:before="60" w:after="60"/>
    </w:pPr>
    <w:rPr>
      <w:rFonts w:ascii="Arial" w:eastAsia="Arial" w:hAnsi="Arial"/>
      <w:szCs w:val="22"/>
      <w:lang w:eastAsia="en-US"/>
    </w:rPr>
    <w:tblPr>
      <w:tblBorders>
        <w:top w:val="single" w:sz="4" w:space="0" w:color="BFBFBF"/>
        <w:bottom w:val="single" w:sz="4" w:space="0" w:color="BFBF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left w:val="nil"/>
          <w:bottom w:val="single" w:sz="4" w:space="0" w:color="BFBF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character" w:customStyle="1" w:styleId="NormalParagraphChar">
    <w:name w:val="Normal Paragraph Char"/>
    <w:link w:val="NormalParagraph"/>
    <w:rsid w:val="00D53A5B"/>
    <w:rPr>
      <w:rFonts w:ascii="Arial" w:hAnsi="Arial" w:cs="Arial"/>
      <w:sz w:val="22"/>
      <w:szCs w:val="22"/>
      <w:lang w:eastAsia="en-US"/>
    </w:rPr>
  </w:style>
  <w:style w:type="paragraph" w:customStyle="1" w:styleId="stdparanumbered">
    <w:name w:val="stdparanumbered"/>
    <w:basedOn w:val="Normal"/>
    <w:rsid w:val="00C32538"/>
    <w:pPr>
      <w:numPr>
        <w:numId w:val="9"/>
      </w:numPr>
      <w:spacing w:after="240"/>
    </w:pPr>
    <w:rPr>
      <w:szCs w:val="20"/>
      <w:lang w:eastAsia="en-AU"/>
    </w:rPr>
  </w:style>
  <w:style w:type="character" w:customStyle="1" w:styleId="ListParagraphChar">
    <w:name w:val="List Paragraph Char"/>
    <w:link w:val="ListParagraph"/>
    <w:uiPriority w:val="34"/>
    <w:rsid w:val="00C32538"/>
    <w:rPr>
      <w:rFonts w:ascii="Arial" w:hAnsi="Arial"/>
      <w:sz w:val="22"/>
      <w:szCs w:val="24"/>
      <w:lang w:eastAsia="en-US"/>
    </w:rPr>
  </w:style>
  <w:style w:type="character" w:customStyle="1" w:styleId="Heading6Char">
    <w:name w:val="Heading 6 Char"/>
    <w:basedOn w:val="DefaultParagraphFont"/>
    <w:link w:val="Heading6"/>
    <w:rsid w:val="00784EEE"/>
    <w:rPr>
      <w:rFonts w:asciiTheme="minorHAnsi" w:eastAsiaTheme="minorEastAsia" w:hAnsiTheme="minorHAnsi" w:cstheme="minorBidi"/>
      <w:b/>
      <w:bCs/>
      <w:sz w:val="22"/>
      <w:szCs w:val="22"/>
      <w:lang w:eastAsia="en-US"/>
    </w:rPr>
  </w:style>
  <w:style w:type="paragraph" w:customStyle="1" w:styleId="Default">
    <w:name w:val="Default"/>
    <w:rsid w:val="005314BE"/>
    <w:pPr>
      <w:autoSpaceDE w:val="0"/>
      <w:autoSpaceDN w:val="0"/>
      <w:adjustRightInd w:val="0"/>
    </w:pPr>
    <w:rPr>
      <w:rFonts w:ascii="Arial" w:hAnsi="Arial" w:cs="Arial"/>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4511400">
      <w:bodyDiv w:val="1"/>
      <w:marLeft w:val="0"/>
      <w:marRight w:val="0"/>
      <w:marTop w:val="0"/>
      <w:marBottom w:val="0"/>
      <w:divBdr>
        <w:top w:val="none" w:sz="0" w:space="0" w:color="auto"/>
        <w:left w:val="none" w:sz="0" w:space="0" w:color="auto"/>
        <w:bottom w:val="none" w:sz="0" w:space="0" w:color="auto"/>
        <w:right w:val="none" w:sz="0" w:space="0" w:color="auto"/>
      </w:divBdr>
    </w:div>
    <w:div w:id="848375797">
      <w:bodyDiv w:val="1"/>
      <w:marLeft w:val="0"/>
      <w:marRight w:val="0"/>
      <w:marTop w:val="0"/>
      <w:marBottom w:val="0"/>
      <w:divBdr>
        <w:top w:val="none" w:sz="0" w:space="0" w:color="auto"/>
        <w:left w:val="none" w:sz="0" w:space="0" w:color="auto"/>
        <w:bottom w:val="none" w:sz="0" w:space="0" w:color="auto"/>
        <w:right w:val="none" w:sz="0" w:space="0" w:color="auto"/>
      </w:divBdr>
    </w:div>
    <w:div w:id="1301349318">
      <w:bodyDiv w:val="1"/>
      <w:marLeft w:val="0"/>
      <w:marRight w:val="0"/>
      <w:marTop w:val="0"/>
      <w:marBottom w:val="0"/>
      <w:divBdr>
        <w:top w:val="none" w:sz="0" w:space="0" w:color="auto"/>
        <w:left w:val="none" w:sz="0" w:space="0" w:color="auto"/>
        <w:bottom w:val="none" w:sz="0" w:space="0" w:color="auto"/>
        <w:right w:val="none" w:sz="0" w:space="0" w:color="auto"/>
      </w:divBdr>
    </w:div>
    <w:div w:id="2126192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mergers@accc.gov.au"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www.accc.gov.au/publications/informal-merger-review-process-guidelines-2013"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accc.gov.au/mergersregister"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mailto:mergers@accc.gov.au" TargetMode="External"/><Relationship Id="rId19"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9FCE173-0A98-4336-8FE4-34870B62DF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BA8E877A</Template>
  <TotalTime>0</TotalTime>
  <Pages>16</Pages>
  <Words>5869</Words>
  <Characters>32064</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37858</CharactersWithSpaces>
  <SharedDoc>false</SharedDoc>
  <HLinks>
    <vt:vector size="6" baseType="variant">
      <vt:variant>
        <vt:i4>5898250</vt:i4>
      </vt:variant>
      <vt:variant>
        <vt:i4>0</vt:i4>
      </vt:variant>
      <vt:variant>
        <vt:i4>0</vt:i4>
      </vt:variant>
      <vt:variant>
        <vt:i4>5</vt:i4>
      </vt:variant>
      <vt:variant>
        <vt:lpwstr>http://www.accc.gov.au/processguidelines</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2015-11-04T21:27:00Z</dcterms:created>
  <dcterms:modified xsi:type="dcterms:W3CDTF">2015-11-04T21:28:00Z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rrfile">
    <vt:lpwstr>\\cdchnas-evs02\home$\rneil\iron mountain recall - statement of issues for public release - 5 november 2015 (MER2015-11349).docx</vt:lpwstr>
  </property>
  <property fmtid="{D5CDD505-2E9C-101B-9397-08002B2CF9AE}" pid="3" name="URI">
    <vt:lpwstr>8571775</vt:lpwstr>
  </property>
</Properties>
</file>