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6F14DF" w:rsidP="00A26C2D">
      <w:pPr>
        <w:pStyle w:val="Heading1"/>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2.05pt;height:87.9pt">
            <v:imagedata r:id="rId9" o:title="logo_48x23mm-300dpi-CMYK"/>
          </v:shape>
        </w:pict>
      </w:r>
    </w:p>
    <w:p w:rsidR="000F1353" w:rsidRPr="000F1353" w:rsidRDefault="000F1353" w:rsidP="00A26C2D">
      <w:pPr>
        <w:pStyle w:val="Heading1"/>
      </w:pPr>
      <w:r w:rsidRPr="000F1353">
        <w:t>Statement of Issues</w:t>
      </w:r>
    </w:p>
    <w:p w:rsidR="00E50A22" w:rsidRPr="00E23669" w:rsidRDefault="00A40AAA" w:rsidP="00A26C2D">
      <w:pPr>
        <w:pStyle w:val="Date"/>
      </w:pPr>
      <w:r>
        <w:t>17</w:t>
      </w:r>
      <w:r w:rsidR="00F91BB3">
        <w:t xml:space="preserve"> September 2015</w:t>
      </w:r>
    </w:p>
    <w:p w:rsidR="00FB30A0" w:rsidRDefault="00F91BB3" w:rsidP="001D16D1">
      <w:pPr>
        <w:pStyle w:val="Heading2"/>
        <w:jc w:val="left"/>
      </w:pPr>
      <w:bookmarkStart w:id="1" w:name="Title"/>
      <w:bookmarkEnd w:id="1"/>
      <w:r>
        <w:t>Royal Dutch Shell plc</w:t>
      </w:r>
      <w:r w:rsidR="002A6DE2">
        <w:t xml:space="preserve"> </w:t>
      </w:r>
      <w:r w:rsidR="00E44A40">
        <w:t>–</w:t>
      </w:r>
      <w:r w:rsidR="002A6DE2">
        <w:t xml:space="preserve"> </w:t>
      </w:r>
      <w:r w:rsidR="00E44A40">
        <w:t xml:space="preserve">proposed </w:t>
      </w:r>
      <w:r w:rsidR="002A6DE2">
        <w:t xml:space="preserve">acquisition </w:t>
      </w:r>
      <w:r>
        <w:t>of BG Group plc</w:t>
      </w:r>
    </w:p>
    <w:p w:rsidR="00E44A40" w:rsidRDefault="00E44A40" w:rsidP="00A172D9">
      <w:pPr>
        <w:pStyle w:val="Heading3"/>
        <w:spacing w:before="240"/>
      </w:pPr>
      <w:r>
        <w:t>Purpose</w:t>
      </w:r>
    </w:p>
    <w:p w:rsidR="00E44A40" w:rsidRDefault="00E44A40" w:rsidP="006D5AE2">
      <w:pPr>
        <w:pStyle w:val="Numberedlist"/>
        <w:ind w:left="357" w:hanging="357"/>
      </w:pPr>
      <w:r>
        <w:t xml:space="preserve">This </w:t>
      </w:r>
      <w:r w:rsidRPr="00E44A40">
        <w:t xml:space="preserve">Statement of </w:t>
      </w:r>
      <w:r w:rsidR="00DD3D80">
        <w:t>I</w:t>
      </w:r>
      <w:r w:rsidRPr="00E44A40">
        <w:t xml:space="preserve">ssues </w:t>
      </w:r>
      <w:r w:rsidRPr="00A65CD3">
        <w:t>aims to</w:t>
      </w:r>
      <w:r>
        <w:t>:</w:t>
      </w:r>
    </w:p>
    <w:p w:rsidR="00E44A40" w:rsidRDefault="0057707C" w:rsidP="008F45CC">
      <w:pPr>
        <w:pStyle w:val="Numbered"/>
        <w:numPr>
          <w:ilvl w:val="0"/>
          <w:numId w:val="4"/>
        </w:numPr>
      </w:pPr>
      <w:r>
        <w:t xml:space="preserve">provide </w:t>
      </w:r>
      <w:r w:rsidR="00134AD5">
        <w:t>the Australian Competition and Consumer Commission’s (</w:t>
      </w:r>
      <w:r w:rsidR="00134AD5">
        <w:rPr>
          <w:b/>
        </w:rPr>
        <w:t>ACCC</w:t>
      </w:r>
      <w:r w:rsidR="00134AD5" w:rsidRPr="00134AD5">
        <w:t>’s)</w:t>
      </w:r>
      <w:r w:rsidR="00E44A40">
        <w:t xml:space="preserve"> preliminary views on co</w:t>
      </w:r>
      <w:r w:rsidR="00F91BB3">
        <w:t>mpetition issues arising from Royal Dutch Shell plc’s (</w:t>
      </w:r>
      <w:r w:rsidR="00F91BB3" w:rsidRPr="00F91BB3">
        <w:rPr>
          <w:b/>
        </w:rPr>
        <w:t>Shell</w:t>
      </w:r>
      <w:r w:rsidR="00F91BB3">
        <w:t>) proposed acquisition BG Group plc (</w:t>
      </w:r>
      <w:r w:rsidR="00F91BB3" w:rsidRPr="00F91BB3">
        <w:rPr>
          <w:b/>
        </w:rPr>
        <w:t>BG</w:t>
      </w:r>
      <w:r w:rsidR="00F91BB3">
        <w:t>)</w:t>
      </w:r>
    </w:p>
    <w:p w:rsidR="00E44A40" w:rsidRDefault="00E44A40" w:rsidP="008F45CC">
      <w:pPr>
        <w:pStyle w:val="Numbered"/>
        <w:numPr>
          <w:ilvl w:val="0"/>
          <w:numId w:val="4"/>
        </w:numPr>
      </w:pPr>
      <w:r>
        <w:t>identify areas of further inquiry</w:t>
      </w:r>
    </w:p>
    <w:p w:rsidR="00E44A40" w:rsidRDefault="00E44A40" w:rsidP="008F45CC">
      <w:pPr>
        <w:pStyle w:val="Numbered"/>
        <w:numPr>
          <w:ilvl w:val="0"/>
          <w:numId w:val="4"/>
        </w:numPr>
      </w:pPr>
      <w:r w:rsidRPr="00A65CD3">
        <w:t>g</w:t>
      </w:r>
      <w:r>
        <w:t>i</w:t>
      </w:r>
      <w:r w:rsidRPr="00A65CD3">
        <w:t>ve</w:t>
      </w:r>
      <w:r>
        <w:t xml:space="preserve"> all interested parties an opportunity to comment</w:t>
      </w:r>
    </w:p>
    <w:p w:rsidR="00E44A40" w:rsidRDefault="00E44A40" w:rsidP="008F45CC">
      <w:pPr>
        <w:pStyle w:val="Numbered"/>
        <w:numPr>
          <w:ilvl w:val="0"/>
          <w:numId w:val="4"/>
        </w:numPr>
      </w:pPr>
      <w:r>
        <w:t>invite interested parties to submit information to assist us in our assessment of the issues.</w:t>
      </w:r>
    </w:p>
    <w:p w:rsidR="00E44A40" w:rsidRDefault="00E44A40" w:rsidP="005D3A35">
      <w:pPr>
        <w:pStyle w:val="Heading3"/>
        <w:spacing w:before="240"/>
      </w:pPr>
      <w:r>
        <w:t>Overview of ACCC’s preliminary views</w:t>
      </w:r>
    </w:p>
    <w:p w:rsidR="009E077E" w:rsidRDefault="009E077E" w:rsidP="009903AE">
      <w:pPr>
        <w:pStyle w:val="Numberedlist"/>
        <w:ind w:left="357" w:hanging="357"/>
      </w:pPr>
      <w:r w:rsidRPr="00A0349E">
        <w:t xml:space="preserve">The </w:t>
      </w:r>
      <w:r>
        <w:t xml:space="preserve">legal test which </w:t>
      </w:r>
      <w:r w:rsidR="00134AD5">
        <w:t xml:space="preserve">the ACCC </w:t>
      </w:r>
      <w:r>
        <w:t xml:space="preserve">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00355FFB">
        <w:rPr>
          <w:i/>
        </w:rPr>
        <w:t xml:space="preserve"> </w:t>
      </w:r>
      <w:r w:rsidR="00355FFB" w:rsidRPr="00355FFB">
        <w:t xml:space="preserve">(the </w:t>
      </w:r>
      <w:r w:rsidR="00355FFB" w:rsidRPr="00355FFB">
        <w:rPr>
          <w:b/>
        </w:rPr>
        <w:t>Act</w:t>
      </w:r>
      <w:r w:rsidR="00355FFB" w:rsidRPr="00355FFB">
        <w:t>)</w:t>
      </w:r>
      <w:r w:rsidRPr="00355FFB">
        <w:t>.</w:t>
      </w:r>
      <w:r w:rsidRPr="00A0349E">
        <w:t xml:space="preserve"> Section 50 prohibits acquisitions that substantially lessen competition in a market, or are likely to do so. </w:t>
      </w:r>
    </w:p>
    <w:p w:rsidR="001D16D1" w:rsidRDefault="00184913" w:rsidP="009903AE">
      <w:pPr>
        <w:pStyle w:val="Numberedlist"/>
        <w:ind w:left="357" w:hanging="357"/>
      </w:pPr>
      <w:r>
        <w:t>The ACCC divides its preliminary views in this Statement of Issues into two categories: 'issues that may raise concerns' and ‘issues unlikely to raise concerns’.</w:t>
      </w:r>
    </w:p>
    <w:p w:rsidR="001C42C7" w:rsidRDefault="001C42C7" w:rsidP="005550F7">
      <w:pPr>
        <w:pStyle w:val="Heading4"/>
        <w:spacing w:after="240"/>
      </w:pPr>
      <w:r>
        <w:t>Issue that may raise concerns</w:t>
      </w:r>
    </w:p>
    <w:p w:rsidR="00E10CB1" w:rsidRDefault="00736BFB" w:rsidP="00471F28">
      <w:pPr>
        <w:pStyle w:val="Numberedlist"/>
        <w:ind w:left="357" w:hanging="357"/>
      </w:pPr>
      <w:r>
        <w:t xml:space="preserve">The ACCC’s preliminary </w:t>
      </w:r>
      <w:r w:rsidR="00C077A0">
        <w:t>view</w:t>
      </w:r>
      <w:r>
        <w:t xml:space="preserve"> </w:t>
      </w:r>
      <w:r w:rsidR="008134DB">
        <w:t>is that</w:t>
      </w:r>
      <w:r w:rsidR="00D45740">
        <w:t xml:space="preserve"> </w:t>
      </w:r>
      <w:r w:rsidR="00FF6C22" w:rsidRPr="00FF6C22">
        <w:t>the proposed acquisition</w:t>
      </w:r>
      <w:r w:rsidR="00FF6C22">
        <w:t xml:space="preserve"> would </w:t>
      </w:r>
      <w:r w:rsidR="00D45740">
        <w:t>align Shell</w:t>
      </w:r>
      <w:r w:rsidR="00FF6C22">
        <w:t>’s interests</w:t>
      </w:r>
      <w:r w:rsidR="00D45740">
        <w:t xml:space="preserve"> with </w:t>
      </w:r>
      <w:r w:rsidR="00FF6C22">
        <w:t>BG’s interest in the QCLNG</w:t>
      </w:r>
      <w:r w:rsidR="00D45740">
        <w:t xml:space="preserve"> liquefied natural gas (</w:t>
      </w:r>
      <w:r w:rsidR="00D45740" w:rsidRPr="00471F28">
        <w:rPr>
          <w:b/>
        </w:rPr>
        <w:t>LNG</w:t>
      </w:r>
      <w:r w:rsidR="00D45740">
        <w:t>) project</w:t>
      </w:r>
      <w:r w:rsidR="00FF6C22">
        <w:t xml:space="preserve"> and </w:t>
      </w:r>
      <w:r w:rsidR="00D45740">
        <w:t xml:space="preserve">may decrease the incentive for Arrow </w:t>
      </w:r>
      <w:r w:rsidR="00FF6C22">
        <w:t>(</w:t>
      </w:r>
      <w:r w:rsidR="001E5C7A">
        <w:t>a joint venture in which Shell holds a 50% interest</w:t>
      </w:r>
      <w:r w:rsidR="00FF6C22">
        <w:t>)</w:t>
      </w:r>
      <w:r w:rsidR="001E5C7A">
        <w:t xml:space="preserve"> </w:t>
      </w:r>
      <w:r w:rsidR="00D45740">
        <w:t xml:space="preserve">to supply </w:t>
      </w:r>
      <w:r w:rsidR="00E10CB1">
        <w:t xml:space="preserve">gas to </w:t>
      </w:r>
      <w:r w:rsidR="00D45740">
        <w:t xml:space="preserve">the domestic market. </w:t>
      </w:r>
      <w:r w:rsidR="00F67EBB">
        <w:t>By removing some (or all) of Arrow’s gas from the domestic market, th</w:t>
      </w:r>
      <w:r w:rsidR="0051476D">
        <w:t xml:space="preserve">e proposed acquisition could </w:t>
      </w:r>
      <w:r w:rsidR="00FF6C22">
        <w:t>substantially lessen</w:t>
      </w:r>
      <w:r w:rsidR="0051476D">
        <w:t xml:space="preserve"> competiti</w:t>
      </w:r>
      <w:r w:rsidR="00FF6C22">
        <w:t>on</w:t>
      </w:r>
      <w:r w:rsidR="0051476D">
        <w:t xml:space="preserve"> </w:t>
      </w:r>
      <w:r w:rsidR="00FF6C22">
        <w:t>i</w:t>
      </w:r>
      <w:r w:rsidR="0051476D">
        <w:t xml:space="preserve">n </w:t>
      </w:r>
      <w:r w:rsidR="00FF6C22">
        <w:t>either the Queensland or eastern Australian gas</w:t>
      </w:r>
      <w:r w:rsidR="0051476D">
        <w:t xml:space="preserve"> market. </w:t>
      </w:r>
    </w:p>
    <w:p w:rsidR="001C35CA" w:rsidRDefault="001C35CA" w:rsidP="00471F28">
      <w:pPr>
        <w:pStyle w:val="Numberedlist"/>
        <w:ind w:left="357" w:hanging="357"/>
      </w:pPr>
      <w:r>
        <w:t>By</w:t>
      </w:r>
      <w:r w:rsidRPr="001C35CA">
        <w:t xml:space="preserve"> </w:t>
      </w:r>
      <w:r>
        <w:t>reducing</w:t>
      </w:r>
      <w:r w:rsidRPr="001C35CA">
        <w:t xml:space="preserve"> the supply of gas to the domestic market</w:t>
      </w:r>
      <w:r>
        <w:t>, the proposed</w:t>
      </w:r>
      <w:r w:rsidRPr="001C35CA">
        <w:t xml:space="preserve"> </w:t>
      </w:r>
      <w:r>
        <w:t xml:space="preserve">acquisition </w:t>
      </w:r>
      <w:r w:rsidRPr="001C35CA">
        <w:t>could increas</w:t>
      </w:r>
      <w:r>
        <w:t>e</w:t>
      </w:r>
      <w:r w:rsidRPr="001C35CA">
        <w:t xml:space="preserve"> the market power of the limited number of other potential suppliers to the domestic market</w:t>
      </w:r>
      <w:r>
        <w:t>. This could</w:t>
      </w:r>
      <w:r w:rsidRPr="001C35CA">
        <w:t xml:space="preserve"> lead to higher domestic prices and more </w:t>
      </w:r>
      <w:r w:rsidRPr="001C35CA">
        <w:lastRenderedPageBreak/>
        <w:t>restrictive non-price contractual terms relative to the situation without the proposed acquisition.</w:t>
      </w:r>
    </w:p>
    <w:p w:rsidR="008134DB" w:rsidRPr="007B5965" w:rsidRDefault="001C42C7">
      <w:pPr>
        <w:pStyle w:val="Heading4"/>
      </w:pPr>
      <w:r>
        <w:t>Issue unlikely to raise concerns</w:t>
      </w:r>
    </w:p>
    <w:p w:rsidR="008134DB" w:rsidRPr="00F91BB3" w:rsidRDefault="008134DB">
      <w:pPr>
        <w:pStyle w:val="Numberedlist"/>
        <w:ind w:left="357" w:hanging="357"/>
      </w:pPr>
      <w:r>
        <w:t xml:space="preserve">The ACCC considers that the proposed acquisition would </w:t>
      </w:r>
      <w:r w:rsidR="00124D4C">
        <w:t xml:space="preserve">be </w:t>
      </w:r>
      <w:r>
        <w:t xml:space="preserve">unlikely </w:t>
      </w:r>
      <w:r w:rsidR="00124D4C">
        <w:t xml:space="preserve">to </w:t>
      </w:r>
      <w:r w:rsidR="00CA2970">
        <w:t>increase the ability or incentive of</w:t>
      </w:r>
      <w:r w:rsidRPr="001C4BEF">
        <w:t xml:space="preserve"> </w:t>
      </w:r>
      <w:r w:rsidR="00CA2970">
        <w:t>Shell</w:t>
      </w:r>
      <w:r>
        <w:t xml:space="preserve"> </w:t>
      </w:r>
      <w:r w:rsidR="00CA2970">
        <w:t xml:space="preserve">to </w:t>
      </w:r>
      <w:r>
        <w:t xml:space="preserve">foreclose </w:t>
      </w:r>
      <w:r w:rsidR="00C077A0">
        <w:t xml:space="preserve">supply of gas to </w:t>
      </w:r>
      <w:r>
        <w:t>rival LNG plants</w:t>
      </w:r>
      <w:r w:rsidR="00512819">
        <w:t xml:space="preserve"> because </w:t>
      </w:r>
      <w:r w:rsidR="00512819" w:rsidRPr="00512819">
        <w:t>the merged entity would only supply a small share of the global LNG market</w:t>
      </w:r>
      <w:r>
        <w:t xml:space="preserve">. </w:t>
      </w:r>
    </w:p>
    <w:p w:rsidR="00E44A40" w:rsidRDefault="00E44A40" w:rsidP="005D3A35">
      <w:pPr>
        <w:pStyle w:val="Heading3"/>
        <w:spacing w:before="240"/>
      </w:pPr>
      <w:r>
        <w:t>Making a submission</w:t>
      </w:r>
    </w:p>
    <w:p w:rsidR="008915D3" w:rsidRDefault="00E44A40" w:rsidP="00471F28">
      <w:pPr>
        <w:pStyle w:val="Numberedlist"/>
        <w:ind w:left="357" w:hanging="357"/>
      </w:pPr>
      <w:r>
        <w:t xml:space="preserve">The ACCC is seeking submissions from interested parties, particularly on </w:t>
      </w:r>
      <w:r w:rsidR="001F7CB0">
        <w:t>the likelihood</w:t>
      </w:r>
      <w:r w:rsidR="008915D3">
        <w:t xml:space="preserve"> that the </w:t>
      </w:r>
      <w:r w:rsidR="001F7CB0">
        <w:t xml:space="preserve">proposed </w:t>
      </w:r>
      <w:r w:rsidR="008915D3">
        <w:t xml:space="preserve">acquisition would </w:t>
      </w:r>
      <w:r w:rsidR="00617689">
        <w:t xml:space="preserve">lead to </w:t>
      </w:r>
      <w:r w:rsidR="00B061FC">
        <w:t>higher</w:t>
      </w:r>
      <w:r w:rsidR="00617689">
        <w:t xml:space="preserve"> </w:t>
      </w:r>
      <w:r w:rsidR="008915D3">
        <w:t xml:space="preserve">wholesale prices </w:t>
      </w:r>
      <w:r w:rsidR="00B061FC">
        <w:t>for</w:t>
      </w:r>
      <w:r w:rsidR="008915D3">
        <w:t xml:space="preserve"> natural gas in </w:t>
      </w:r>
      <w:r w:rsidR="00B061FC">
        <w:t xml:space="preserve">the </w:t>
      </w:r>
      <w:r w:rsidR="008915D3">
        <w:t xml:space="preserve">Queensland or </w:t>
      </w:r>
      <w:r w:rsidR="00B061FC">
        <w:t xml:space="preserve">broader </w:t>
      </w:r>
      <w:r w:rsidR="007A7FB9">
        <w:t xml:space="preserve">eastern </w:t>
      </w:r>
      <w:r w:rsidR="008915D3">
        <w:t xml:space="preserve">Australia </w:t>
      </w:r>
      <w:r w:rsidR="00B061FC">
        <w:t>gas market</w:t>
      </w:r>
      <w:r w:rsidR="008915D3">
        <w:t>.</w:t>
      </w:r>
    </w:p>
    <w:p w:rsidR="009E077E" w:rsidRDefault="009E077E" w:rsidP="00471F28">
      <w:pPr>
        <w:pStyle w:val="Numberedlist"/>
        <w:ind w:left="357" w:hanging="357"/>
      </w:pPr>
      <w:r>
        <w:t xml:space="preserve">Detailed discussion of these and other issues, along with specific questions, is contained in this Statement of Issues. </w:t>
      </w:r>
    </w:p>
    <w:p w:rsidR="00E44A40" w:rsidRDefault="00E44A40" w:rsidP="00471F28">
      <w:pPr>
        <w:pStyle w:val="Numberedlist"/>
        <w:ind w:left="357" w:hanging="357"/>
      </w:pPr>
      <w:r>
        <w:t xml:space="preserve">Interested parties should provide submissions by </w:t>
      </w:r>
      <w:r w:rsidRPr="00A0349E">
        <w:t xml:space="preserve">no later than </w:t>
      </w:r>
      <w:r w:rsidRPr="00E44A40">
        <w:t xml:space="preserve">5pm on </w:t>
      </w:r>
      <w:r w:rsidR="00DC28F1">
        <w:t>8 </w:t>
      </w:r>
      <w:r w:rsidR="000F2CD2">
        <w:t xml:space="preserve">October </w:t>
      </w:r>
      <w:r w:rsidR="00E5078D">
        <w:t>2015</w:t>
      </w:r>
      <w:r w:rsidRPr="00A0349E">
        <w:t xml:space="preserve">. Responses may be emailed to </w:t>
      </w:r>
      <w:hyperlink r:id="rId10" w:history="1">
        <w:r w:rsidR="00D31B48" w:rsidRPr="008C4646">
          <w:rPr>
            <w:rStyle w:val="Hyperlink"/>
          </w:rPr>
          <w:t>mergers@accc.gov.au</w:t>
        </w:r>
      </w:hyperlink>
      <w:r w:rsidR="00D31B48">
        <w:t xml:space="preserve"> </w:t>
      </w:r>
      <w:r w:rsidRPr="00A0349E">
        <w:t xml:space="preserve">with the title: </w:t>
      </w:r>
      <w:r w:rsidR="00D31B48" w:rsidRPr="00D31B48">
        <w:rPr>
          <w:i/>
        </w:rPr>
        <w:t>Submission re: Shell’s proposed acquisition of BG</w:t>
      </w:r>
      <w:r w:rsidRPr="00D31B48">
        <w:rPr>
          <w:i/>
        </w:rPr>
        <w:t xml:space="preserve"> </w:t>
      </w:r>
      <w:r w:rsidR="005B324F">
        <w:rPr>
          <w:i/>
        </w:rPr>
        <w:t>–</w:t>
      </w:r>
      <w:r w:rsidRPr="00D31B48">
        <w:rPr>
          <w:i/>
        </w:rPr>
        <w:t xml:space="preserve"> attention</w:t>
      </w:r>
      <w:r w:rsidR="005B324F">
        <w:rPr>
          <w:i/>
        </w:rPr>
        <w:t xml:space="preserve"> </w:t>
      </w:r>
      <w:r w:rsidR="00D31B48" w:rsidRPr="00D31B48">
        <w:rPr>
          <w:i/>
        </w:rPr>
        <w:t>Andrew Sudol / Lisa Beckma</w:t>
      </w:r>
      <w:r w:rsidR="009170B7">
        <w:rPr>
          <w:i/>
        </w:rPr>
        <w:t>n</w:t>
      </w:r>
      <w:r w:rsidR="00D31B48" w:rsidRPr="00D31B48">
        <w:rPr>
          <w:i/>
        </w:rPr>
        <w:t>n</w:t>
      </w:r>
      <w:r w:rsidRPr="00E44A40">
        <w:t>.</w:t>
      </w:r>
      <w:r>
        <w:t xml:space="preserve"> If you would like to discuss the matter with ACCC officers </w:t>
      </w:r>
      <w:r w:rsidR="00B061FC">
        <w:t>by</w:t>
      </w:r>
      <w:r>
        <w:t xml:space="preserve"> telephone or in person, or have any questions about this letter, </w:t>
      </w:r>
      <w:r w:rsidRPr="00A0349E">
        <w:t>please c</w:t>
      </w:r>
      <w:r>
        <w:t xml:space="preserve">ontact </w:t>
      </w:r>
      <w:r w:rsidR="00D31B48">
        <w:t>Andrew Sudol</w:t>
      </w:r>
      <w:r>
        <w:t xml:space="preserve"> on </w:t>
      </w:r>
      <w:r w:rsidR="00D31B48">
        <w:t xml:space="preserve">(02) 6243 1222 </w:t>
      </w:r>
      <w:r>
        <w:t xml:space="preserve">or </w:t>
      </w:r>
      <w:r w:rsidR="00D31B48">
        <w:t>Lisa Beckma</w:t>
      </w:r>
      <w:r w:rsidR="009170B7">
        <w:t>n</w:t>
      </w:r>
      <w:r w:rsidR="00D31B48">
        <w:t>n on (02) 9230 9164</w:t>
      </w:r>
      <w:r w:rsidRPr="00A0349E">
        <w:t xml:space="preserve">. </w:t>
      </w:r>
    </w:p>
    <w:p w:rsidR="009A200B" w:rsidRPr="00A0349E" w:rsidRDefault="009A200B" w:rsidP="00471F28">
      <w:pPr>
        <w:pStyle w:val="Numberedlist"/>
        <w:ind w:left="357" w:hanging="357"/>
      </w:pPr>
      <w:r>
        <w:t xml:space="preserve">The ACCC anticipates making a final decision on </w:t>
      </w:r>
      <w:r w:rsidR="00FA449C">
        <w:t>12</w:t>
      </w:r>
      <w:r w:rsidR="00184913">
        <w:t xml:space="preserve"> November 2015</w:t>
      </w:r>
      <w:r w:rsidR="009221D1">
        <w:t>;</w:t>
      </w:r>
      <w:r>
        <w:t xml:space="preserve"> h</w:t>
      </w:r>
      <w:r w:rsidR="00134AD5">
        <w:t>owever, this timeline can change</w:t>
      </w:r>
      <w:r>
        <w:t xml:space="preserve">. To keep abreast of possible changes in relation to timing and to find relevant documents, </w:t>
      </w:r>
      <w:r w:rsidR="001A68F4">
        <w:t>interested parties</w:t>
      </w:r>
      <w:r>
        <w:t xml:space="preserve"> should visit the Mergers Register on the ACCC's website at </w:t>
      </w:r>
      <w:r>
        <w:rPr>
          <w:rStyle w:val="Hyperlink"/>
        </w:rPr>
        <w:t>www.accc.gov.au/mergersregister</w:t>
      </w:r>
      <w:r>
        <w:t>.</w:t>
      </w:r>
    </w:p>
    <w:p w:rsidR="00E44A40" w:rsidRDefault="00E44A40" w:rsidP="00C96FD3">
      <w:pPr>
        <w:pStyle w:val="Heading4"/>
        <w:spacing w:after="240"/>
      </w:pPr>
      <w:r w:rsidRPr="00E44A40">
        <w:t>Confidentiality of submissions</w:t>
      </w:r>
    </w:p>
    <w:p w:rsidR="00E44A40" w:rsidRDefault="00E44A40" w:rsidP="00471F28">
      <w:pPr>
        <w:pStyle w:val="Numberedlist"/>
        <w:ind w:left="357" w:hanging="357"/>
      </w:pPr>
      <w:r w:rsidRPr="00041F71">
        <w:t xml:space="preserve">The ACCC will not publish submissions </w:t>
      </w:r>
      <w:r>
        <w:t>regarding the</w:t>
      </w:r>
      <w:r w:rsidRPr="00041F71">
        <w:t xml:space="preserve"> proposed acquisition. We will not disclose submissions to third parties</w:t>
      </w:r>
      <w:r w:rsidRPr="00E44A40">
        <w:rPr>
          <w:rStyle w:val="FootnoteReference"/>
        </w:rPr>
        <w:t xml:space="preserve"> </w:t>
      </w:r>
      <w:r>
        <w:t>(except our advisors/consultants)</w:t>
      </w:r>
      <w:r w:rsidRPr="00041F71">
        <w:t xml:space="preserve"> unless compelled by law (for example, under freedom of information legislation or during court proceedings) or in accordance with s155AAA of the </w:t>
      </w:r>
      <w:r w:rsidR="006E46DF">
        <w:t>Act</w:t>
      </w:r>
      <w:r w:rsidRPr="00041F71">
        <w:t xml:space="preserve">. Where the ACCC is required to disclose confidential information, </w:t>
      </w:r>
      <w:r w:rsidR="00C077A0">
        <w:t>we</w:t>
      </w:r>
      <w:r w:rsidRPr="00041F71">
        <w:t xml:space="preserve">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1" w:history="1">
        <w:r w:rsidRPr="00E44A40">
          <w:rPr>
            <w:rStyle w:val="Hyperlink"/>
            <w:i/>
          </w:rPr>
          <w:t>Informal Merger Review Process Guidelines</w:t>
        </w:r>
      </w:hyperlink>
      <w:r w:rsidRPr="00E44A40">
        <w:rPr>
          <w:i/>
        </w:rPr>
        <w:t xml:space="preserve"> </w:t>
      </w:r>
      <w:r w:rsidRPr="00041F71">
        <w:t>contain more information.</w:t>
      </w:r>
    </w:p>
    <w:p w:rsidR="000F1353" w:rsidRPr="00AD05CA" w:rsidRDefault="009E077E" w:rsidP="005D3A35">
      <w:pPr>
        <w:pStyle w:val="Heading3"/>
        <w:spacing w:before="240"/>
      </w:pPr>
      <w:r>
        <w:t>About ACCC ‘Statements of Issues’</w:t>
      </w:r>
    </w:p>
    <w:p w:rsidR="00FB30A0" w:rsidRDefault="00FB30A0" w:rsidP="00471F28">
      <w:pPr>
        <w:pStyle w:val="Numberedlist"/>
        <w:ind w:left="357" w:hanging="357"/>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471F28">
      <w:pPr>
        <w:pStyle w:val="Numberedlist"/>
        <w:ind w:left="357" w:hanging="357"/>
      </w:pPr>
      <w:r>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8226F9" w:rsidRDefault="00C76DAE" w:rsidP="005D3A35">
      <w:pPr>
        <w:pStyle w:val="Heading3"/>
        <w:spacing w:before="240"/>
      </w:pPr>
      <w:r>
        <w:lastRenderedPageBreak/>
        <w:t>The ACCC’s (separate) East Coast Gas Inquiry</w:t>
      </w:r>
      <w:r w:rsidR="008226F9">
        <w:t xml:space="preserve"> </w:t>
      </w:r>
    </w:p>
    <w:p w:rsidR="00C37D4C" w:rsidRDefault="00C37D4C" w:rsidP="00471F28">
      <w:pPr>
        <w:pStyle w:val="Numberedlist"/>
        <w:ind w:left="357" w:hanging="357"/>
      </w:pPr>
      <w:r w:rsidRPr="00C37D4C">
        <w:t xml:space="preserve">Separate to this merger review, the ACCC is undertaking a broader assessment of the competitiveness of wholesale gas </w:t>
      </w:r>
      <w:r w:rsidR="0080429B">
        <w:t xml:space="preserve">supplies and </w:t>
      </w:r>
      <w:r w:rsidRPr="00C37D4C">
        <w:t>prices</w:t>
      </w:r>
      <w:r w:rsidR="0080429B">
        <w:t>,</w:t>
      </w:r>
      <w:r w:rsidRPr="00C37D4C">
        <w:t xml:space="preserve"> and the structure of the upstream, processing, transportation, storage and marketing segments of the gas industry in eastern Australia (the East Coast Gas Inquiry). </w:t>
      </w:r>
      <w:r w:rsidR="00632A54">
        <w:t xml:space="preserve">As part of </w:t>
      </w:r>
      <w:r w:rsidR="0080429B">
        <w:t xml:space="preserve">that </w:t>
      </w:r>
      <w:r w:rsidR="00632A54">
        <w:t>inquiry, t</w:t>
      </w:r>
      <w:r w:rsidR="00632A54" w:rsidRPr="00C37D4C">
        <w:t xml:space="preserve">he </w:t>
      </w:r>
      <w:r w:rsidRPr="00C37D4C">
        <w:t xml:space="preserve">ACCC has released an issues paper and </w:t>
      </w:r>
      <w:r>
        <w:t>has been conducting public hearings</w:t>
      </w:r>
      <w:r w:rsidRPr="00C37D4C">
        <w:t xml:space="preserve">. </w:t>
      </w:r>
      <w:r>
        <w:t>T</w:t>
      </w:r>
      <w:r w:rsidR="00C76DAE">
        <w:t xml:space="preserve">he East Coast Gas Inquiry is scheduled to </w:t>
      </w:r>
      <w:r w:rsidR="00632A54">
        <w:t>release its final report</w:t>
      </w:r>
      <w:r w:rsidR="00C76DAE">
        <w:t xml:space="preserve"> in April 2016. </w:t>
      </w:r>
    </w:p>
    <w:p w:rsidR="008226F9" w:rsidRDefault="00C37D4C" w:rsidP="00471F28">
      <w:pPr>
        <w:pStyle w:val="Numberedlist"/>
        <w:ind w:left="357" w:hanging="357"/>
      </w:pPr>
      <w:r w:rsidRPr="00C37D4C">
        <w:t xml:space="preserve">If you wish to make general comments on the competitiveness of the wholesale gas industry, as distinct from the competition effects of the proposed acquisition, </w:t>
      </w:r>
      <w:r w:rsidR="00632A54">
        <w:t xml:space="preserve">or if you wish to find out further information about the East Coast Gas Inquiry, </w:t>
      </w:r>
      <w:r w:rsidRPr="00C37D4C">
        <w:t xml:space="preserve">please see </w:t>
      </w:r>
      <w:hyperlink r:id="rId12" w:history="1">
        <w:r w:rsidRPr="00087AB3">
          <w:rPr>
            <w:rStyle w:val="Hyperlink"/>
          </w:rPr>
          <w:t>http://www.accc.gov.au/regulated-infrastructure/energy/east-coast-gas-inquiry-2015</w:t>
        </w:r>
      </w:hyperlink>
      <w:r w:rsidRPr="00C37D4C">
        <w:t>.</w:t>
      </w:r>
    </w:p>
    <w:p w:rsidR="009E077E" w:rsidRPr="00DC2DCB" w:rsidRDefault="009E077E" w:rsidP="00C96FD3">
      <w:pPr>
        <w:pStyle w:val="Heading3"/>
        <w:spacing w:before="240"/>
      </w:pPr>
      <w:r>
        <w:t>Timeline</w:t>
      </w:r>
    </w:p>
    <w:tbl>
      <w:tblPr>
        <w:tblStyle w:val="TableGrid"/>
        <w:tblW w:w="0" w:type="auto"/>
        <w:tblInd w:w="357" w:type="dxa"/>
        <w:tblLook w:val="0420" w:firstRow="1" w:lastRow="0" w:firstColumn="0" w:lastColumn="0" w:noHBand="0" w:noVBand="1"/>
      </w:tblPr>
      <w:tblGrid>
        <w:gridCol w:w="2848"/>
        <w:gridCol w:w="5459"/>
      </w:tblGrid>
      <w:tr w:rsidR="009E077E" w:rsidTr="0085002B">
        <w:trPr>
          <w:cnfStyle w:val="100000000000" w:firstRow="1" w:lastRow="0" w:firstColumn="0" w:lastColumn="0" w:oddVBand="0" w:evenVBand="0" w:oddHBand="0" w:evenHBand="0" w:firstRowFirstColumn="0" w:firstRowLastColumn="0" w:lastRowFirstColumn="0" w:lastRowLastColumn="0"/>
        </w:trPr>
        <w:tc>
          <w:tcPr>
            <w:tcW w:w="2848" w:type="dxa"/>
          </w:tcPr>
          <w:p w:rsidR="009E077E" w:rsidRPr="005441C4" w:rsidRDefault="009E077E" w:rsidP="005D0F0F">
            <w:pPr>
              <w:pStyle w:val="Numberedlist"/>
              <w:numPr>
                <w:ilvl w:val="0"/>
                <w:numId w:val="0"/>
              </w:numPr>
              <w:rPr>
                <w:b w:val="0"/>
              </w:rPr>
            </w:pPr>
            <w:r w:rsidRPr="005441C4">
              <w:t>Date</w:t>
            </w:r>
          </w:p>
        </w:tc>
        <w:tc>
          <w:tcPr>
            <w:tcW w:w="5459" w:type="dxa"/>
          </w:tcPr>
          <w:p w:rsidR="009E077E" w:rsidRPr="005441C4" w:rsidRDefault="009E077E" w:rsidP="005D0F0F">
            <w:pPr>
              <w:pStyle w:val="Numberedlist"/>
              <w:numPr>
                <w:ilvl w:val="0"/>
                <w:numId w:val="0"/>
              </w:numPr>
              <w:rPr>
                <w:b w:val="0"/>
              </w:rPr>
            </w:pPr>
            <w:r w:rsidRPr="005441C4">
              <w:t>Event</w:t>
            </w:r>
          </w:p>
        </w:tc>
      </w:tr>
      <w:tr w:rsidR="009E077E" w:rsidTr="0085002B">
        <w:tc>
          <w:tcPr>
            <w:tcW w:w="2848" w:type="dxa"/>
          </w:tcPr>
          <w:p w:rsidR="009E077E" w:rsidRPr="005441C4" w:rsidRDefault="008A502F" w:rsidP="005D0F0F">
            <w:pPr>
              <w:pStyle w:val="Numberedlist"/>
              <w:numPr>
                <w:ilvl w:val="0"/>
                <w:numId w:val="0"/>
              </w:numPr>
            </w:pPr>
            <w:r>
              <w:t>11 June 2015</w:t>
            </w:r>
          </w:p>
        </w:tc>
        <w:tc>
          <w:tcPr>
            <w:tcW w:w="5459" w:type="dxa"/>
          </w:tcPr>
          <w:p w:rsidR="009E077E" w:rsidRPr="005441C4" w:rsidRDefault="009E077E" w:rsidP="005D0F0F">
            <w:pPr>
              <w:pStyle w:val="Numberedlist"/>
              <w:numPr>
                <w:ilvl w:val="0"/>
                <w:numId w:val="0"/>
              </w:numPr>
            </w:pPr>
            <w:r w:rsidRPr="005441C4">
              <w:t xml:space="preserve">ACCC </w:t>
            </w:r>
            <w:r>
              <w:t xml:space="preserve">commenced </w:t>
            </w:r>
            <w:r w:rsidRPr="005441C4">
              <w:t>review of the proposed acquisition</w:t>
            </w:r>
          </w:p>
        </w:tc>
      </w:tr>
      <w:tr w:rsidR="009E077E" w:rsidTr="0085002B">
        <w:tc>
          <w:tcPr>
            <w:tcW w:w="2848" w:type="dxa"/>
          </w:tcPr>
          <w:p w:rsidR="009E077E" w:rsidRPr="005441C4" w:rsidRDefault="000F2CD2" w:rsidP="005D0F0F">
            <w:pPr>
              <w:pStyle w:val="Numberedlist"/>
              <w:numPr>
                <w:ilvl w:val="0"/>
                <w:numId w:val="0"/>
              </w:numPr>
            </w:pPr>
            <w:r>
              <w:t>17</w:t>
            </w:r>
            <w:r w:rsidR="008A502F">
              <w:t xml:space="preserve"> September 2015</w:t>
            </w:r>
          </w:p>
        </w:tc>
        <w:tc>
          <w:tcPr>
            <w:tcW w:w="5459" w:type="dxa"/>
          </w:tcPr>
          <w:p w:rsidR="009E077E" w:rsidRPr="005441C4" w:rsidRDefault="00732766" w:rsidP="005D0F0F">
            <w:pPr>
              <w:pStyle w:val="Numberedlist"/>
              <w:numPr>
                <w:ilvl w:val="0"/>
                <w:numId w:val="0"/>
              </w:numPr>
            </w:pPr>
            <w:r>
              <w:t>ACCC publication of Statement of I</w:t>
            </w:r>
            <w:r w:rsidR="009E077E" w:rsidRPr="005441C4">
              <w:t>ssues</w:t>
            </w:r>
          </w:p>
        </w:tc>
      </w:tr>
      <w:tr w:rsidR="009E077E" w:rsidTr="0085002B">
        <w:tc>
          <w:tcPr>
            <w:tcW w:w="2848" w:type="dxa"/>
          </w:tcPr>
          <w:p w:rsidR="009E077E" w:rsidRPr="005441C4" w:rsidRDefault="00E42AAB" w:rsidP="000F2CD2">
            <w:pPr>
              <w:pStyle w:val="Numberedlist"/>
              <w:numPr>
                <w:ilvl w:val="0"/>
                <w:numId w:val="0"/>
              </w:numPr>
            </w:pPr>
            <w:r>
              <w:t xml:space="preserve">8 </w:t>
            </w:r>
            <w:r w:rsidR="000F2CD2">
              <w:t xml:space="preserve">October </w:t>
            </w:r>
            <w:r w:rsidR="00FF11B9">
              <w:t>2015</w:t>
            </w:r>
          </w:p>
        </w:tc>
        <w:tc>
          <w:tcPr>
            <w:tcW w:w="5459" w:type="dxa"/>
          </w:tcPr>
          <w:p w:rsidR="009E077E" w:rsidRPr="005441C4" w:rsidRDefault="00732766" w:rsidP="00732766">
            <w:pPr>
              <w:pStyle w:val="Numberedlist"/>
              <w:numPr>
                <w:ilvl w:val="0"/>
                <w:numId w:val="0"/>
              </w:numPr>
            </w:pPr>
            <w:r>
              <w:t>Closing date</w:t>
            </w:r>
            <w:r w:rsidR="009E077E" w:rsidRPr="005441C4">
              <w:t xml:space="preserve"> for submissions </w:t>
            </w:r>
            <w:r>
              <w:t>relating to</w:t>
            </w:r>
            <w:r w:rsidR="009552F5">
              <w:t xml:space="preserve"> Statement of I</w:t>
            </w:r>
            <w:r w:rsidR="009E077E" w:rsidRPr="005441C4">
              <w:t>ssues</w:t>
            </w:r>
          </w:p>
        </w:tc>
      </w:tr>
      <w:tr w:rsidR="009E077E" w:rsidTr="0085002B">
        <w:tc>
          <w:tcPr>
            <w:tcW w:w="2848" w:type="dxa"/>
          </w:tcPr>
          <w:p w:rsidR="009E077E" w:rsidRPr="005441C4" w:rsidRDefault="00FA449C" w:rsidP="00FA449C">
            <w:pPr>
              <w:pStyle w:val="Numberedlist"/>
              <w:numPr>
                <w:ilvl w:val="0"/>
                <w:numId w:val="0"/>
              </w:numPr>
            </w:pPr>
            <w:r>
              <w:t>12</w:t>
            </w:r>
            <w:r w:rsidR="00E42AAB">
              <w:t xml:space="preserve"> November</w:t>
            </w:r>
            <w:r w:rsidR="00FF11B9">
              <w:t xml:space="preserve"> 2015</w:t>
            </w:r>
          </w:p>
        </w:tc>
        <w:tc>
          <w:tcPr>
            <w:tcW w:w="5459" w:type="dxa"/>
          </w:tcPr>
          <w:p w:rsidR="009E077E" w:rsidRPr="005441C4" w:rsidRDefault="00732766" w:rsidP="00732766">
            <w:pPr>
              <w:pStyle w:val="Numberedlist"/>
              <w:numPr>
                <w:ilvl w:val="0"/>
                <w:numId w:val="0"/>
              </w:numPr>
            </w:pPr>
            <w:r>
              <w:t>Proposed</w:t>
            </w:r>
            <w:r w:rsidR="009E077E">
              <w:t xml:space="preserve"> date for </w:t>
            </w:r>
            <w:r>
              <w:t xml:space="preserve">announcement of </w:t>
            </w:r>
            <w:r w:rsidR="009E077E" w:rsidRPr="005441C4">
              <w:t>ACCC</w:t>
            </w:r>
            <w:r>
              <w:t>’s</w:t>
            </w:r>
            <w:r w:rsidR="009E077E" w:rsidRPr="005441C4">
              <w:t xml:space="preserve"> final decision</w:t>
            </w:r>
            <w:r w:rsidR="009E077E">
              <w:t xml:space="preserve"> </w:t>
            </w:r>
          </w:p>
        </w:tc>
      </w:tr>
    </w:tbl>
    <w:p w:rsidR="00BF33B8" w:rsidRDefault="00BF33B8" w:rsidP="005D3A35">
      <w:pPr>
        <w:pStyle w:val="Heading3"/>
        <w:spacing w:before="240"/>
      </w:pPr>
      <w:r>
        <w:t xml:space="preserve">The merger </w:t>
      </w:r>
      <w:r w:rsidRPr="000F1353">
        <w:t>parties</w:t>
      </w:r>
    </w:p>
    <w:p w:rsidR="00010025" w:rsidRDefault="00010025" w:rsidP="00010025">
      <w:pPr>
        <w:pStyle w:val="Numberedlist"/>
        <w:ind w:left="357" w:hanging="357"/>
      </w:pPr>
      <w:r>
        <w:t>On 8 April 2015, Shell announced its intention to acquire BG. Under the proposal, BG would become a wholly owned subsidiary of Shell.</w:t>
      </w:r>
    </w:p>
    <w:p w:rsidR="00175B1F" w:rsidRDefault="00175B1F" w:rsidP="00175B1F">
      <w:pPr>
        <w:pStyle w:val="Numberedlist"/>
        <w:ind w:left="357" w:hanging="357"/>
      </w:pPr>
      <w:r>
        <w:t>Shell is a global group of energy and petrochemicals companies. Shell operates upstream exploration businesses and downstream refining, manufacturing and marketing businesses in a number of countries.</w:t>
      </w:r>
    </w:p>
    <w:p w:rsidR="00175B1F" w:rsidRDefault="00175B1F" w:rsidP="00175B1F">
      <w:pPr>
        <w:pStyle w:val="Numberedlist"/>
        <w:ind w:left="357" w:hanging="357"/>
      </w:pPr>
      <w:r>
        <w:t xml:space="preserve">BG is an international explorer and producer of oil and gas, and supplier of </w:t>
      </w:r>
      <w:r w:rsidR="0054080D">
        <w:t>LNG</w:t>
      </w:r>
      <w:r>
        <w:t>. BG undertakes upstream exploration, development and production of natural gas and oil, as well as downstream LNG shipping and marketing in a number of countries.</w:t>
      </w:r>
    </w:p>
    <w:p w:rsidR="009163D8" w:rsidRDefault="00175B1F" w:rsidP="009163D8">
      <w:pPr>
        <w:pStyle w:val="Numberedlist"/>
        <w:ind w:left="357" w:hanging="357"/>
      </w:pPr>
      <w:r>
        <w:t>The focus of the ACCC’s review is Shell</w:t>
      </w:r>
      <w:r w:rsidR="001E5C7A">
        <w:t>’s</w:t>
      </w:r>
      <w:r>
        <w:t xml:space="preserve"> and BG’s gas operations in </w:t>
      </w:r>
      <w:r w:rsidR="003840A8">
        <w:t xml:space="preserve">Queensland and </w:t>
      </w:r>
      <w:r w:rsidR="000565DE">
        <w:t xml:space="preserve">in </w:t>
      </w:r>
      <w:r>
        <w:t>eastern Australia</w:t>
      </w:r>
      <w:r w:rsidR="003840A8">
        <w:t xml:space="preserve"> more </w:t>
      </w:r>
      <w:r w:rsidR="001E5C7A">
        <w:t>broadly</w:t>
      </w:r>
      <w:r>
        <w:t xml:space="preserve">. While Shell </w:t>
      </w:r>
      <w:r w:rsidR="007D2865">
        <w:t xml:space="preserve">also </w:t>
      </w:r>
      <w:r>
        <w:t xml:space="preserve">has oil and gas interests offshore in Western Australia and the Northern Territory, </w:t>
      </w:r>
      <w:r w:rsidR="000565DE">
        <w:t xml:space="preserve">all of </w:t>
      </w:r>
      <w:r>
        <w:t xml:space="preserve">BG’s </w:t>
      </w:r>
      <w:r w:rsidR="00764260">
        <w:t xml:space="preserve">Australian </w:t>
      </w:r>
      <w:r>
        <w:t xml:space="preserve">interests </w:t>
      </w:r>
      <w:r w:rsidR="00764260">
        <w:t xml:space="preserve">are </w:t>
      </w:r>
      <w:r w:rsidR="000565DE">
        <w:t>in</w:t>
      </w:r>
      <w:r>
        <w:t xml:space="preserve"> eastern Australia.</w:t>
      </w:r>
      <w:r w:rsidR="00764260">
        <w:t xml:space="preserve"> </w:t>
      </w:r>
    </w:p>
    <w:p w:rsidR="00175B1F" w:rsidRPr="00175B1F" w:rsidRDefault="00047026" w:rsidP="00C96FD3">
      <w:pPr>
        <w:pStyle w:val="Heading4"/>
        <w:spacing w:after="240"/>
      </w:pPr>
      <w:r>
        <w:t>Shell</w:t>
      </w:r>
      <w:r w:rsidR="00175B1F">
        <w:t>’</w:t>
      </w:r>
      <w:r>
        <w:t>s</w:t>
      </w:r>
      <w:r w:rsidR="00175B1F" w:rsidRPr="00175B1F">
        <w:t xml:space="preserve"> east</w:t>
      </w:r>
      <w:r w:rsidR="001E5C7A">
        <w:t>ern</w:t>
      </w:r>
      <w:r w:rsidR="00175B1F" w:rsidRPr="00175B1F">
        <w:t xml:space="preserve"> </w:t>
      </w:r>
      <w:r w:rsidR="00175B1F">
        <w:t xml:space="preserve">Australian </w:t>
      </w:r>
      <w:r w:rsidR="00175B1F" w:rsidRPr="00175B1F">
        <w:t>gas operations</w:t>
      </w:r>
    </w:p>
    <w:p w:rsidR="0037184F" w:rsidRDefault="00BF33B8" w:rsidP="00175B1F">
      <w:pPr>
        <w:pStyle w:val="Numberedlist"/>
        <w:ind w:left="357" w:hanging="357"/>
      </w:pPr>
      <w:bookmarkStart w:id="2" w:name="_Ref429730905"/>
      <w:r>
        <w:t>Shell holds a 50% interest in Arrow Energy Pty Ltd (</w:t>
      </w:r>
      <w:r w:rsidRPr="00696F2E">
        <w:rPr>
          <w:b/>
        </w:rPr>
        <w:t>Arrow</w:t>
      </w:r>
      <w:r>
        <w:t>), a joint venture</w:t>
      </w:r>
      <w:r w:rsidR="009D4023">
        <w:t xml:space="preserve"> (</w:t>
      </w:r>
      <w:r w:rsidR="009D4023" w:rsidRPr="009D4023">
        <w:rPr>
          <w:b/>
        </w:rPr>
        <w:t>JV</w:t>
      </w:r>
      <w:r w:rsidR="009D4023">
        <w:t>)</w:t>
      </w:r>
      <w:r>
        <w:t xml:space="preserve"> with PetroChina (</w:t>
      </w:r>
      <w:r w:rsidR="009D4023">
        <w:t xml:space="preserve">on behalf of the China National Petroleum Company, </w:t>
      </w:r>
      <w:r w:rsidRPr="00355FFB">
        <w:rPr>
          <w:b/>
        </w:rPr>
        <w:t>CNPC</w:t>
      </w:r>
      <w:r>
        <w:t>). Arrow is a Queensland coal seam gas (</w:t>
      </w:r>
      <w:r w:rsidRPr="00BF33B8">
        <w:rPr>
          <w:b/>
        </w:rPr>
        <w:t>CSG</w:t>
      </w:r>
      <w:r w:rsidR="00316FD8">
        <w:t>) company that produces gas</w:t>
      </w:r>
      <w:r>
        <w:t xml:space="preserve"> in the Surat and Bowen </w:t>
      </w:r>
      <w:r w:rsidR="00671B02">
        <w:t>B</w:t>
      </w:r>
      <w:r>
        <w:t>asins</w:t>
      </w:r>
      <w:r w:rsidR="00764260">
        <w:t xml:space="preserve"> (</w:t>
      </w:r>
      <w:r w:rsidR="00FA449C" w:rsidRPr="00FA449C">
        <w:rPr>
          <w:b/>
        </w:rPr>
        <w:t xml:space="preserve">Figure </w:t>
      </w:r>
      <w:r w:rsidR="00FA449C" w:rsidRPr="00FA449C">
        <w:rPr>
          <w:b/>
        </w:rPr>
        <w:fldChar w:fldCharType="begin"/>
      </w:r>
      <w:r w:rsidR="00FA449C" w:rsidRPr="00FA449C">
        <w:rPr>
          <w:b/>
        </w:rPr>
        <w:instrText xml:space="preserve"> SEQ Figure \* ARABIC \r 1 </w:instrText>
      </w:r>
      <w:r w:rsidR="00FA449C" w:rsidRPr="00FA449C">
        <w:rPr>
          <w:b/>
        </w:rPr>
        <w:fldChar w:fldCharType="separate"/>
      </w:r>
      <w:r w:rsidR="004B173E">
        <w:rPr>
          <w:b/>
          <w:noProof/>
        </w:rPr>
        <w:t>1</w:t>
      </w:r>
      <w:r w:rsidR="00FA449C" w:rsidRPr="00FA449C">
        <w:rPr>
          <w:b/>
        </w:rPr>
        <w:fldChar w:fldCharType="end"/>
      </w:r>
      <w:r w:rsidR="00FA449C">
        <w:t>)</w:t>
      </w:r>
      <w:r>
        <w:t>.</w:t>
      </w:r>
      <w:r w:rsidR="00316FD8">
        <w:t xml:space="preserve"> </w:t>
      </w:r>
      <w:r>
        <w:t xml:space="preserve">Arrow is involved in the exploration and </w:t>
      </w:r>
      <w:r>
        <w:lastRenderedPageBreak/>
        <w:t>development of CSG fields, gas production and sales, and some electricity generation activities.</w:t>
      </w:r>
      <w:bookmarkEnd w:id="2"/>
    </w:p>
    <w:p w:rsidR="005C3706" w:rsidRDefault="005C3706" w:rsidP="00614301">
      <w:pPr>
        <w:pStyle w:val="Numberedlist"/>
        <w:keepNext/>
        <w:ind w:left="357" w:hanging="357"/>
      </w:pPr>
      <w:r>
        <w:t>Arrow</w:t>
      </w:r>
      <w:r w:rsidR="00631DF2">
        <w:t>, or joint ventures in which Arrow is involved,</w:t>
      </w:r>
      <w:r>
        <w:t xml:space="preserve"> </w:t>
      </w:r>
      <w:r w:rsidR="00BF74E9">
        <w:t xml:space="preserve">supply </w:t>
      </w:r>
      <w:r>
        <w:t>gas to domestic customers</w:t>
      </w:r>
      <w:r w:rsidR="00157040">
        <w:t xml:space="preserve"> that include</w:t>
      </w:r>
      <w:r>
        <w:t>:</w:t>
      </w:r>
    </w:p>
    <w:p w:rsidR="00B907A6" w:rsidRDefault="00B907A6" w:rsidP="00B907A6">
      <w:pPr>
        <w:pStyle w:val="Numbered"/>
        <w:numPr>
          <w:ilvl w:val="0"/>
          <w:numId w:val="10"/>
        </w:numPr>
      </w:pPr>
      <w:r>
        <w:t>Incitec Pivot, which receives gas from the Moranbah Gas Project,</w:t>
      </w:r>
      <w:r>
        <w:rPr>
          <w:rStyle w:val="FootnoteReference"/>
        </w:rPr>
        <w:footnoteReference w:id="1"/>
      </w:r>
      <w:r>
        <w:t xml:space="preserve"> a 50/50 joint venture between Arrow and AGL (Bowen Basin)</w:t>
      </w:r>
      <w:r>
        <w:rPr>
          <w:rStyle w:val="FootnoteReference"/>
        </w:rPr>
        <w:footnoteReference w:id="2"/>
      </w:r>
    </w:p>
    <w:p w:rsidR="00292D52" w:rsidRDefault="005C3706" w:rsidP="00292D52">
      <w:pPr>
        <w:pStyle w:val="Numbered"/>
        <w:numPr>
          <w:ilvl w:val="0"/>
          <w:numId w:val="10"/>
        </w:numPr>
      </w:pPr>
      <w:r>
        <w:t xml:space="preserve">Queensland Nickel, which </w:t>
      </w:r>
      <w:r w:rsidR="00A2698D">
        <w:t>receives gas from the Moranbah Gas Project</w:t>
      </w:r>
      <w:r w:rsidR="00C2585C">
        <w:t xml:space="preserve"> (Bowen Basin)</w:t>
      </w:r>
      <w:r w:rsidR="008A0543">
        <w:rPr>
          <w:rStyle w:val="FootnoteReference"/>
        </w:rPr>
        <w:footnoteReference w:id="3"/>
      </w:r>
    </w:p>
    <w:p w:rsidR="00292D52" w:rsidRDefault="00292D52" w:rsidP="00292D52">
      <w:pPr>
        <w:pStyle w:val="Numbered"/>
        <w:numPr>
          <w:ilvl w:val="0"/>
          <w:numId w:val="10"/>
        </w:numPr>
      </w:pPr>
      <w:r>
        <w:t>Moranbah and Townsville Power Stations, which receive gas from the Moranbah Gas Project (Bowen Basin)</w:t>
      </w:r>
      <w:r w:rsidR="008D60F2">
        <w:rPr>
          <w:rStyle w:val="FootnoteReference"/>
        </w:rPr>
        <w:footnoteReference w:id="4"/>
      </w:r>
    </w:p>
    <w:p w:rsidR="00EC6CB6" w:rsidRPr="00EC6CB6" w:rsidRDefault="00EC6CB6" w:rsidP="008F45CC">
      <w:pPr>
        <w:numPr>
          <w:ilvl w:val="0"/>
          <w:numId w:val="10"/>
        </w:numPr>
        <w:rPr>
          <w:rFonts w:ascii="Arial" w:hAnsi="Arial" w:cs="Arial"/>
          <w:sz w:val="22"/>
          <w:szCs w:val="22"/>
        </w:rPr>
      </w:pPr>
      <w:r w:rsidRPr="00EC6CB6">
        <w:rPr>
          <w:rFonts w:ascii="Arial" w:hAnsi="Arial" w:cs="Arial"/>
          <w:sz w:val="22"/>
          <w:szCs w:val="22"/>
        </w:rPr>
        <w:t>Alinta's Braemar 1 power station (Surat Basin)</w:t>
      </w:r>
      <w:r w:rsidR="00192B43">
        <w:rPr>
          <w:rStyle w:val="FootnoteReference"/>
          <w:rFonts w:ascii="Arial" w:hAnsi="Arial" w:cs="Arial"/>
        </w:rPr>
        <w:footnoteReference w:id="5"/>
      </w:r>
    </w:p>
    <w:p w:rsidR="005C3706" w:rsidRDefault="00EC6CB6" w:rsidP="008F45CC">
      <w:pPr>
        <w:pStyle w:val="Numbered"/>
        <w:numPr>
          <w:ilvl w:val="0"/>
          <w:numId w:val="10"/>
        </w:numPr>
      </w:pPr>
      <w:r>
        <w:t>r</w:t>
      </w:r>
      <w:r w:rsidR="005C3706">
        <w:t>elated parties of Arrow</w:t>
      </w:r>
      <w:r>
        <w:t>,</w:t>
      </w:r>
      <w:r w:rsidR="005C3706">
        <w:t xml:space="preserve"> including the Daandine and the Braemar 2 Power Stations</w:t>
      </w:r>
      <w:r w:rsidR="00D824A7">
        <w:t xml:space="preserve"> (Surat Basin)</w:t>
      </w:r>
      <w:r w:rsidR="00192B43">
        <w:rPr>
          <w:rStyle w:val="FootnoteReference"/>
        </w:rPr>
        <w:footnoteReference w:id="6"/>
      </w:r>
    </w:p>
    <w:p w:rsidR="005C3706" w:rsidRDefault="005C3706" w:rsidP="008F45CC">
      <w:pPr>
        <w:pStyle w:val="Numbered"/>
        <w:numPr>
          <w:ilvl w:val="0"/>
          <w:numId w:val="10"/>
        </w:numPr>
      </w:pPr>
      <w:r>
        <w:t xml:space="preserve">CS Energy's Swanbank E Power Station </w:t>
      </w:r>
      <w:r w:rsidR="00682B39">
        <w:t xml:space="preserve">which receives gas from </w:t>
      </w:r>
      <w:r>
        <w:t>Arrow's Kogan North JV with CS Energy</w:t>
      </w:r>
      <w:r w:rsidR="00D824A7">
        <w:t xml:space="preserve"> (Surat Basin)</w:t>
      </w:r>
      <w:r w:rsidR="00192B43">
        <w:rPr>
          <w:rStyle w:val="FootnoteReference"/>
        </w:rPr>
        <w:footnoteReference w:id="7"/>
      </w:r>
      <w:r w:rsidR="00614301">
        <w:t>.</w:t>
      </w:r>
    </w:p>
    <w:p w:rsidR="005C3706" w:rsidRDefault="005C3706" w:rsidP="005C3706">
      <w:pPr>
        <w:pStyle w:val="Numberedlist"/>
        <w:ind w:left="357" w:hanging="357"/>
      </w:pPr>
      <w:r>
        <w:t>Most of</w:t>
      </w:r>
      <w:r w:rsidR="00157040">
        <w:t xml:space="preserve"> Arrow’s domestic supply contracts are </w:t>
      </w:r>
      <w:r>
        <w:t>contracts that Arrow entered into prior to Shell and PetroChina’s acquisition of Arrow in 2010. Since this acquisition, Arrow has entered into few new contracts f</w:t>
      </w:r>
      <w:r w:rsidR="00157040">
        <w:t>or the wholesale supply of gas.</w:t>
      </w:r>
    </w:p>
    <w:p w:rsidR="009D0AD3" w:rsidRDefault="00316FD8" w:rsidP="00316FD8">
      <w:pPr>
        <w:pStyle w:val="Numberedlist"/>
        <w:ind w:left="360"/>
      </w:pPr>
      <w:r>
        <w:t>Arrow previously intended to develop its own LNG</w:t>
      </w:r>
      <w:r w:rsidR="00184913" w:rsidRPr="00184913">
        <w:t xml:space="preserve"> </w:t>
      </w:r>
      <w:r w:rsidR="00184913">
        <w:t>export</w:t>
      </w:r>
      <w:r>
        <w:t xml:space="preserve"> facility in Gladstone. However, these plans were </w:t>
      </w:r>
      <w:r w:rsidR="00B437D0">
        <w:t>delayed in 2014 and publicly cancelled in January 2015</w:t>
      </w:r>
      <w:r>
        <w:t xml:space="preserve">. </w:t>
      </w:r>
    </w:p>
    <w:p w:rsidR="00FA449C" w:rsidRDefault="00E15660" w:rsidP="00316FD8">
      <w:pPr>
        <w:pStyle w:val="Numberedlist"/>
        <w:ind w:left="360"/>
      </w:pPr>
      <w:r w:rsidRPr="00E15660">
        <w:t xml:space="preserve">Arrow’s reserves constitute </w:t>
      </w:r>
      <w:r w:rsidR="00EF0503">
        <w:t xml:space="preserve">a significant proportion </w:t>
      </w:r>
      <w:r w:rsidRPr="00E15660">
        <w:t xml:space="preserve">of the </w:t>
      </w:r>
      <w:r w:rsidR="00184913" w:rsidRPr="00E15660">
        <w:t xml:space="preserve">non-LNG </w:t>
      </w:r>
      <w:r w:rsidR="00184913">
        <w:t>aligned</w:t>
      </w:r>
      <w:r w:rsidR="008F65A9">
        <w:t xml:space="preserve"> </w:t>
      </w:r>
      <w:r w:rsidR="008046A5">
        <w:t>proved and probable (</w:t>
      </w:r>
      <w:r w:rsidR="008046A5" w:rsidRPr="00917640">
        <w:rPr>
          <w:b/>
        </w:rPr>
        <w:t>2P</w:t>
      </w:r>
      <w:r w:rsidR="008046A5">
        <w:t>)</w:t>
      </w:r>
      <w:r w:rsidR="00184913" w:rsidRPr="00E15660">
        <w:t xml:space="preserve"> </w:t>
      </w:r>
      <w:r w:rsidRPr="00E15660">
        <w:t>gas reserves in eastern Australia</w:t>
      </w:r>
      <w:r w:rsidR="00A62E9B">
        <w:t xml:space="preserve"> at </w:t>
      </w:r>
      <w:r w:rsidR="008F65A9">
        <w:t>over 56</w:t>
      </w:r>
      <w:r w:rsidR="00A62E9B">
        <w:t>%</w:t>
      </w:r>
      <w:r w:rsidR="00EC6CB6">
        <w:t xml:space="preserve"> (see </w:t>
      </w:r>
      <w:r w:rsidR="00EC6CB6" w:rsidRPr="00231095">
        <w:rPr>
          <w:b/>
        </w:rPr>
        <w:fldChar w:fldCharType="begin"/>
      </w:r>
      <w:r w:rsidR="00EC6CB6" w:rsidRPr="00231095">
        <w:rPr>
          <w:b/>
        </w:rPr>
        <w:instrText xml:space="preserve"> REF _Ref429731877 \h  \* MERGEFORMAT </w:instrText>
      </w:r>
      <w:r w:rsidR="00EC6CB6" w:rsidRPr="00231095">
        <w:rPr>
          <w:b/>
        </w:rPr>
      </w:r>
      <w:r w:rsidR="00EC6CB6" w:rsidRPr="00231095">
        <w:rPr>
          <w:b/>
        </w:rPr>
        <w:fldChar w:fldCharType="separate"/>
      </w:r>
      <w:r w:rsidR="008F45CC" w:rsidRPr="008F45CC">
        <w:rPr>
          <w:rFonts w:cs="Arial"/>
          <w:b/>
        </w:rPr>
        <w:t xml:space="preserve">Table </w:t>
      </w:r>
      <w:r w:rsidR="008F45CC" w:rsidRPr="008F45CC">
        <w:rPr>
          <w:rFonts w:cs="Arial"/>
          <w:b/>
          <w:noProof/>
        </w:rPr>
        <w:t>3</w:t>
      </w:r>
      <w:r w:rsidR="00EC6CB6" w:rsidRPr="00231095">
        <w:rPr>
          <w:b/>
        </w:rPr>
        <w:fldChar w:fldCharType="end"/>
      </w:r>
      <w:r w:rsidR="00EC6CB6">
        <w:rPr>
          <w:b/>
        </w:rPr>
        <w:t xml:space="preserve"> </w:t>
      </w:r>
      <w:r w:rsidR="00EC6CB6" w:rsidRPr="00EC6CB6">
        <w:t>below</w:t>
      </w:r>
      <w:r w:rsidR="00EC6CB6">
        <w:rPr>
          <w:b/>
        </w:rPr>
        <w:t>)</w:t>
      </w:r>
      <w:r>
        <w:t xml:space="preserve">. </w:t>
      </w:r>
      <w:r w:rsidR="00FA449C">
        <w:t xml:space="preserve">For the purposes of this paper, the ACCC </w:t>
      </w:r>
      <w:r w:rsidR="00220AF6">
        <w:t>uses the expression ‘LNG alignment’ where one or more parties have significant ownership interests in both gas reserves and LNG facilities</w:t>
      </w:r>
      <w:r w:rsidR="00A95FF1">
        <w:t>.</w:t>
      </w:r>
      <w:r w:rsidR="00220AF6">
        <w:t xml:space="preserve"> </w:t>
      </w:r>
    </w:p>
    <w:p w:rsidR="00316FD8" w:rsidRDefault="00316FD8" w:rsidP="00BC3005">
      <w:pPr>
        <w:pStyle w:val="Numberedlist"/>
        <w:ind w:left="360"/>
      </w:pPr>
      <w:r>
        <w:t>P</w:t>
      </w:r>
      <w:r w:rsidRPr="00BB4430">
        <w:t xml:space="preserve">rior to the </w:t>
      </w:r>
      <w:r w:rsidR="00EC6CB6">
        <w:t xml:space="preserve">announcement of the </w:t>
      </w:r>
      <w:r w:rsidRPr="00BB4430">
        <w:t>proposed acquisition, Arrow had been actively explor</w:t>
      </w:r>
      <w:r w:rsidR="003840A8">
        <w:t>ing options for commercialising</w:t>
      </w:r>
      <w:r w:rsidRPr="00BB4430">
        <w:t xml:space="preserve"> its reserves through a large scale development</w:t>
      </w:r>
      <w:r w:rsidR="00A62E9B">
        <w:t xml:space="preserve"> involving commercial arrangements with a</w:t>
      </w:r>
      <w:r w:rsidR="00BF74E9">
        <w:t>n</w:t>
      </w:r>
      <w:r w:rsidR="00A62E9B">
        <w:t xml:space="preserve"> </w:t>
      </w:r>
      <w:r w:rsidR="00BC3005">
        <w:t>LNG project, which would secure a significant foundation volume</w:t>
      </w:r>
      <w:r w:rsidRPr="00BB4430">
        <w:t xml:space="preserve">. </w:t>
      </w:r>
      <w:r w:rsidR="00A62E9B">
        <w:t>Documents supporting this have been provided to t</w:t>
      </w:r>
      <w:r w:rsidRPr="00BB4430">
        <w:t>he ACCC.</w:t>
      </w:r>
    </w:p>
    <w:p w:rsidR="00A50C67" w:rsidRDefault="00A50C67" w:rsidP="00A50C67">
      <w:pPr>
        <w:pStyle w:val="Numberedlist"/>
        <w:ind w:left="360"/>
      </w:pPr>
      <w:r w:rsidRPr="00A50C67">
        <w:t>Currently, Arrow</w:t>
      </w:r>
      <w:r>
        <w:t xml:space="preserve">’s Bowen Basin reserves </w:t>
      </w:r>
      <w:r w:rsidR="00A62E9B">
        <w:t xml:space="preserve">are </w:t>
      </w:r>
      <w:r w:rsidRPr="00A50C67">
        <w:t xml:space="preserve">only </w:t>
      </w:r>
      <w:r w:rsidR="00A62E9B">
        <w:t>connected</w:t>
      </w:r>
      <w:r w:rsidRPr="00A50C67">
        <w:t xml:space="preserve"> to the North Queensland Gas Pipeline (which runs between Moranbah and Townsville). Without a pipeline to take Arrow’s gas south from the Bowen Basin, Arrow is currently </w:t>
      </w:r>
      <w:r w:rsidRPr="00A50C67">
        <w:lastRenderedPageBreak/>
        <w:t>unable to deliver gas from its Bowen Basin fields to either the LNG plants at Gladstone or to southern domestic gas users.</w:t>
      </w:r>
      <w:r>
        <w:t xml:space="preserve"> Arrow is currently considering the development of a transmission pipeline from the Bowen region to Gladstone</w:t>
      </w:r>
      <w:r w:rsidR="0073026A">
        <w:t>,</w:t>
      </w:r>
      <w:r w:rsidR="00EB1C23" w:rsidRPr="00EB1C23">
        <w:rPr>
          <w:rFonts w:ascii="Times New Roman" w:eastAsia="Times New Roman" w:hAnsi="Times New Roman"/>
          <w:color w:val="auto"/>
          <w:sz w:val="24"/>
          <w:szCs w:val="24"/>
        </w:rPr>
        <w:t xml:space="preserve"> </w:t>
      </w:r>
      <w:r w:rsidR="00EB1C23" w:rsidRPr="00EB1C23">
        <w:t>having called for expressions of interest for the design and construction of its proposed Arrow-Bowen pipeline</w:t>
      </w:r>
      <w:r w:rsidR="00F82DE5">
        <w:t>;</w:t>
      </w:r>
      <w:r w:rsidR="00C04ED1">
        <w:t xml:space="preserve"> </w:t>
      </w:r>
      <w:r w:rsidR="00AC21A9" w:rsidRPr="00AC21A9">
        <w:t xml:space="preserve">the proposed route is </w:t>
      </w:r>
      <w:r w:rsidR="00C04ED1">
        <w:t xml:space="preserve">shown </w:t>
      </w:r>
      <w:r w:rsidR="00C84B7D">
        <w:t>i</w:t>
      </w:r>
      <w:r w:rsidR="00C04ED1">
        <w:t xml:space="preserve">n </w:t>
      </w:r>
      <w:r w:rsidR="00BF74E9" w:rsidRPr="00917640">
        <w:rPr>
          <w:b/>
        </w:rPr>
        <w:fldChar w:fldCharType="begin"/>
      </w:r>
      <w:r w:rsidR="00BF74E9" w:rsidRPr="00917640">
        <w:rPr>
          <w:b/>
        </w:rPr>
        <w:instrText xml:space="preserve"> REF _Ref430186273 \h </w:instrText>
      </w:r>
      <w:r w:rsidR="00BF74E9">
        <w:rPr>
          <w:b/>
        </w:rPr>
        <w:instrText xml:space="preserve"> \* MERGEFORMAT </w:instrText>
      </w:r>
      <w:r w:rsidR="00BF74E9" w:rsidRPr="00917640">
        <w:rPr>
          <w:b/>
        </w:rPr>
      </w:r>
      <w:r w:rsidR="00BF74E9" w:rsidRPr="00917640">
        <w:rPr>
          <w:b/>
        </w:rPr>
        <w:fldChar w:fldCharType="separate"/>
      </w:r>
      <w:r w:rsidR="00BF74E9" w:rsidRPr="00917640">
        <w:rPr>
          <w:rFonts w:cs="Arial"/>
          <w:b/>
        </w:rPr>
        <w:t xml:space="preserve">Figure </w:t>
      </w:r>
      <w:r w:rsidR="00BF74E9" w:rsidRPr="00917640">
        <w:rPr>
          <w:rFonts w:cs="Arial"/>
          <w:b/>
          <w:noProof/>
        </w:rPr>
        <w:t>1</w:t>
      </w:r>
      <w:r w:rsidR="00BF74E9" w:rsidRPr="00917640">
        <w:rPr>
          <w:b/>
        </w:rPr>
        <w:fldChar w:fldCharType="end"/>
      </w:r>
      <w:r w:rsidR="00C04ED1">
        <w:t xml:space="preserve"> below</w:t>
      </w:r>
      <w:r>
        <w:t>.</w:t>
      </w:r>
    </w:p>
    <w:p w:rsidR="00A50C67" w:rsidRPr="00A50C67" w:rsidRDefault="00D62766" w:rsidP="00A50C67">
      <w:pPr>
        <w:pStyle w:val="Numberedlist"/>
        <w:ind w:left="360"/>
      </w:pPr>
      <w:r>
        <w:t xml:space="preserve">While </w:t>
      </w:r>
      <w:r w:rsidR="00A50C67" w:rsidRPr="00A50C67">
        <w:t>Arrow's Surat Basin reserves</w:t>
      </w:r>
      <w:r w:rsidR="00A50C67">
        <w:t xml:space="preserve"> </w:t>
      </w:r>
      <w:r w:rsidRPr="00D62766">
        <w:t>are not currently directly connected to a high-pressure transmission pipeline</w:t>
      </w:r>
      <w:r>
        <w:t>, th</w:t>
      </w:r>
      <w:r w:rsidR="0094343F">
        <w:t xml:space="preserve">ere are </w:t>
      </w:r>
      <w:r w:rsidR="000E7373">
        <w:t xml:space="preserve">a number of </w:t>
      </w:r>
      <w:r w:rsidR="0094343F">
        <w:t>e</w:t>
      </w:r>
      <w:r w:rsidR="00A50C67" w:rsidRPr="00A50C67">
        <w:t xml:space="preserve">xisting </w:t>
      </w:r>
      <w:r w:rsidR="0094343F">
        <w:t xml:space="preserve">transmission </w:t>
      </w:r>
      <w:r w:rsidR="00A50C67" w:rsidRPr="00A50C67">
        <w:t xml:space="preserve">pipelines close to </w:t>
      </w:r>
      <w:r w:rsidR="0094343F">
        <w:t>Arrow’s</w:t>
      </w:r>
      <w:r w:rsidR="0094343F" w:rsidRPr="00A50C67">
        <w:t xml:space="preserve"> </w:t>
      </w:r>
      <w:r w:rsidR="00A50C67" w:rsidRPr="00A50C67">
        <w:t>fields</w:t>
      </w:r>
      <w:r w:rsidR="000E7373">
        <w:t>,</w:t>
      </w:r>
      <w:r w:rsidR="0094343F">
        <w:t xml:space="preserve"> </w:t>
      </w:r>
      <w:r w:rsidR="00C04ED1" w:rsidRPr="00C04ED1">
        <w:t>includ</w:t>
      </w:r>
      <w:r w:rsidR="000E7373">
        <w:t>ing</w:t>
      </w:r>
      <w:r w:rsidR="00C04ED1" w:rsidRPr="00C04ED1">
        <w:t xml:space="preserve"> </w:t>
      </w:r>
      <w:r w:rsidR="00F82DE5" w:rsidRPr="00F82DE5">
        <w:t>transmission pipelines to the LNG projects in Gladstone (including to BG’s QCLNG Project)</w:t>
      </w:r>
      <w:r w:rsidR="00C04ED1" w:rsidRPr="00C04ED1">
        <w:t xml:space="preserve"> and the Roma to Brisbane pipeline</w:t>
      </w:r>
      <w:r w:rsidR="00C84B7D">
        <w:t xml:space="preserve"> (these pipelines are shown in </w:t>
      </w:r>
      <w:r w:rsidR="00D9738D" w:rsidRPr="00204F62">
        <w:rPr>
          <w:b/>
        </w:rPr>
        <w:fldChar w:fldCharType="begin"/>
      </w:r>
      <w:r w:rsidR="00D9738D" w:rsidRPr="00D9738D">
        <w:rPr>
          <w:b/>
        </w:rPr>
        <w:instrText xml:space="preserve"> REF _Ref427655570 \h </w:instrText>
      </w:r>
      <w:r w:rsidR="00D9738D" w:rsidRPr="00224AB3">
        <w:rPr>
          <w:b/>
        </w:rPr>
        <w:instrText xml:space="preserve"> \* MERGEFORMAT </w:instrText>
      </w:r>
      <w:r w:rsidR="00D9738D" w:rsidRPr="00204F62">
        <w:rPr>
          <w:b/>
        </w:rPr>
      </w:r>
      <w:r w:rsidR="00D9738D" w:rsidRPr="00204F62">
        <w:rPr>
          <w:b/>
        </w:rPr>
        <w:fldChar w:fldCharType="separate"/>
      </w:r>
      <w:r w:rsidR="00D9738D" w:rsidRPr="00224AB3">
        <w:rPr>
          <w:rFonts w:cs="Arial"/>
          <w:b/>
        </w:rPr>
        <w:t xml:space="preserve">Figure </w:t>
      </w:r>
      <w:r w:rsidR="00D9738D" w:rsidRPr="00224AB3">
        <w:rPr>
          <w:rFonts w:cs="Arial"/>
          <w:b/>
          <w:noProof/>
        </w:rPr>
        <w:t>4</w:t>
      </w:r>
      <w:r w:rsidR="00D9738D" w:rsidRPr="00204F62">
        <w:rPr>
          <w:b/>
        </w:rPr>
        <w:fldChar w:fldCharType="end"/>
      </w:r>
      <w:r w:rsidR="00C84B7D">
        <w:t>)</w:t>
      </w:r>
      <w:r w:rsidR="00C04ED1" w:rsidRPr="00C04ED1">
        <w:t xml:space="preserve">. </w:t>
      </w:r>
      <w:r w:rsidR="00F82DE5">
        <w:t xml:space="preserve">The ACCC understands that </w:t>
      </w:r>
      <w:r w:rsidR="00A50C67" w:rsidRPr="00A50C67">
        <w:t xml:space="preserve">Arrow </w:t>
      </w:r>
      <w:r w:rsidR="00F82DE5">
        <w:t xml:space="preserve">currently </w:t>
      </w:r>
      <w:r>
        <w:t xml:space="preserve">uses small capacity pipelines, or </w:t>
      </w:r>
      <w:r w:rsidR="00C04ED1">
        <w:t>obtain</w:t>
      </w:r>
      <w:r w:rsidR="00F82DE5">
        <w:t>s</w:t>
      </w:r>
      <w:r w:rsidR="00C04ED1">
        <w:t xml:space="preserve"> access to existing pipelines</w:t>
      </w:r>
      <w:r>
        <w:t>,</w:t>
      </w:r>
      <w:r w:rsidR="00F82DE5">
        <w:t xml:space="preserve"> to transport gas to domestic customers located near Dalby and Ipswich</w:t>
      </w:r>
      <w:r w:rsidR="00C04ED1">
        <w:t>.</w:t>
      </w:r>
      <w:r w:rsidR="00A50C67" w:rsidRPr="00A50C67">
        <w:t xml:space="preserve"> </w:t>
      </w:r>
      <w:r w:rsidR="005536D4">
        <w:t>Arrow has also been considering developing a pipeline between its Surat reserves and Gladstone</w:t>
      </w:r>
      <w:r w:rsidR="00BF0B1F">
        <w:t>;</w:t>
      </w:r>
      <w:r w:rsidR="00C04ED1">
        <w:t xml:space="preserve"> </w:t>
      </w:r>
      <w:r w:rsidR="00BF0B1F">
        <w:t>the proposed route is shown in</w:t>
      </w:r>
      <w:r w:rsidR="00C04ED1" w:rsidRPr="00C04ED1">
        <w:t xml:space="preserve"> </w:t>
      </w:r>
      <w:r w:rsidR="00BF0B1F" w:rsidRPr="00F82DE5">
        <w:rPr>
          <w:b/>
        </w:rPr>
        <w:t xml:space="preserve">Figure </w:t>
      </w:r>
      <w:r w:rsidR="00BF0B1F" w:rsidRPr="00F82DE5">
        <w:rPr>
          <w:b/>
        </w:rPr>
        <w:fldChar w:fldCharType="begin"/>
      </w:r>
      <w:r w:rsidR="00BF0B1F" w:rsidRPr="00F82DE5">
        <w:rPr>
          <w:b/>
        </w:rPr>
        <w:instrText xml:space="preserve"> SEQ Figure \* ARABIC \r 1 </w:instrText>
      </w:r>
      <w:r w:rsidR="00BF0B1F" w:rsidRPr="00F82DE5">
        <w:rPr>
          <w:b/>
        </w:rPr>
        <w:fldChar w:fldCharType="separate"/>
      </w:r>
      <w:r w:rsidR="00BF74E9">
        <w:rPr>
          <w:b/>
          <w:noProof/>
        </w:rPr>
        <w:t>1</w:t>
      </w:r>
      <w:r w:rsidR="00BF0B1F" w:rsidRPr="00F82DE5">
        <w:rPr>
          <w:b/>
        </w:rPr>
        <w:fldChar w:fldCharType="end"/>
      </w:r>
      <w:r w:rsidR="00C04ED1" w:rsidRPr="00C04ED1">
        <w:t xml:space="preserve"> below</w:t>
      </w:r>
      <w:r w:rsidR="005536D4">
        <w:t>.</w:t>
      </w:r>
      <w:r w:rsidR="00BF0B1F">
        <w:t xml:space="preserve"> </w:t>
      </w:r>
    </w:p>
    <w:p w:rsidR="00764260" w:rsidRPr="00764260" w:rsidRDefault="00764260" w:rsidP="00C96FD3">
      <w:pPr>
        <w:pStyle w:val="Caption"/>
        <w:keepNext/>
        <w:spacing w:before="240"/>
        <w:rPr>
          <w:rFonts w:ascii="Arial" w:hAnsi="Arial" w:cs="Arial"/>
          <w:sz w:val="22"/>
          <w:szCs w:val="22"/>
        </w:rPr>
      </w:pPr>
      <w:bookmarkStart w:id="3" w:name="_Ref429126763"/>
      <w:bookmarkStart w:id="4" w:name="_Ref430186273"/>
      <w:r w:rsidRPr="00764260">
        <w:rPr>
          <w:rFonts w:ascii="Arial" w:hAnsi="Arial" w:cs="Arial"/>
          <w:sz w:val="22"/>
          <w:szCs w:val="22"/>
        </w:rPr>
        <w:t xml:space="preserve">Figure </w:t>
      </w:r>
      <w:bookmarkEnd w:id="3"/>
      <w:r w:rsidR="00C86C71">
        <w:rPr>
          <w:rFonts w:ascii="Arial" w:hAnsi="Arial" w:cs="Arial"/>
          <w:sz w:val="22"/>
          <w:szCs w:val="22"/>
        </w:rPr>
        <w:fldChar w:fldCharType="begin"/>
      </w:r>
      <w:r w:rsidR="00C86C71">
        <w:rPr>
          <w:rFonts w:ascii="Arial" w:hAnsi="Arial" w:cs="Arial"/>
          <w:sz w:val="22"/>
          <w:szCs w:val="22"/>
        </w:rPr>
        <w:instrText xml:space="preserve"> SEQ Figure \* ARABIC \r 1 </w:instrText>
      </w:r>
      <w:r w:rsidR="00C86C71">
        <w:rPr>
          <w:rFonts w:ascii="Arial" w:hAnsi="Arial" w:cs="Arial"/>
          <w:sz w:val="22"/>
          <w:szCs w:val="22"/>
        </w:rPr>
        <w:fldChar w:fldCharType="separate"/>
      </w:r>
      <w:r w:rsidR="008F45CC">
        <w:rPr>
          <w:rFonts w:ascii="Arial" w:hAnsi="Arial" w:cs="Arial"/>
          <w:noProof/>
          <w:sz w:val="22"/>
          <w:szCs w:val="22"/>
        </w:rPr>
        <w:t>1</w:t>
      </w:r>
      <w:r w:rsidR="00C86C71">
        <w:rPr>
          <w:rFonts w:ascii="Arial" w:hAnsi="Arial" w:cs="Arial"/>
          <w:sz w:val="22"/>
          <w:szCs w:val="22"/>
        </w:rPr>
        <w:fldChar w:fldCharType="end"/>
      </w:r>
      <w:bookmarkEnd w:id="4"/>
      <w:r w:rsidRPr="00764260">
        <w:rPr>
          <w:rFonts w:ascii="Arial" w:hAnsi="Arial" w:cs="Arial"/>
          <w:sz w:val="22"/>
          <w:szCs w:val="22"/>
        </w:rPr>
        <w:t>:</w:t>
      </w:r>
      <w:r w:rsidRPr="00764260">
        <w:rPr>
          <w:rFonts w:ascii="Arial" w:hAnsi="Arial" w:cs="Arial"/>
          <w:sz w:val="22"/>
          <w:szCs w:val="22"/>
        </w:rPr>
        <w:tab/>
        <w:t>Arrow’s tenements and proposed pipeline routes</w:t>
      </w:r>
    </w:p>
    <w:p w:rsidR="00764260" w:rsidRDefault="006F14DF" w:rsidP="00764260">
      <w:pPr>
        <w:pStyle w:val="Numberedlist"/>
        <w:numPr>
          <w:ilvl w:val="0"/>
          <w:numId w:val="0"/>
        </w:numPr>
        <w:rPr>
          <w:noProof/>
          <w:sz w:val="18"/>
          <w:lang w:eastAsia="en-AU"/>
        </w:rPr>
      </w:pPr>
      <w:r>
        <w:rPr>
          <w:noProof/>
          <w:sz w:val="18"/>
          <w:lang w:eastAsia="en-AU"/>
        </w:rPr>
        <w:pict>
          <v:shape id="Picture 26" o:spid="_x0000_i1026" type="#_x0000_t75" alt="Figure showing Arrow's tenements and proposed pipeline routes" style="width:328.2pt;height:389pt;visibility:visible;mso-wrap-style:square">
            <v:imagedata r:id="rId13" o:title=""/>
          </v:shape>
        </w:pict>
      </w:r>
    </w:p>
    <w:p w:rsidR="00764260" w:rsidRPr="00764260" w:rsidRDefault="00764260" w:rsidP="00764260">
      <w:pPr>
        <w:pStyle w:val="Numberedlist"/>
        <w:numPr>
          <w:ilvl w:val="0"/>
          <w:numId w:val="0"/>
        </w:numPr>
        <w:rPr>
          <w:sz w:val="20"/>
        </w:rPr>
      </w:pPr>
      <w:r w:rsidRPr="00764260">
        <w:rPr>
          <w:sz w:val="20"/>
        </w:rPr>
        <w:t>Source:</w:t>
      </w:r>
      <w:r w:rsidRPr="00764260">
        <w:rPr>
          <w:sz w:val="20"/>
        </w:rPr>
        <w:tab/>
        <w:t xml:space="preserve">Arrow Energy, </w:t>
      </w:r>
      <w:hyperlink r:id="rId14" w:history="1">
        <w:r w:rsidR="003B420C" w:rsidRPr="00D25D0F">
          <w:rPr>
            <w:rStyle w:val="Hyperlink"/>
            <w:sz w:val="20"/>
          </w:rPr>
          <w:t>www.arrowenergy.com.au/our-company/our-projects</w:t>
        </w:r>
      </w:hyperlink>
      <w:r w:rsidR="003B420C">
        <w:rPr>
          <w:sz w:val="20"/>
        </w:rPr>
        <w:t xml:space="preserve">, </w:t>
      </w:r>
      <w:r w:rsidRPr="00764260">
        <w:rPr>
          <w:sz w:val="20"/>
        </w:rPr>
        <w:t>August 2015.</w:t>
      </w:r>
    </w:p>
    <w:p w:rsidR="00047026" w:rsidRPr="00175B1F" w:rsidRDefault="00047026" w:rsidP="00C96FD3">
      <w:pPr>
        <w:pStyle w:val="Heading4"/>
        <w:spacing w:after="240"/>
      </w:pPr>
      <w:r>
        <w:t>BG’s</w:t>
      </w:r>
      <w:r w:rsidRPr="00175B1F">
        <w:t xml:space="preserve"> east </w:t>
      </w:r>
      <w:r>
        <w:t xml:space="preserve">Australian </w:t>
      </w:r>
      <w:r w:rsidRPr="00175B1F">
        <w:t>gas operations</w:t>
      </w:r>
    </w:p>
    <w:p w:rsidR="00316FD8" w:rsidRDefault="00BF33B8" w:rsidP="00316FD8">
      <w:pPr>
        <w:pStyle w:val="Numberedlist"/>
        <w:ind w:left="357" w:hanging="357"/>
      </w:pPr>
      <w:r w:rsidRPr="007571C8">
        <w:t xml:space="preserve">BG’s major interests are </w:t>
      </w:r>
      <w:r w:rsidR="00124664">
        <w:t>held by</w:t>
      </w:r>
      <w:r w:rsidRPr="007571C8">
        <w:t xml:space="preserve"> QGC, a wholly owned</w:t>
      </w:r>
      <w:r>
        <w:t xml:space="preserve"> Australian </w:t>
      </w:r>
      <w:r w:rsidRPr="007571C8">
        <w:t>subsi</w:t>
      </w:r>
      <w:r>
        <w:t xml:space="preserve">diary which BG acquired in 2008. QGC holds interests in natural gas tenements and </w:t>
      </w:r>
      <w:r>
        <w:lastRenderedPageBreak/>
        <w:t>production facilities in the Surat Basin in Queensland</w:t>
      </w:r>
      <w:r w:rsidR="00C13147">
        <w:t>, and exploration rights in the Bowen and Cooper Basins</w:t>
      </w:r>
      <w:r w:rsidR="00764260">
        <w:t xml:space="preserve"> (</w:t>
      </w:r>
      <w:r w:rsidR="0091488C">
        <w:t xml:space="preserve">see </w:t>
      </w:r>
      <w:r w:rsidR="00764260" w:rsidRPr="00764260">
        <w:rPr>
          <w:b/>
        </w:rPr>
        <w:fldChar w:fldCharType="begin"/>
      </w:r>
      <w:r w:rsidR="00764260" w:rsidRPr="00764260">
        <w:rPr>
          <w:b/>
        </w:rPr>
        <w:instrText xml:space="preserve"> REF _Ref429126786 \h </w:instrText>
      </w:r>
      <w:r w:rsidR="00764260">
        <w:rPr>
          <w:b/>
        </w:rPr>
        <w:instrText xml:space="preserve"> \* MERGEFORMAT </w:instrText>
      </w:r>
      <w:r w:rsidR="00764260" w:rsidRPr="00764260">
        <w:rPr>
          <w:b/>
        </w:rPr>
      </w:r>
      <w:r w:rsidR="00764260" w:rsidRPr="00764260">
        <w:rPr>
          <w:b/>
        </w:rPr>
        <w:fldChar w:fldCharType="separate"/>
      </w:r>
      <w:r w:rsidR="008F45CC" w:rsidRPr="008F45CC">
        <w:rPr>
          <w:rFonts w:cs="Arial"/>
          <w:b/>
        </w:rPr>
        <w:t xml:space="preserve">Figure </w:t>
      </w:r>
      <w:r w:rsidR="008F45CC" w:rsidRPr="008F45CC">
        <w:rPr>
          <w:rFonts w:cs="Arial"/>
          <w:b/>
          <w:noProof/>
        </w:rPr>
        <w:t>2</w:t>
      </w:r>
      <w:r w:rsidR="00764260" w:rsidRPr="00764260">
        <w:rPr>
          <w:b/>
        </w:rPr>
        <w:fldChar w:fldCharType="end"/>
      </w:r>
      <w:r w:rsidR="00764260">
        <w:t>)</w:t>
      </w:r>
      <w:r>
        <w:t>.</w:t>
      </w:r>
    </w:p>
    <w:p w:rsidR="007C1A9F" w:rsidRDefault="008F45CC" w:rsidP="008F45CC">
      <w:pPr>
        <w:pStyle w:val="Numberedlist"/>
        <w:ind w:left="357" w:hanging="357"/>
      </w:pPr>
      <w:r w:rsidRPr="008F45CC">
        <w:t>QGC also has a majority interest (74%) in an LNG plant on Curtis Island (</w:t>
      </w:r>
      <w:r w:rsidRPr="008F45CC">
        <w:rPr>
          <w:b/>
        </w:rPr>
        <w:t>QCLNG</w:t>
      </w:r>
      <w:r w:rsidRPr="008F45CC">
        <w:t>) with China National Offshore Oil Corporation (</w:t>
      </w:r>
      <w:r w:rsidRPr="008F45CC">
        <w:rPr>
          <w:b/>
        </w:rPr>
        <w:t>CNOOC</w:t>
      </w:r>
      <w:r w:rsidRPr="008F45CC">
        <w:t xml:space="preserve">) and Tokyo Gas. The plant </w:t>
      </w:r>
      <w:r w:rsidR="004C296E">
        <w:t xml:space="preserve">currently </w:t>
      </w:r>
      <w:r w:rsidRPr="008F45CC">
        <w:t>converts gas sourced from production wells in the Surat Basin into LNG for shipment to export markets</w:t>
      </w:r>
      <w:r w:rsidR="002F0B5C">
        <w:t xml:space="preserve">. </w:t>
      </w:r>
      <w:r w:rsidRPr="008F45CC">
        <w:t xml:space="preserve">See </w:t>
      </w:r>
      <w:r w:rsidR="002F0B5C" w:rsidRPr="00224AB3">
        <w:rPr>
          <w:b/>
        </w:rPr>
        <w:fldChar w:fldCharType="begin"/>
      </w:r>
      <w:r w:rsidR="002F0B5C" w:rsidRPr="00224AB3">
        <w:rPr>
          <w:b/>
        </w:rPr>
        <w:instrText xml:space="preserve"> REF _Ref429595247 \h </w:instrText>
      </w:r>
      <w:r w:rsidR="002F0B5C">
        <w:rPr>
          <w:b/>
        </w:rPr>
        <w:instrText xml:space="preserve"> \* MERGEFORMAT </w:instrText>
      </w:r>
      <w:r w:rsidR="002F0B5C" w:rsidRPr="00224AB3">
        <w:rPr>
          <w:b/>
        </w:rPr>
      </w:r>
      <w:r w:rsidR="002F0B5C" w:rsidRPr="00224AB3">
        <w:rPr>
          <w:b/>
        </w:rPr>
        <w:fldChar w:fldCharType="separate"/>
      </w:r>
      <w:r w:rsidR="002F0B5C" w:rsidRPr="00224AB3">
        <w:rPr>
          <w:rFonts w:cs="Arial"/>
          <w:b/>
        </w:rPr>
        <w:t xml:space="preserve">Table </w:t>
      </w:r>
      <w:r w:rsidR="002F0B5C" w:rsidRPr="00224AB3">
        <w:rPr>
          <w:rFonts w:cs="Arial"/>
          <w:b/>
          <w:noProof/>
        </w:rPr>
        <w:t>2</w:t>
      </w:r>
      <w:r w:rsidR="002F0B5C" w:rsidRPr="00224AB3">
        <w:rPr>
          <w:b/>
        </w:rPr>
        <w:fldChar w:fldCharType="end"/>
      </w:r>
      <w:r w:rsidR="002F0B5C">
        <w:rPr>
          <w:b/>
        </w:rPr>
        <w:t xml:space="preserve"> </w:t>
      </w:r>
      <w:r w:rsidRPr="008F45CC">
        <w:t>for more detail</w:t>
      </w:r>
      <w:r w:rsidR="002F0B5C">
        <w:t xml:space="preserve"> on QCLNG</w:t>
      </w:r>
      <w:r w:rsidRPr="008F45CC">
        <w:t>.</w:t>
      </w:r>
    </w:p>
    <w:p w:rsidR="00316FD8" w:rsidRDefault="00262E27" w:rsidP="00803869">
      <w:pPr>
        <w:pStyle w:val="Numberedlist"/>
        <w:ind w:left="357" w:hanging="357"/>
      </w:pPr>
      <w:r>
        <w:t>BG</w:t>
      </w:r>
      <w:r w:rsidR="00636EB8">
        <w:t xml:space="preserve"> (through QGC)</w:t>
      </w:r>
      <w:r w:rsidR="00316FD8">
        <w:t xml:space="preserve"> </w:t>
      </w:r>
      <w:r w:rsidR="00ED4348">
        <w:t xml:space="preserve">currently has </w:t>
      </w:r>
      <w:r w:rsidR="00316FD8">
        <w:t xml:space="preserve">domestic </w:t>
      </w:r>
      <w:r w:rsidR="00803869" w:rsidRPr="00803869">
        <w:t xml:space="preserve">gas contracts with power stations, industrial users and gas retailers </w:t>
      </w:r>
      <w:r w:rsidR="00636EB8">
        <w:rPr>
          <w:lang w:val="en"/>
        </w:rPr>
        <w:t>and</w:t>
      </w:r>
      <w:r w:rsidR="00636EB8" w:rsidRPr="00636EB8">
        <w:rPr>
          <w:lang w:val="en"/>
        </w:rPr>
        <w:t xml:space="preserve"> supplies about 20% of Queensland's gas demand. </w:t>
      </w:r>
      <w:r w:rsidR="00636EB8">
        <w:t>However</w:t>
      </w:r>
      <w:r w:rsidR="00316FD8">
        <w:t xml:space="preserve"> its main focus appears to be on LNG exports through QCLNG. The ACCC understands that the domestic contracts </w:t>
      </w:r>
      <w:r>
        <w:t>BG</w:t>
      </w:r>
      <w:r w:rsidR="00316FD8">
        <w:t xml:space="preserve"> has entered into in recent years have been</w:t>
      </w:r>
      <w:r w:rsidR="00FE09D9">
        <w:t xml:space="preserve"> short term contracts for the supply of</w:t>
      </w:r>
      <w:r w:rsidR="00316FD8">
        <w:t xml:space="preserve"> ‘ramp’ gas, which is produced during the commissioning phase </w:t>
      </w:r>
      <w:r w:rsidR="00FE09D9">
        <w:t xml:space="preserve">of </w:t>
      </w:r>
      <w:r w:rsidR="00316FD8">
        <w:t xml:space="preserve">LNG plants. </w:t>
      </w:r>
    </w:p>
    <w:p w:rsidR="00262E27" w:rsidRDefault="00262E27" w:rsidP="00803869">
      <w:pPr>
        <w:pStyle w:val="Numberedlist"/>
        <w:ind w:left="357" w:hanging="357"/>
      </w:pPr>
      <w:r>
        <w:t>BG’s Surat Basin reserves are connected to the east coast pipeline network.</w:t>
      </w:r>
    </w:p>
    <w:p w:rsidR="00175B1F" w:rsidRPr="00C443AF" w:rsidRDefault="00C443AF" w:rsidP="00754145">
      <w:pPr>
        <w:pStyle w:val="Caption"/>
        <w:keepNext/>
        <w:spacing w:before="240"/>
        <w:rPr>
          <w:rFonts w:ascii="Arial" w:hAnsi="Arial" w:cs="Arial"/>
          <w:sz w:val="22"/>
          <w:szCs w:val="22"/>
        </w:rPr>
      </w:pPr>
      <w:bookmarkStart w:id="5" w:name="_Ref429126786"/>
      <w:r w:rsidRPr="00C443AF">
        <w:rPr>
          <w:rFonts w:ascii="Arial" w:hAnsi="Arial" w:cs="Arial"/>
          <w:sz w:val="22"/>
          <w:szCs w:val="22"/>
        </w:rPr>
        <w:t xml:space="preserve">Figure </w:t>
      </w:r>
      <w:r w:rsidRPr="00C443AF">
        <w:rPr>
          <w:rFonts w:ascii="Arial" w:hAnsi="Arial" w:cs="Arial"/>
          <w:sz w:val="22"/>
          <w:szCs w:val="22"/>
        </w:rPr>
        <w:fldChar w:fldCharType="begin"/>
      </w:r>
      <w:r w:rsidRPr="00C443AF">
        <w:rPr>
          <w:rFonts w:ascii="Arial" w:hAnsi="Arial" w:cs="Arial"/>
          <w:sz w:val="22"/>
          <w:szCs w:val="22"/>
        </w:rPr>
        <w:instrText xml:space="preserve"> SEQ Figure \* ARABIC </w:instrText>
      </w:r>
      <w:r w:rsidRPr="00C443AF">
        <w:rPr>
          <w:rFonts w:ascii="Arial" w:hAnsi="Arial" w:cs="Arial"/>
          <w:sz w:val="22"/>
          <w:szCs w:val="22"/>
        </w:rPr>
        <w:fldChar w:fldCharType="separate"/>
      </w:r>
      <w:r w:rsidR="008F45CC">
        <w:rPr>
          <w:rFonts w:ascii="Arial" w:hAnsi="Arial" w:cs="Arial"/>
          <w:noProof/>
          <w:sz w:val="22"/>
          <w:szCs w:val="22"/>
        </w:rPr>
        <w:t>2</w:t>
      </w:r>
      <w:r w:rsidRPr="00C443AF">
        <w:rPr>
          <w:rFonts w:ascii="Arial" w:hAnsi="Arial" w:cs="Arial"/>
          <w:sz w:val="22"/>
          <w:szCs w:val="22"/>
        </w:rPr>
        <w:fldChar w:fldCharType="end"/>
      </w:r>
      <w:bookmarkEnd w:id="5"/>
      <w:r w:rsidRPr="00C443AF">
        <w:rPr>
          <w:rFonts w:ascii="Arial" w:hAnsi="Arial" w:cs="Arial"/>
          <w:sz w:val="22"/>
          <w:szCs w:val="22"/>
        </w:rPr>
        <w:t>:</w:t>
      </w:r>
      <w:r w:rsidRPr="00C443AF">
        <w:rPr>
          <w:rFonts w:ascii="Arial" w:hAnsi="Arial" w:cs="Arial"/>
          <w:sz w:val="22"/>
          <w:szCs w:val="22"/>
        </w:rPr>
        <w:tab/>
        <w:t>BG’s east Australian tenements</w:t>
      </w:r>
    </w:p>
    <w:p w:rsidR="00440338" w:rsidRPr="00233BAA" w:rsidRDefault="006F14DF" w:rsidP="00233BAA">
      <w:pPr>
        <w:pStyle w:val="Numberedlist"/>
        <w:numPr>
          <w:ilvl w:val="0"/>
          <w:numId w:val="0"/>
        </w:numPr>
        <w:ind w:left="357"/>
      </w:pPr>
      <w:r>
        <w:pict w14:anchorId="2BC76F47">
          <v:shape id="_x0000_i1027" type="#_x0000_t75" alt="Figure showing BG's east Australian tenements" style="width:412.35pt;height:319.8pt;mso-left-percent:-10001;mso-top-percent:-10001;mso-position-horizontal:absolute;mso-position-horizontal-relative:char;mso-position-vertical:absolute;mso-position-vertical-relative:line;mso-left-percent:-10001;mso-top-percent:-10001">
            <v:imagedata r:id="rId15" o:title=""/>
          </v:shape>
        </w:pict>
      </w:r>
    </w:p>
    <w:p w:rsidR="009163D8" w:rsidRPr="00C443AF" w:rsidRDefault="00C443AF" w:rsidP="00C443AF">
      <w:pPr>
        <w:pStyle w:val="Numberedlist"/>
        <w:numPr>
          <w:ilvl w:val="0"/>
          <w:numId w:val="0"/>
        </w:numPr>
        <w:rPr>
          <w:sz w:val="20"/>
        </w:rPr>
      </w:pPr>
      <w:r w:rsidRPr="00C443AF">
        <w:rPr>
          <w:sz w:val="20"/>
        </w:rPr>
        <w:t>Source: BG Group</w:t>
      </w:r>
      <w:r w:rsidR="00124664" w:rsidRPr="00C60361">
        <w:rPr>
          <w:sz w:val="20"/>
          <w:szCs w:val="20"/>
        </w:rPr>
        <w:t>,</w:t>
      </w:r>
      <w:r w:rsidRPr="00C60361">
        <w:rPr>
          <w:sz w:val="20"/>
          <w:szCs w:val="20"/>
        </w:rPr>
        <w:t xml:space="preserve"> </w:t>
      </w:r>
      <w:hyperlink r:id="rId16" w:history="1">
        <w:r w:rsidR="00C60361" w:rsidRPr="00D310DA">
          <w:rPr>
            <w:rStyle w:val="Hyperlink"/>
            <w:sz w:val="20"/>
            <w:szCs w:val="20"/>
          </w:rPr>
          <w:t>www.bg-group.com/assets/files/cms/CountryData/BG_Data_Australia.pdf</w:t>
        </w:r>
      </w:hyperlink>
      <w:r w:rsidR="00C60361">
        <w:rPr>
          <w:sz w:val="20"/>
          <w:szCs w:val="20"/>
        </w:rPr>
        <w:t xml:space="preserve">, </w:t>
      </w:r>
      <w:r w:rsidRPr="00C60361">
        <w:rPr>
          <w:sz w:val="20"/>
          <w:szCs w:val="20"/>
        </w:rPr>
        <w:t>2015</w:t>
      </w:r>
    </w:p>
    <w:p w:rsidR="009F3626" w:rsidRDefault="004C08AB" w:rsidP="00754145">
      <w:pPr>
        <w:pStyle w:val="Heading4"/>
        <w:spacing w:after="240"/>
      </w:pPr>
      <w:r>
        <w:t>Main a</w:t>
      </w:r>
      <w:r w:rsidR="000527D5">
        <w:t>reas of o</w:t>
      </w:r>
      <w:r w:rsidR="009F3626">
        <w:t>verlap</w:t>
      </w:r>
      <w:r w:rsidR="00124664">
        <w:t xml:space="preserve"> </w:t>
      </w:r>
    </w:p>
    <w:p w:rsidR="009F3626" w:rsidRDefault="00B1363F" w:rsidP="009F3626">
      <w:pPr>
        <w:pStyle w:val="Numberedlist"/>
        <w:ind w:left="360"/>
      </w:pPr>
      <w:r>
        <w:t>As outlined above, both Arrow and BG produce gas from interests in the Surat Basin</w:t>
      </w:r>
      <w:r w:rsidR="00124664">
        <w:t xml:space="preserve"> in</w:t>
      </w:r>
      <w:r>
        <w:t xml:space="preserve"> Queensland. Arrow currently produces gas in the Bowen Basin</w:t>
      </w:r>
      <w:r w:rsidR="00124664">
        <w:t xml:space="preserve"> in</w:t>
      </w:r>
      <w:r>
        <w:t xml:space="preserve"> Queensland while BG holds currently undeveloped interests in that basin.</w:t>
      </w:r>
    </w:p>
    <w:p w:rsidR="00EC6CB6" w:rsidRDefault="00B1363F" w:rsidP="00EC6CB6">
      <w:pPr>
        <w:pStyle w:val="Numberedlist"/>
        <w:ind w:left="360"/>
      </w:pPr>
      <w:bookmarkStart w:id="6" w:name="_Ref429730929"/>
      <w:r>
        <w:t xml:space="preserve">Further details about Arrow and BG’s reserves and production in eastern Australia are contained below </w:t>
      </w:r>
      <w:r w:rsidR="00E108B6">
        <w:t xml:space="preserve">under the heading ‘Market participants’. </w:t>
      </w:r>
      <w:bookmarkEnd w:id="6"/>
    </w:p>
    <w:p w:rsidR="004C08AB" w:rsidRDefault="004C08AB" w:rsidP="004C08AB">
      <w:pPr>
        <w:pStyle w:val="Heading4"/>
        <w:spacing w:after="240"/>
      </w:pPr>
      <w:r>
        <w:lastRenderedPageBreak/>
        <w:t xml:space="preserve">Other areas of overlap </w:t>
      </w:r>
    </w:p>
    <w:p w:rsidR="004C08AB" w:rsidRDefault="004C08AB" w:rsidP="004C08AB">
      <w:pPr>
        <w:pStyle w:val="Numberedlist"/>
        <w:ind w:left="360"/>
      </w:pPr>
      <w:r w:rsidRPr="00116B66">
        <w:rPr>
          <w:b/>
        </w:rPr>
        <w:fldChar w:fldCharType="begin"/>
      </w:r>
      <w:r w:rsidRPr="00116B66">
        <w:rPr>
          <w:b/>
        </w:rPr>
        <w:instrText xml:space="preserve"> REF _Ref428258580 \h  \* MERGEFORMAT </w:instrText>
      </w:r>
      <w:r w:rsidRPr="00116B66">
        <w:rPr>
          <w:b/>
        </w:rPr>
      </w:r>
      <w:r w:rsidRPr="00116B66">
        <w:rPr>
          <w:b/>
        </w:rPr>
        <w:fldChar w:fldCharType="separate"/>
      </w:r>
      <w:r w:rsidR="008F45CC" w:rsidRPr="008F45CC">
        <w:rPr>
          <w:rFonts w:cs="Arial"/>
          <w:b/>
        </w:rPr>
        <w:t xml:space="preserve">Table </w:t>
      </w:r>
      <w:r w:rsidR="008F45CC" w:rsidRPr="008F45CC">
        <w:rPr>
          <w:rFonts w:cs="Arial"/>
          <w:b/>
          <w:noProof/>
        </w:rPr>
        <w:t>1</w:t>
      </w:r>
      <w:r w:rsidRPr="00116B66">
        <w:rPr>
          <w:b/>
        </w:rPr>
        <w:fldChar w:fldCharType="end"/>
      </w:r>
      <w:r w:rsidRPr="00116B66">
        <w:rPr>
          <w:b/>
        </w:rPr>
        <w:t xml:space="preserve"> </w:t>
      </w:r>
      <w:r w:rsidRPr="00823426">
        <w:t>below</w:t>
      </w:r>
      <w:r>
        <w:rPr>
          <w:b/>
        </w:rPr>
        <w:t xml:space="preserve"> </w:t>
      </w:r>
      <w:r>
        <w:t>summarises other areas of overlap between the parties in Australia.</w:t>
      </w:r>
    </w:p>
    <w:p w:rsidR="004C08AB" w:rsidRDefault="004C08AB" w:rsidP="004C08AB">
      <w:pPr>
        <w:pStyle w:val="Numberedlist"/>
        <w:ind w:left="360"/>
      </w:pPr>
      <w:r>
        <w:t>The ACCC considers that the extent of the overlap between Shell and BG in these areas is small in the context of the relevant markets, and is unlikely to have any material competitive impact. The ACCC has not therefore considered these areas of overlap further.</w:t>
      </w:r>
    </w:p>
    <w:p w:rsidR="004C08AB" w:rsidRPr="00DE35AB" w:rsidRDefault="004C08AB" w:rsidP="004C08AB">
      <w:pPr>
        <w:pStyle w:val="Caption"/>
        <w:keepNext/>
        <w:spacing w:before="240"/>
        <w:rPr>
          <w:rFonts w:ascii="Arial" w:hAnsi="Arial" w:cs="Arial"/>
          <w:sz w:val="22"/>
          <w:szCs w:val="22"/>
        </w:rPr>
      </w:pPr>
      <w:bookmarkStart w:id="7" w:name="_Ref428258580"/>
      <w:r w:rsidRPr="00DE35AB">
        <w:rPr>
          <w:rFonts w:ascii="Arial" w:hAnsi="Arial" w:cs="Arial"/>
          <w:sz w:val="22"/>
          <w:szCs w:val="22"/>
        </w:rPr>
        <w:t xml:space="preserve">Table </w:t>
      </w:r>
      <w:r w:rsidRPr="00DE35AB">
        <w:rPr>
          <w:rFonts w:ascii="Arial" w:hAnsi="Arial" w:cs="Arial"/>
          <w:sz w:val="22"/>
          <w:szCs w:val="22"/>
        </w:rPr>
        <w:fldChar w:fldCharType="begin"/>
      </w:r>
      <w:r w:rsidRPr="00DE35AB">
        <w:rPr>
          <w:rFonts w:ascii="Arial" w:hAnsi="Arial" w:cs="Arial"/>
          <w:sz w:val="22"/>
          <w:szCs w:val="22"/>
        </w:rPr>
        <w:instrText xml:space="preserve"> SEQ Table \* ARABIC </w:instrText>
      </w:r>
      <w:r w:rsidRPr="00DE35AB">
        <w:rPr>
          <w:rFonts w:ascii="Arial" w:hAnsi="Arial" w:cs="Arial"/>
          <w:sz w:val="22"/>
          <w:szCs w:val="22"/>
        </w:rPr>
        <w:fldChar w:fldCharType="separate"/>
      </w:r>
      <w:r w:rsidR="004B173E">
        <w:rPr>
          <w:rFonts w:ascii="Arial" w:hAnsi="Arial" w:cs="Arial"/>
          <w:noProof/>
          <w:sz w:val="22"/>
          <w:szCs w:val="22"/>
        </w:rPr>
        <w:t>1</w:t>
      </w:r>
      <w:r w:rsidRPr="00DE35AB">
        <w:rPr>
          <w:rFonts w:ascii="Arial" w:hAnsi="Arial" w:cs="Arial"/>
          <w:sz w:val="22"/>
          <w:szCs w:val="22"/>
        </w:rPr>
        <w:fldChar w:fldCharType="end"/>
      </w:r>
      <w:bookmarkEnd w:id="7"/>
      <w:r w:rsidRPr="00DE35AB">
        <w:rPr>
          <w:rFonts w:ascii="Arial" w:hAnsi="Arial" w:cs="Arial"/>
          <w:sz w:val="22"/>
          <w:szCs w:val="22"/>
        </w:rPr>
        <w:t>:</w:t>
      </w:r>
      <w:r w:rsidRPr="00DE35AB">
        <w:rPr>
          <w:rFonts w:ascii="Arial" w:hAnsi="Arial" w:cs="Arial"/>
          <w:sz w:val="22"/>
          <w:szCs w:val="22"/>
        </w:rPr>
        <w:tab/>
      </w:r>
      <w:r>
        <w:rPr>
          <w:rFonts w:ascii="Arial" w:hAnsi="Arial" w:cs="Arial"/>
          <w:sz w:val="22"/>
          <w:szCs w:val="22"/>
        </w:rPr>
        <w:t>Other areas of o</w:t>
      </w:r>
      <w:r w:rsidRPr="00DE35AB">
        <w:rPr>
          <w:rFonts w:ascii="Arial" w:hAnsi="Arial" w:cs="Arial"/>
          <w:sz w:val="22"/>
          <w:szCs w:val="22"/>
        </w:rPr>
        <w:t>verlap between the merger parties in Australia</w:t>
      </w:r>
    </w:p>
    <w:tbl>
      <w:tblPr>
        <w:tblStyle w:val="MediumShading1"/>
        <w:tblW w:w="8614" w:type="dxa"/>
        <w:tblLayout w:type="fixed"/>
        <w:tblLook w:val="0420" w:firstRow="1" w:lastRow="0" w:firstColumn="0" w:lastColumn="0" w:noHBand="0" w:noVBand="1"/>
      </w:tblPr>
      <w:tblGrid>
        <w:gridCol w:w="1951"/>
        <w:gridCol w:w="3260"/>
        <w:gridCol w:w="3403"/>
      </w:tblGrid>
      <w:tr w:rsidR="004C08AB" w:rsidRPr="00644991" w:rsidTr="003D1A77">
        <w:trPr>
          <w:cnfStyle w:val="100000000000" w:firstRow="1" w:lastRow="0" w:firstColumn="0" w:lastColumn="0" w:oddVBand="0" w:evenVBand="0" w:oddHBand="0" w:evenHBand="0" w:firstRowFirstColumn="0" w:firstRowLastColumn="0" w:lastRowFirstColumn="0" w:lastRowLastColumn="0"/>
          <w:cantSplit/>
          <w:tblHeader/>
        </w:trPr>
        <w:tc>
          <w:tcPr>
            <w:tcW w:w="1951" w:type="dxa"/>
            <w:vAlign w:val="center"/>
          </w:tcPr>
          <w:p w:rsidR="004C08AB" w:rsidRPr="00696F2E" w:rsidRDefault="004C08AB" w:rsidP="005E54F9">
            <w:pPr>
              <w:pStyle w:val="TableHeading"/>
              <w:keepNext/>
              <w:rPr>
                <w:b/>
                <w:color w:val="auto"/>
              </w:rPr>
            </w:pPr>
            <w:r w:rsidRPr="00696F2E">
              <w:rPr>
                <w:b/>
                <w:color w:val="auto"/>
              </w:rPr>
              <w:t>Area of overlap</w:t>
            </w:r>
          </w:p>
        </w:tc>
        <w:tc>
          <w:tcPr>
            <w:tcW w:w="3260" w:type="dxa"/>
            <w:vAlign w:val="center"/>
          </w:tcPr>
          <w:p w:rsidR="004C08AB" w:rsidRPr="00696F2E" w:rsidRDefault="004C08AB" w:rsidP="005E54F9">
            <w:pPr>
              <w:pStyle w:val="TableHeading"/>
              <w:rPr>
                <w:b/>
                <w:color w:val="auto"/>
              </w:rPr>
            </w:pPr>
            <w:r w:rsidRPr="00696F2E">
              <w:rPr>
                <w:b/>
                <w:color w:val="auto"/>
              </w:rPr>
              <w:t>Shell / Arrow</w:t>
            </w:r>
          </w:p>
        </w:tc>
        <w:tc>
          <w:tcPr>
            <w:tcW w:w="3403" w:type="dxa"/>
            <w:vAlign w:val="center"/>
          </w:tcPr>
          <w:p w:rsidR="004C08AB" w:rsidRPr="00696F2E" w:rsidRDefault="004C08AB" w:rsidP="005E54F9">
            <w:pPr>
              <w:pStyle w:val="TableHeading"/>
              <w:rPr>
                <w:b/>
                <w:color w:val="auto"/>
              </w:rPr>
            </w:pPr>
            <w:r w:rsidRPr="00696F2E">
              <w:rPr>
                <w:b/>
                <w:color w:val="auto"/>
              </w:rPr>
              <w:t>BG</w:t>
            </w:r>
          </w:p>
        </w:tc>
      </w:tr>
      <w:tr w:rsidR="004C08AB" w:rsidRPr="00644991" w:rsidTr="003D1A77">
        <w:trPr>
          <w:cnfStyle w:val="000000100000" w:firstRow="0" w:lastRow="0" w:firstColumn="0" w:lastColumn="0" w:oddVBand="0" w:evenVBand="0" w:oddHBand="1" w:evenHBand="0" w:firstRowFirstColumn="0" w:firstRowLastColumn="0" w:lastRowFirstColumn="0" w:lastRowLastColumn="0"/>
          <w:cantSplit/>
        </w:trPr>
        <w:tc>
          <w:tcPr>
            <w:tcW w:w="1951" w:type="dxa"/>
          </w:tcPr>
          <w:p w:rsidR="004C08AB" w:rsidRPr="00644991" w:rsidRDefault="004C08AB" w:rsidP="005E54F9">
            <w:pPr>
              <w:pStyle w:val="Tabletext"/>
            </w:pPr>
            <w:r>
              <w:t>International s</w:t>
            </w:r>
            <w:r w:rsidRPr="00644991">
              <w:t>upply of LNG</w:t>
            </w:r>
          </w:p>
          <w:p w:rsidR="004C08AB" w:rsidRPr="00644991" w:rsidRDefault="004C08AB" w:rsidP="005E54F9">
            <w:pPr>
              <w:pStyle w:val="Tabletext"/>
            </w:pPr>
          </w:p>
        </w:tc>
        <w:tc>
          <w:tcPr>
            <w:tcW w:w="3260" w:type="dxa"/>
          </w:tcPr>
          <w:p w:rsidR="004C08AB" w:rsidRDefault="004C08AB" w:rsidP="005E54F9">
            <w:pPr>
              <w:pStyle w:val="Tabletext"/>
            </w:pPr>
            <w:r>
              <w:t xml:space="preserve">Shell participates </w:t>
            </w:r>
            <w:r w:rsidRPr="00644991">
              <w:t>in a number of upstream gas exploration and productio</w:t>
            </w:r>
            <w:r>
              <w:t>n projects in Western Australia. These include</w:t>
            </w:r>
            <w:r w:rsidRPr="00644991">
              <w:t xml:space="preserve"> LNG projects</w:t>
            </w:r>
            <w:r>
              <w:t xml:space="preserve">, such as </w:t>
            </w:r>
            <w:r w:rsidRPr="00E236E4">
              <w:t>the Prelude Floating LNG Project, North West Shelf (16.67%), Gorgon LNG JV (25%), Browse JV (27%) and Sunrise gas field (26.6%)</w:t>
            </w:r>
            <w:r>
              <w:t>.</w:t>
            </w:r>
          </w:p>
          <w:p w:rsidR="004C08AB" w:rsidRDefault="004C08AB" w:rsidP="005E54F9">
            <w:pPr>
              <w:pStyle w:val="Tabletext"/>
            </w:pPr>
            <w:r>
              <w:t>Globally, Shell has LNG supply projects in operation or under construction in nine</w:t>
            </w:r>
            <w:r w:rsidRPr="00B77B27">
              <w:t xml:space="preserve"> countries</w:t>
            </w:r>
            <w:r>
              <w:t>.</w:t>
            </w:r>
          </w:p>
          <w:p w:rsidR="004C08AB" w:rsidRPr="00644991" w:rsidRDefault="004C08AB" w:rsidP="005E54F9">
            <w:pPr>
              <w:pStyle w:val="Tabletext"/>
            </w:pPr>
            <w:r>
              <w:t>Shell</w:t>
            </w:r>
            <w:r w:rsidRPr="00644991">
              <w:t xml:space="preserve"> </w:t>
            </w:r>
            <w:r>
              <w:t xml:space="preserve">also </w:t>
            </w:r>
            <w:r w:rsidRPr="00644991">
              <w:t>holds a minority interest in Woodside.</w:t>
            </w:r>
          </w:p>
        </w:tc>
        <w:tc>
          <w:tcPr>
            <w:tcW w:w="3403" w:type="dxa"/>
          </w:tcPr>
          <w:p w:rsidR="004C08AB" w:rsidRPr="00644991" w:rsidRDefault="004C08AB" w:rsidP="005E54F9">
            <w:pPr>
              <w:pStyle w:val="Tabletext"/>
            </w:pPr>
            <w:r w:rsidRPr="00644991">
              <w:t>BG has an interest in the QCLNG Project (50% interest in Train 1, 9</w:t>
            </w:r>
            <w:r>
              <w:t>7.5</w:t>
            </w:r>
            <w:r w:rsidRPr="00644991">
              <w:t xml:space="preserve">% interest in Train 2), which </w:t>
            </w:r>
            <w:r w:rsidR="004C296E">
              <w:t xml:space="preserve">currently </w:t>
            </w:r>
            <w:r w:rsidRPr="00644991">
              <w:t xml:space="preserve">converts gas sourced from the Surat Basin into LNG for shipment. </w:t>
            </w:r>
          </w:p>
          <w:p w:rsidR="004C08AB" w:rsidRPr="00644991" w:rsidRDefault="004C08AB" w:rsidP="005E54F9">
            <w:pPr>
              <w:pStyle w:val="Tabletext"/>
            </w:pPr>
            <w:r w:rsidRPr="00644991">
              <w:t>Globally, BG has an LNG shipping and marketing business, which purchases, ships, markets and</w:t>
            </w:r>
            <w:r>
              <w:t xml:space="preserve"> sells LNG. </w:t>
            </w:r>
          </w:p>
        </w:tc>
      </w:tr>
      <w:tr w:rsidR="004C08AB" w:rsidRPr="00644991" w:rsidTr="003D1A77">
        <w:trPr>
          <w:cnfStyle w:val="000000010000" w:firstRow="0" w:lastRow="0" w:firstColumn="0" w:lastColumn="0" w:oddVBand="0" w:evenVBand="0" w:oddHBand="0" w:evenHBand="1" w:firstRowFirstColumn="0" w:firstRowLastColumn="0" w:lastRowFirstColumn="0" w:lastRowLastColumn="0"/>
          <w:cantSplit/>
        </w:trPr>
        <w:tc>
          <w:tcPr>
            <w:tcW w:w="1951" w:type="dxa"/>
          </w:tcPr>
          <w:p w:rsidR="004C08AB" w:rsidRPr="004C08AB" w:rsidRDefault="004C08AB" w:rsidP="004C2CA3">
            <w:pPr>
              <w:spacing w:beforeLines="60" w:before="144" w:afterLines="60" w:after="144"/>
              <w:rPr>
                <w:sz w:val="20"/>
                <w:szCs w:val="20"/>
              </w:rPr>
            </w:pPr>
            <w:r w:rsidRPr="004C08AB">
              <w:rPr>
                <w:sz w:val="20"/>
                <w:szCs w:val="20"/>
              </w:rPr>
              <w:t>Development, production and supply of crude oil</w:t>
            </w:r>
          </w:p>
        </w:tc>
        <w:tc>
          <w:tcPr>
            <w:tcW w:w="3260" w:type="dxa"/>
          </w:tcPr>
          <w:p w:rsidR="004C08AB" w:rsidRPr="004C08AB" w:rsidRDefault="004C08AB" w:rsidP="004C2CA3">
            <w:pPr>
              <w:spacing w:beforeLines="60" w:before="144" w:afterLines="60" w:after="144"/>
              <w:rPr>
                <w:sz w:val="20"/>
                <w:szCs w:val="20"/>
              </w:rPr>
            </w:pPr>
            <w:r w:rsidRPr="004C08AB">
              <w:rPr>
                <w:sz w:val="20"/>
                <w:szCs w:val="20"/>
              </w:rPr>
              <w:t xml:space="preserve">Shell holds a minority interest in Woodside Petroleum a large producer of oil and gas primarily in Western Australia. </w:t>
            </w:r>
          </w:p>
        </w:tc>
        <w:tc>
          <w:tcPr>
            <w:tcW w:w="3403" w:type="dxa"/>
          </w:tcPr>
          <w:p w:rsidR="004C08AB" w:rsidRPr="004C08AB" w:rsidRDefault="004C08AB" w:rsidP="004C2CA3">
            <w:pPr>
              <w:spacing w:beforeLines="60" w:before="144" w:afterLines="60" w:after="144"/>
              <w:rPr>
                <w:sz w:val="20"/>
                <w:szCs w:val="20"/>
              </w:rPr>
            </w:pPr>
            <w:r w:rsidRPr="004C08AB">
              <w:rPr>
                <w:sz w:val="20"/>
                <w:szCs w:val="20"/>
              </w:rPr>
              <w:t>Through QGC, BG holds a minority interest in Drillsearch, which produces oil</w:t>
            </w:r>
            <w:r w:rsidR="00E53089">
              <w:rPr>
                <w:sz w:val="20"/>
                <w:szCs w:val="20"/>
              </w:rPr>
              <w:t xml:space="preserve"> and small volumes of gas</w:t>
            </w:r>
            <w:r w:rsidRPr="004C08AB">
              <w:rPr>
                <w:sz w:val="20"/>
                <w:szCs w:val="20"/>
              </w:rPr>
              <w:t>.</w:t>
            </w:r>
          </w:p>
        </w:tc>
      </w:tr>
      <w:tr w:rsidR="004C08AB" w:rsidRPr="00644991" w:rsidTr="003D1A77">
        <w:trPr>
          <w:cnfStyle w:val="000000100000" w:firstRow="0" w:lastRow="0" w:firstColumn="0" w:lastColumn="0" w:oddVBand="0" w:evenVBand="0" w:oddHBand="1" w:evenHBand="0" w:firstRowFirstColumn="0" w:firstRowLastColumn="0" w:lastRowFirstColumn="0" w:lastRowLastColumn="0"/>
          <w:cantSplit/>
        </w:trPr>
        <w:tc>
          <w:tcPr>
            <w:tcW w:w="1951" w:type="dxa"/>
          </w:tcPr>
          <w:p w:rsidR="004C08AB" w:rsidRPr="00644991" w:rsidRDefault="004C08AB" w:rsidP="004C2CA3">
            <w:pPr>
              <w:pStyle w:val="Tabletext"/>
              <w:spacing w:beforeLines="60" w:before="144" w:afterLines="60" w:after="144"/>
            </w:pPr>
            <w:r w:rsidRPr="00644991">
              <w:t>Electricity generation</w:t>
            </w:r>
            <w:r>
              <w:t xml:space="preserve"> in Queensland</w:t>
            </w:r>
          </w:p>
        </w:tc>
        <w:tc>
          <w:tcPr>
            <w:tcW w:w="3260" w:type="dxa"/>
          </w:tcPr>
          <w:p w:rsidR="004C08AB" w:rsidRPr="00644991" w:rsidRDefault="004C08AB" w:rsidP="004C2CA3">
            <w:pPr>
              <w:pStyle w:val="Tabletext"/>
              <w:spacing w:beforeLines="60" w:before="144" w:afterLines="60" w:after="144"/>
            </w:pPr>
            <w:r w:rsidRPr="00644991">
              <w:t>Arrow has some electricity generation activities</w:t>
            </w:r>
            <w:r>
              <w:t xml:space="preserve"> (including owning the 450MW capacity Braemar 2 power station).</w:t>
            </w:r>
          </w:p>
        </w:tc>
        <w:tc>
          <w:tcPr>
            <w:tcW w:w="3403" w:type="dxa"/>
          </w:tcPr>
          <w:p w:rsidR="004C08AB" w:rsidRPr="00644991" w:rsidRDefault="004C08AB" w:rsidP="004C2CA3">
            <w:pPr>
              <w:pStyle w:val="Tabletext"/>
              <w:spacing w:beforeLines="60" w:before="144" w:afterLines="60" w:after="144"/>
            </w:pPr>
            <w:r>
              <w:t>Through</w:t>
            </w:r>
            <w:r w:rsidRPr="00644991">
              <w:t xml:space="preserve"> QGC</w:t>
            </w:r>
            <w:r>
              <w:t>, BG</w:t>
            </w:r>
            <w:r w:rsidRPr="00644991">
              <w:t xml:space="preserve"> owns the</w:t>
            </w:r>
            <w:r>
              <w:t xml:space="preserve"> 140MW capacity</w:t>
            </w:r>
            <w:r w:rsidRPr="00644991">
              <w:t xml:space="preserve"> Condamine power station</w:t>
            </w:r>
            <w:r>
              <w:t xml:space="preserve">. </w:t>
            </w:r>
          </w:p>
        </w:tc>
      </w:tr>
    </w:tbl>
    <w:p w:rsidR="00755579" w:rsidRDefault="00755579" w:rsidP="005D3A35">
      <w:pPr>
        <w:pStyle w:val="Heading3"/>
        <w:spacing w:before="240"/>
      </w:pPr>
      <w:r>
        <w:t>Industry background</w:t>
      </w:r>
    </w:p>
    <w:p w:rsidR="004A06D6" w:rsidRDefault="004A06D6" w:rsidP="00471F28">
      <w:pPr>
        <w:pStyle w:val="Numberedlist"/>
        <w:ind w:left="357" w:hanging="357"/>
      </w:pPr>
      <w:bookmarkStart w:id="8" w:name="_Ref429664566"/>
      <w:r>
        <w:t>The main potential competition issues associated with the proposed acquisition relate to the wholesale supply of natural gas</w:t>
      </w:r>
      <w:r w:rsidR="00204F62">
        <w:t xml:space="preserve"> to the domestic market</w:t>
      </w:r>
      <w:r>
        <w:t>.</w:t>
      </w:r>
      <w:bookmarkEnd w:id="8"/>
      <w:r>
        <w:t xml:space="preserve"> </w:t>
      </w:r>
    </w:p>
    <w:p w:rsidR="006E699A" w:rsidRDefault="004A06D6" w:rsidP="000D49E3">
      <w:pPr>
        <w:pStyle w:val="Numberedlist"/>
        <w:ind w:left="357" w:hanging="357"/>
      </w:pPr>
      <w:r>
        <w:t xml:space="preserve">The </w:t>
      </w:r>
      <w:r w:rsidR="006E699A">
        <w:t xml:space="preserve">main uses </w:t>
      </w:r>
      <w:r>
        <w:t xml:space="preserve">of natural gas </w:t>
      </w:r>
      <w:r w:rsidR="006E699A">
        <w:t>are in power generation,</w:t>
      </w:r>
      <w:r w:rsidR="009A197D">
        <w:t xml:space="preserve"> heating, cooking,</w:t>
      </w:r>
      <w:r w:rsidR="006E699A">
        <w:t xml:space="preserve"> </w:t>
      </w:r>
      <w:r w:rsidR="009A197D">
        <w:t xml:space="preserve">as a fuel for vehicles and </w:t>
      </w:r>
      <w:r w:rsidR="006E699A">
        <w:t>as a feedstock in the production of plastics, chemicals, fertilisers and explosives.</w:t>
      </w:r>
      <w:r w:rsidR="00FF5AAC">
        <w:t xml:space="preserve"> It can also be transformed into LNG for export.</w:t>
      </w:r>
      <w:r w:rsidR="000D49E3" w:rsidRPr="000D49E3">
        <w:t xml:space="preserve"> The process of liquef</w:t>
      </w:r>
      <w:r w:rsidR="00592D4A">
        <w:t xml:space="preserve">ying natural gas for export </w:t>
      </w:r>
      <w:r w:rsidR="000D49E3" w:rsidRPr="000D49E3">
        <w:t>occurs in a production facility called an LNG train.</w:t>
      </w:r>
    </w:p>
    <w:p w:rsidR="00C510DD" w:rsidRDefault="00557256" w:rsidP="00471F28">
      <w:pPr>
        <w:pStyle w:val="Numberedlist"/>
        <w:ind w:left="357" w:hanging="357"/>
      </w:pPr>
      <w:r w:rsidRPr="007609E9">
        <w:rPr>
          <w:b/>
        </w:rPr>
        <w:fldChar w:fldCharType="begin"/>
      </w:r>
      <w:r w:rsidRPr="007609E9">
        <w:rPr>
          <w:b/>
        </w:rPr>
        <w:instrText xml:space="preserve"> REF _Ref427746286 \h </w:instrText>
      </w:r>
      <w:r w:rsidR="007609E9">
        <w:rPr>
          <w:b/>
        </w:rPr>
        <w:instrText xml:space="preserve"> \* MERGEFORMAT </w:instrText>
      </w:r>
      <w:r w:rsidRPr="007609E9">
        <w:rPr>
          <w:b/>
        </w:rPr>
      </w:r>
      <w:r w:rsidRPr="007609E9">
        <w:rPr>
          <w:b/>
        </w:rPr>
        <w:fldChar w:fldCharType="separate"/>
      </w:r>
      <w:r w:rsidR="008F45CC" w:rsidRPr="008F45CC">
        <w:rPr>
          <w:rFonts w:cs="Arial"/>
          <w:b/>
        </w:rPr>
        <w:t>Figure 3</w:t>
      </w:r>
      <w:r w:rsidRPr="007609E9">
        <w:rPr>
          <w:b/>
        </w:rPr>
        <w:fldChar w:fldCharType="end"/>
      </w:r>
      <w:r w:rsidR="00C510DD">
        <w:t xml:space="preserve"> below provides a high level overview of the main stages of the supply chain of natural gas.</w:t>
      </w:r>
    </w:p>
    <w:p w:rsidR="006B0815" w:rsidRPr="00C830E1" w:rsidRDefault="006B0815" w:rsidP="00C96FD3">
      <w:pPr>
        <w:pStyle w:val="Caption"/>
        <w:keepNext/>
        <w:spacing w:before="240"/>
        <w:ind w:left="357"/>
        <w:rPr>
          <w:rFonts w:ascii="Arial" w:hAnsi="Arial" w:cs="Arial"/>
          <w:sz w:val="22"/>
          <w:szCs w:val="22"/>
        </w:rPr>
      </w:pPr>
      <w:bookmarkStart w:id="9" w:name="_Ref427746286"/>
      <w:r w:rsidRPr="00C830E1">
        <w:rPr>
          <w:rFonts w:ascii="Arial" w:hAnsi="Arial" w:cs="Arial"/>
          <w:sz w:val="22"/>
          <w:szCs w:val="22"/>
        </w:rPr>
        <w:lastRenderedPageBreak/>
        <w:t xml:space="preserve">Figure </w:t>
      </w:r>
      <w:r w:rsidRPr="00C830E1">
        <w:rPr>
          <w:rFonts w:ascii="Arial" w:hAnsi="Arial" w:cs="Arial"/>
          <w:sz w:val="22"/>
          <w:szCs w:val="22"/>
        </w:rPr>
        <w:fldChar w:fldCharType="begin"/>
      </w:r>
      <w:r w:rsidRPr="00C830E1">
        <w:rPr>
          <w:rFonts w:ascii="Arial" w:hAnsi="Arial" w:cs="Arial"/>
          <w:sz w:val="22"/>
          <w:szCs w:val="22"/>
        </w:rPr>
        <w:instrText xml:space="preserve"> SEQ Figure \* ARABIC </w:instrText>
      </w:r>
      <w:r w:rsidRPr="00C830E1">
        <w:rPr>
          <w:rFonts w:ascii="Arial" w:hAnsi="Arial" w:cs="Arial"/>
          <w:sz w:val="22"/>
          <w:szCs w:val="22"/>
        </w:rPr>
        <w:fldChar w:fldCharType="separate"/>
      </w:r>
      <w:r w:rsidR="008F45CC">
        <w:rPr>
          <w:rFonts w:ascii="Arial" w:hAnsi="Arial" w:cs="Arial"/>
          <w:noProof/>
          <w:sz w:val="22"/>
          <w:szCs w:val="22"/>
        </w:rPr>
        <w:t>3</w:t>
      </w:r>
      <w:r w:rsidRPr="00C830E1">
        <w:rPr>
          <w:rFonts w:ascii="Arial" w:hAnsi="Arial" w:cs="Arial"/>
          <w:sz w:val="22"/>
          <w:szCs w:val="22"/>
        </w:rPr>
        <w:fldChar w:fldCharType="end"/>
      </w:r>
      <w:bookmarkEnd w:id="9"/>
      <w:r w:rsidRPr="00C830E1">
        <w:rPr>
          <w:rFonts w:ascii="Arial" w:hAnsi="Arial" w:cs="Arial"/>
          <w:sz w:val="22"/>
          <w:szCs w:val="22"/>
        </w:rPr>
        <w:t xml:space="preserve">: </w:t>
      </w:r>
      <w:r w:rsidRPr="00C830E1">
        <w:rPr>
          <w:rFonts w:ascii="Arial" w:hAnsi="Arial" w:cs="Arial"/>
          <w:sz w:val="22"/>
          <w:szCs w:val="22"/>
        </w:rPr>
        <w:tab/>
        <w:t>Overview of the natural gas supply chain</w:t>
      </w:r>
    </w:p>
    <w:p w:rsidR="00402870" w:rsidRDefault="006F14DF" w:rsidP="00D322D6">
      <w:pPr>
        <w:pStyle w:val="Numberedlist"/>
        <w:keepNext/>
        <w:numPr>
          <w:ilvl w:val="0"/>
          <w:numId w:val="0"/>
        </w:numPr>
        <w:ind w:left="357"/>
        <w:rPr>
          <w:noProof/>
          <w:lang w:eastAsia="en-AU"/>
        </w:rPr>
      </w:pPr>
      <w:r>
        <w:rPr>
          <w:noProof/>
          <w:lang w:eastAsia="en-AU"/>
        </w:rPr>
        <w:pict>
          <v:shape id="_x0000_i1028" type="#_x0000_t75" alt="Figure showing an overview of the natural gas supply chain" style="width:403.95pt;height:129.95pt;visibility:visible;mso-wrap-style:square;mso-position-vertical:absolute">
            <v:imagedata r:id="rId17" o:title="" croptop="5816f" cropleft="4001f" cropright="6305f"/>
          </v:shape>
        </w:pict>
      </w:r>
    </w:p>
    <w:p w:rsidR="007609E9" w:rsidRPr="00E62D6C" w:rsidRDefault="00C43AFF" w:rsidP="00AE5DC8">
      <w:pPr>
        <w:pStyle w:val="Numberedlist"/>
        <w:numPr>
          <w:ilvl w:val="0"/>
          <w:numId w:val="0"/>
        </w:numPr>
        <w:spacing w:after="240"/>
        <w:ind w:left="1066" w:hanging="709"/>
        <w:rPr>
          <w:sz w:val="20"/>
        </w:rPr>
      </w:pPr>
      <w:r>
        <w:rPr>
          <w:sz w:val="20"/>
        </w:rPr>
        <w:t>Source:</w:t>
      </w:r>
      <w:r w:rsidR="00AE5DC8">
        <w:rPr>
          <w:sz w:val="20"/>
        </w:rPr>
        <w:t xml:space="preserve"> </w:t>
      </w:r>
      <w:r w:rsidR="007609E9" w:rsidRPr="00E62D6C">
        <w:rPr>
          <w:sz w:val="20"/>
        </w:rPr>
        <w:t xml:space="preserve">Productivity Commission, </w:t>
      </w:r>
      <w:r w:rsidR="007609E9" w:rsidRPr="00E62D6C">
        <w:rPr>
          <w:i/>
          <w:sz w:val="20"/>
        </w:rPr>
        <w:t>Examining Barriers to More Efficient Gas Markets</w:t>
      </w:r>
      <w:r w:rsidR="007609E9" w:rsidRPr="00E62D6C">
        <w:rPr>
          <w:sz w:val="20"/>
        </w:rPr>
        <w:t>, 2015</w:t>
      </w:r>
      <w:r w:rsidR="00540783" w:rsidRPr="00E62D6C">
        <w:rPr>
          <w:sz w:val="20"/>
        </w:rPr>
        <w:t>,</w:t>
      </w:r>
      <w:r w:rsidR="007609E9" w:rsidRPr="00E62D6C">
        <w:rPr>
          <w:sz w:val="20"/>
        </w:rPr>
        <w:t xml:space="preserve"> p. 26.</w:t>
      </w:r>
    </w:p>
    <w:p w:rsidR="00CB37CD" w:rsidRDefault="00CB37CD" w:rsidP="00471F28">
      <w:pPr>
        <w:pStyle w:val="Numberedlist"/>
        <w:ind w:left="357" w:hanging="357"/>
      </w:pPr>
      <w:r>
        <w:t>In eastern Australia, most natural gas is produced from either sedimentary basins (conventional gas) or from coal seams (CSG). Conventional gas is predominantly produced from offshore Victoria in the Gippsland, Bass and Otway Basins</w:t>
      </w:r>
      <w:r w:rsidR="00334112">
        <w:t>,</w:t>
      </w:r>
      <w:r>
        <w:t xml:space="preserve"> and onshore in the Cooper Basin. Current CSG production is limited to Queensland and a very small amount in New South Wales. Other unconventional gas resources (shale, deep coals and tight gas</w:t>
      </w:r>
      <w:r w:rsidR="00636EB8">
        <w:rPr>
          <w:rStyle w:val="FootnoteReference"/>
        </w:rPr>
        <w:footnoteReference w:id="8"/>
      </w:r>
      <w:r>
        <w:t>) are in sedimentary basins across Australia although much of these resources are not currently commercially or technically recoverable.</w:t>
      </w:r>
    </w:p>
    <w:p w:rsidR="00E94F46" w:rsidRDefault="00CB37CD" w:rsidP="00471F28">
      <w:pPr>
        <w:pStyle w:val="Numberedlist"/>
        <w:ind w:left="357" w:hanging="357"/>
      </w:pPr>
      <w:r>
        <w:t xml:space="preserve">Extracted gas is </w:t>
      </w:r>
      <w:r w:rsidRPr="00471F28">
        <w:t>processed</w:t>
      </w:r>
      <w:r>
        <w:t xml:space="preserve"> before being transmitted from gas fields to customers via high pressure transmission pipelines. As shown in </w:t>
      </w:r>
      <w:r w:rsidRPr="009E2CD1">
        <w:rPr>
          <w:b/>
        </w:rPr>
        <w:fldChar w:fldCharType="begin"/>
      </w:r>
      <w:r w:rsidRPr="009E2CD1">
        <w:rPr>
          <w:b/>
        </w:rPr>
        <w:instrText xml:space="preserve"> REF _Ref427655570 \h </w:instrText>
      </w:r>
      <w:r>
        <w:rPr>
          <w:b/>
        </w:rPr>
        <w:instrText xml:space="preserve"> \* MERGEFORMAT </w:instrText>
      </w:r>
      <w:r w:rsidRPr="009E2CD1">
        <w:rPr>
          <w:b/>
        </w:rPr>
      </w:r>
      <w:r w:rsidRPr="009E2CD1">
        <w:rPr>
          <w:b/>
        </w:rPr>
        <w:fldChar w:fldCharType="separate"/>
      </w:r>
      <w:r w:rsidR="008F45CC" w:rsidRPr="008F45CC">
        <w:rPr>
          <w:b/>
        </w:rPr>
        <w:t xml:space="preserve">Figure </w:t>
      </w:r>
      <w:r w:rsidR="008F45CC" w:rsidRPr="008F45CC">
        <w:rPr>
          <w:b/>
          <w:noProof/>
        </w:rPr>
        <w:t>4</w:t>
      </w:r>
      <w:r w:rsidRPr="009E2CD1">
        <w:rPr>
          <w:b/>
        </w:rPr>
        <w:fldChar w:fldCharType="end"/>
      </w:r>
      <w:r>
        <w:t>, an interconnected transmission pipeline system links the major gas basins in southern and eastern Australia</w:t>
      </w:r>
      <w:r w:rsidR="006F6935">
        <w:t xml:space="preserve"> to demand centres</w:t>
      </w:r>
      <w:r>
        <w:t xml:space="preserve">. While gas tends to be purchased from the closest possible source to minimise transport costs, pipeline interconnections have the potential to enhance supply competition in the market by enabling gas customers to source gas from different producers or gas basins, either physically or though entering into gas swap arrangements. </w:t>
      </w:r>
    </w:p>
    <w:p w:rsidR="008E0780" w:rsidRPr="009E4F6F" w:rsidRDefault="00A86F41" w:rsidP="00C96FD3">
      <w:pPr>
        <w:pStyle w:val="Caption"/>
        <w:keepNext/>
        <w:spacing w:before="240"/>
        <w:rPr>
          <w:rFonts w:ascii="Arial" w:hAnsi="Arial" w:cs="Arial"/>
          <w:sz w:val="22"/>
          <w:szCs w:val="22"/>
        </w:rPr>
      </w:pPr>
      <w:bookmarkStart w:id="10" w:name="_Ref427655570"/>
      <w:r w:rsidRPr="00C830E1">
        <w:rPr>
          <w:rFonts w:ascii="Arial" w:hAnsi="Arial" w:cs="Arial"/>
          <w:sz w:val="22"/>
          <w:szCs w:val="22"/>
        </w:rPr>
        <w:lastRenderedPageBreak/>
        <w:t xml:space="preserve">Figure </w:t>
      </w:r>
      <w:r w:rsidRPr="00C830E1">
        <w:rPr>
          <w:rFonts w:ascii="Arial" w:hAnsi="Arial" w:cs="Arial"/>
          <w:sz w:val="22"/>
          <w:szCs w:val="22"/>
        </w:rPr>
        <w:fldChar w:fldCharType="begin"/>
      </w:r>
      <w:r w:rsidRPr="00C830E1">
        <w:rPr>
          <w:rFonts w:ascii="Arial" w:hAnsi="Arial" w:cs="Arial"/>
          <w:sz w:val="22"/>
          <w:szCs w:val="22"/>
        </w:rPr>
        <w:instrText xml:space="preserve"> SEQ Figure \* ARABIC </w:instrText>
      </w:r>
      <w:r w:rsidRPr="00C830E1">
        <w:rPr>
          <w:rFonts w:ascii="Arial" w:hAnsi="Arial" w:cs="Arial"/>
          <w:sz w:val="22"/>
          <w:szCs w:val="22"/>
        </w:rPr>
        <w:fldChar w:fldCharType="separate"/>
      </w:r>
      <w:r w:rsidR="008F45CC">
        <w:rPr>
          <w:rFonts w:ascii="Arial" w:hAnsi="Arial" w:cs="Arial"/>
          <w:noProof/>
          <w:sz w:val="22"/>
          <w:szCs w:val="22"/>
        </w:rPr>
        <w:t>4</w:t>
      </w:r>
      <w:r w:rsidRPr="00C830E1">
        <w:rPr>
          <w:rFonts w:ascii="Arial" w:hAnsi="Arial" w:cs="Arial"/>
          <w:sz w:val="22"/>
          <w:szCs w:val="22"/>
        </w:rPr>
        <w:fldChar w:fldCharType="end"/>
      </w:r>
      <w:bookmarkEnd w:id="10"/>
      <w:r w:rsidR="00B60FC5" w:rsidRPr="00C830E1">
        <w:rPr>
          <w:rFonts w:ascii="Arial" w:hAnsi="Arial" w:cs="Arial"/>
          <w:sz w:val="22"/>
          <w:szCs w:val="22"/>
        </w:rPr>
        <w:t>:</w:t>
      </w:r>
      <w:r w:rsidR="00B60FC5" w:rsidRPr="00C830E1">
        <w:rPr>
          <w:rFonts w:ascii="Arial" w:hAnsi="Arial" w:cs="Arial"/>
          <w:sz w:val="22"/>
          <w:szCs w:val="22"/>
        </w:rPr>
        <w:tab/>
        <w:t>Eastern Australian</w:t>
      </w:r>
      <w:r w:rsidRPr="00C830E1">
        <w:rPr>
          <w:rFonts w:ascii="Arial" w:hAnsi="Arial" w:cs="Arial"/>
          <w:sz w:val="22"/>
          <w:szCs w:val="22"/>
        </w:rPr>
        <w:t xml:space="preserve"> gas basins and </w:t>
      </w:r>
      <w:r w:rsidR="00B60FC5" w:rsidRPr="00C830E1">
        <w:rPr>
          <w:rFonts w:ascii="Arial" w:hAnsi="Arial" w:cs="Arial"/>
          <w:sz w:val="22"/>
          <w:szCs w:val="22"/>
        </w:rPr>
        <w:t>infrastructure</w:t>
      </w:r>
    </w:p>
    <w:p w:rsidR="00A86F41" w:rsidRPr="00C43AFF" w:rsidRDefault="006F14DF" w:rsidP="00B63508">
      <w:pPr>
        <w:pStyle w:val="Numbered"/>
        <w:rPr>
          <w:rFonts w:eastAsia="Arial" w:cs="Times New Roman"/>
          <w:color w:val="000000"/>
          <w:sz w:val="20"/>
        </w:rPr>
      </w:pPr>
      <w:r>
        <w:rPr>
          <w:noProof/>
          <w:lang w:eastAsia="en-AU"/>
        </w:rPr>
        <w:pict>
          <v:shape id="_x0000_i1029" type="#_x0000_t75" alt="Figure showing gas basins and infrastructure in Eastern Australia" style="width:427.3pt;height:461.9pt;visibility:visible;mso-wrap-style:square">
            <v:imagedata r:id="rId18" o:title="" croptop="4644f" cropbottom="3530f" cropleft="3470f" cropright="27621f"/>
          </v:shape>
        </w:pict>
      </w:r>
      <w:r w:rsidR="00A86F41" w:rsidRPr="009E4F6F">
        <w:rPr>
          <w:rFonts w:eastAsia="Arial" w:cs="Times New Roman"/>
          <w:color w:val="000000"/>
          <w:sz w:val="20"/>
        </w:rPr>
        <w:t xml:space="preserve">Source: </w:t>
      </w:r>
      <w:r w:rsidR="00B60FC5" w:rsidRPr="009E4F6F">
        <w:rPr>
          <w:rFonts w:eastAsia="Arial" w:cs="Times New Roman"/>
          <w:color w:val="000000"/>
          <w:sz w:val="20"/>
        </w:rPr>
        <w:t>Core Energy Group</w:t>
      </w:r>
      <w:r w:rsidR="009E4F6F">
        <w:rPr>
          <w:rFonts w:eastAsia="Arial" w:cs="Times New Roman"/>
          <w:color w:val="000000"/>
          <w:sz w:val="20"/>
        </w:rPr>
        <w:t xml:space="preserve">, </w:t>
      </w:r>
      <w:r w:rsidR="009E4F6F" w:rsidRPr="00C43AFF">
        <w:rPr>
          <w:rFonts w:eastAsia="Arial" w:cs="Times New Roman"/>
          <w:i/>
          <w:color w:val="000000"/>
          <w:sz w:val="20"/>
        </w:rPr>
        <w:t xml:space="preserve">Gas reserves and resources: Eastern and South Eastern </w:t>
      </w:r>
      <w:r w:rsidR="00C43AFF">
        <w:rPr>
          <w:rFonts w:eastAsia="Arial" w:cs="Times New Roman"/>
          <w:i/>
          <w:color w:val="000000"/>
          <w:sz w:val="20"/>
        </w:rPr>
        <w:tab/>
      </w:r>
      <w:r w:rsidR="009E4F6F" w:rsidRPr="00C43AFF">
        <w:rPr>
          <w:rFonts w:eastAsia="Arial" w:cs="Times New Roman"/>
          <w:i/>
          <w:color w:val="000000"/>
          <w:sz w:val="20"/>
        </w:rPr>
        <w:t>Australia</w:t>
      </w:r>
      <w:r w:rsidR="009E4F6F">
        <w:rPr>
          <w:rFonts w:eastAsia="Arial" w:cs="Times New Roman"/>
          <w:color w:val="000000"/>
          <w:sz w:val="20"/>
        </w:rPr>
        <w:t>, February 2015, p. 26.</w:t>
      </w:r>
    </w:p>
    <w:p w:rsidR="00512361" w:rsidRPr="00B60FC5" w:rsidRDefault="00512361" w:rsidP="00C96FD3">
      <w:pPr>
        <w:pStyle w:val="Heading4"/>
        <w:spacing w:after="240"/>
      </w:pPr>
      <w:r w:rsidRPr="00B60FC5">
        <w:t>L</w:t>
      </w:r>
      <w:r w:rsidR="00150670" w:rsidRPr="00B60FC5">
        <w:t>iquefied natural gas</w:t>
      </w:r>
      <w:r w:rsidRPr="00B60FC5">
        <w:t xml:space="preserve"> and changing market dynamics</w:t>
      </w:r>
    </w:p>
    <w:p w:rsidR="00B531FE" w:rsidRDefault="00B531FE" w:rsidP="00B531FE">
      <w:pPr>
        <w:pStyle w:val="Numberedlist"/>
        <w:ind w:left="357" w:hanging="357"/>
      </w:pPr>
      <w:r w:rsidRPr="00D41BC8">
        <w:t xml:space="preserve">There are currently three </w:t>
      </w:r>
      <w:r w:rsidR="00300D59">
        <w:t>JVs</w:t>
      </w:r>
      <w:r w:rsidRPr="00D41BC8">
        <w:t xml:space="preserve"> </w:t>
      </w:r>
      <w:r>
        <w:t>with</w:t>
      </w:r>
      <w:r w:rsidRPr="00D41BC8">
        <w:t xml:space="preserve"> </w:t>
      </w:r>
      <w:r>
        <w:t>LNG facilities that are in production or nearing completion in Gladstone—Queensland Curtis LNG (</w:t>
      </w:r>
      <w:r w:rsidRPr="00FD4D6A">
        <w:rPr>
          <w:b/>
        </w:rPr>
        <w:t>QCLNG</w:t>
      </w:r>
      <w:r>
        <w:t>), Gladstone LNG (</w:t>
      </w:r>
      <w:r w:rsidRPr="00FD4D6A">
        <w:rPr>
          <w:b/>
        </w:rPr>
        <w:t>GLNG</w:t>
      </w:r>
      <w:r>
        <w:t>) and Australia Pacific LNG (</w:t>
      </w:r>
      <w:r w:rsidRPr="00FD4D6A">
        <w:rPr>
          <w:b/>
        </w:rPr>
        <w:t>APLNG</w:t>
      </w:r>
      <w:r>
        <w:t xml:space="preserve">). BG has </w:t>
      </w:r>
      <w:r w:rsidR="005B4E3F">
        <w:t xml:space="preserve">a </w:t>
      </w:r>
      <w:r>
        <w:t xml:space="preserve">significant interest in the QCLNG project (see </w:t>
      </w:r>
      <w:r w:rsidR="005B4E3F" w:rsidRPr="005B4E3F">
        <w:rPr>
          <w:b/>
        </w:rPr>
        <w:fldChar w:fldCharType="begin"/>
      </w:r>
      <w:r w:rsidR="005B4E3F" w:rsidRPr="005B4E3F">
        <w:rPr>
          <w:b/>
        </w:rPr>
        <w:instrText xml:space="preserve"> REF _Ref429595247 \h </w:instrText>
      </w:r>
      <w:r w:rsidR="005B4E3F">
        <w:rPr>
          <w:b/>
        </w:rPr>
        <w:instrText xml:space="preserve"> \* MERGEFORMAT </w:instrText>
      </w:r>
      <w:r w:rsidR="005B4E3F" w:rsidRPr="005B4E3F">
        <w:rPr>
          <w:b/>
        </w:rPr>
      </w:r>
      <w:r w:rsidR="005B4E3F" w:rsidRPr="005B4E3F">
        <w:rPr>
          <w:b/>
        </w:rPr>
        <w:fldChar w:fldCharType="separate"/>
      </w:r>
      <w:r w:rsidR="008F45CC" w:rsidRPr="008F45CC">
        <w:rPr>
          <w:rFonts w:cs="Arial"/>
          <w:b/>
        </w:rPr>
        <w:t xml:space="preserve">Table </w:t>
      </w:r>
      <w:r w:rsidR="008F45CC" w:rsidRPr="008F45CC">
        <w:rPr>
          <w:rFonts w:cs="Arial"/>
          <w:b/>
          <w:noProof/>
        </w:rPr>
        <w:t>2</w:t>
      </w:r>
      <w:r w:rsidR="005B4E3F" w:rsidRPr="005B4E3F">
        <w:rPr>
          <w:b/>
        </w:rPr>
        <w:fldChar w:fldCharType="end"/>
      </w:r>
      <w:r>
        <w:t xml:space="preserve">). The three LNG </w:t>
      </w:r>
      <w:r w:rsidR="00300D59">
        <w:t>JVs</w:t>
      </w:r>
      <w:r>
        <w:t xml:space="preserve"> have entered into large long-term LNG export agreements</w:t>
      </w:r>
      <w:r w:rsidR="00300D59">
        <w:t>;</w:t>
      </w:r>
      <w:r>
        <w:t xml:space="preserve"> </w:t>
      </w:r>
      <w:r w:rsidR="00300D59">
        <w:t>they will need</w:t>
      </w:r>
      <w:r>
        <w:t xml:space="preserve"> access to significant gas reserves to underpin production to meet their export obligations over the duration of their export agreements. </w:t>
      </w:r>
      <w:r w:rsidR="005B4E3F" w:rsidRPr="005B4E3F">
        <w:rPr>
          <w:b/>
        </w:rPr>
        <w:fldChar w:fldCharType="begin"/>
      </w:r>
      <w:r w:rsidR="005B4E3F" w:rsidRPr="005B4E3F">
        <w:rPr>
          <w:b/>
        </w:rPr>
        <w:instrText xml:space="preserve"> REF _Ref429595247 \h </w:instrText>
      </w:r>
      <w:r w:rsidR="005B4E3F">
        <w:rPr>
          <w:b/>
        </w:rPr>
        <w:instrText xml:space="preserve"> \* MERGEFORMAT </w:instrText>
      </w:r>
      <w:r w:rsidR="005B4E3F" w:rsidRPr="005B4E3F">
        <w:rPr>
          <w:b/>
        </w:rPr>
      </w:r>
      <w:r w:rsidR="005B4E3F" w:rsidRPr="005B4E3F">
        <w:rPr>
          <w:b/>
        </w:rPr>
        <w:fldChar w:fldCharType="separate"/>
      </w:r>
      <w:r w:rsidR="008F45CC" w:rsidRPr="008F45CC">
        <w:rPr>
          <w:rFonts w:cs="Arial"/>
          <w:b/>
        </w:rPr>
        <w:t xml:space="preserve">Table </w:t>
      </w:r>
      <w:r w:rsidR="008F45CC" w:rsidRPr="008F45CC">
        <w:rPr>
          <w:rFonts w:cs="Arial"/>
          <w:b/>
          <w:noProof/>
        </w:rPr>
        <w:t>2</w:t>
      </w:r>
      <w:r w:rsidR="005B4E3F" w:rsidRPr="005B4E3F">
        <w:rPr>
          <w:b/>
        </w:rPr>
        <w:fldChar w:fldCharType="end"/>
      </w:r>
      <w:r w:rsidRPr="002E2C47">
        <w:t xml:space="preserve"> </w:t>
      </w:r>
      <w:r>
        <w:t>sets out details o</w:t>
      </w:r>
      <w:r w:rsidR="00300D59">
        <w:t>n</w:t>
      </w:r>
      <w:r>
        <w:t xml:space="preserve"> these projects.</w:t>
      </w:r>
    </w:p>
    <w:p w:rsidR="00B531FE" w:rsidRPr="00646ACA" w:rsidRDefault="00B531FE" w:rsidP="00754145">
      <w:pPr>
        <w:pStyle w:val="Caption"/>
        <w:keepNext/>
        <w:keepLines/>
        <w:spacing w:before="240"/>
        <w:rPr>
          <w:rFonts w:ascii="Arial" w:hAnsi="Arial" w:cs="Arial"/>
          <w:sz w:val="22"/>
          <w:szCs w:val="22"/>
        </w:rPr>
      </w:pPr>
      <w:bookmarkStart w:id="11" w:name="_Ref429595247"/>
      <w:r w:rsidRPr="00646ACA">
        <w:rPr>
          <w:rFonts w:ascii="Arial" w:hAnsi="Arial" w:cs="Arial"/>
          <w:sz w:val="22"/>
          <w:szCs w:val="22"/>
        </w:rPr>
        <w:lastRenderedPageBreak/>
        <w:t xml:space="preserve">Table </w:t>
      </w:r>
      <w:r w:rsidRPr="00646ACA">
        <w:rPr>
          <w:rFonts w:ascii="Arial" w:hAnsi="Arial" w:cs="Arial"/>
          <w:sz w:val="22"/>
          <w:szCs w:val="22"/>
        </w:rPr>
        <w:fldChar w:fldCharType="begin"/>
      </w:r>
      <w:r w:rsidRPr="00646ACA">
        <w:rPr>
          <w:rFonts w:ascii="Arial" w:hAnsi="Arial" w:cs="Arial"/>
          <w:sz w:val="22"/>
          <w:szCs w:val="22"/>
        </w:rPr>
        <w:instrText xml:space="preserve"> SEQ Table \* ARABIC </w:instrText>
      </w:r>
      <w:r w:rsidRPr="00646ACA">
        <w:rPr>
          <w:rFonts w:ascii="Arial" w:hAnsi="Arial" w:cs="Arial"/>
          <w:sz w:val="22"/>
          <w:szCs w:val="22"/>
        </w:rPr>
        <w:fldChar w:fldCharType="separate"/>
      </w:r>
      <w:r w:rsidR="004B173E">
        <w:rPr>
          <w:rFonts w:ascii="Arial" w:hAnsi="Arial" w:cs="Arial"/>
          <w:noProof/>
          <w:sz w:val="22"/>
          <w:szCs w:val="22"/>
        </w:rPr>
        <w:t>2</w:t>
      </w:r>
      <w:r w:rsidRPr="00646ACA">
        <w:rPr>
          <w:rFonts w:ascii="Arial" w:hAnsi="Arial" w:cs="Arial"/>
          <w:sz w:val="22"/>
          <w:szCs w:val="22"/>
        </w:rPr>
        <w:fldChar w:fldCharType="end"/>
      </w:r>
      <w:bookmarkEnd w:id="11"/>
      <w:r w:rsidRPr="00646ACA">
        <w:rPr>
          <w:rFonts w:ascii="Arial" w:hAnsi="Arial" w:cs="Arial"/>
          <w:sz w:val="22"/>
          <w:szCs w:val="22"/>
        </w:rPr>
        <w:t>:</w:t>
      </w:r>
      <w:r w:rsidRPr="00646ACA">
        <w:rPr>
          <w:rFonts w:ascii="Arial" w:hAnsi="Arial" w:cs="Arial"/>
          <w:sz w:val="22"/>
          <w:szCs w:val="22"/>
        </w:rPr>
        <w:tab/>
        <w:t>Gladstone LNG projects</w:t>
      </w:r>
    </w:p>
    <w:tbl>
      <w:tblPr>
        <w:tblStyle w:val="MediumShading1"/>
        <w:tblW w:w="0" w:type="auto"/>
        <w:tblLook w:val="0420" w:firstRow="1" w:lastRow="0" w:firstColumn="0" w:lastColumn="0" w:noHBand="0" w:noVBand="1"/>
      </w:tblPr>
      <w:tblGrid>
        <w:gridCol w:w="1384"/>
        <w:gridCol w:w="2977"/>
        <w:gridCol w:w="2151"/>
        <w:gridCol w:w="2152"/>
      </w:tblGrid>
      <w:tr w:rsidR="00B531FE" w:rsidRPr="00E94283" w:rsidTr="003D1A77">
        <w:trPr>
          <w:cnfStyle w:val="100000000000" w:firstRow="1" w:lastRow="0" w:firstColumn="0" w:lastColumn="0" w:oddVBand="0" w:evenVBand="0" w:oddHBand="0" w:evenHBand="0" w:firstRowFirstColumn="0" w:firstRowLastColumn="0" w:lastRowFirstColumn="0" w:lastRowLastColumn="0"/>
        </w:trPr>
        <w:tc>
          <w:tcPr>
            <w:tcW w:w="1384" w:type="dxa"/>
          </w:tcPr>
          <w:p w:rsidR="00B531FE" w:rsidRPr="00E94283" w:rsidRDefault="00B531FE" w:rsidP="000B06EA">
            <w:pPr>
              <w:keepNext/>
              <w:keepLines/>
              <w:rPr>
                <w:rFonts w:cs="Arial"/>
                <w:sz w:val="20"/>
              </w:rPr>
            </w:pPr>
            <w:r w:rsidRPr="00E94283">
              <w:rPr>
                <w:rFonts w:cs="Arial"/>
                <w:sz w:val="20"/>
              </w:rPr>
              <w:t>Project</w:t>
            </w:r>
          </w:p>
        </w:tc>
        <w:tc>
          <w:tcPr>
            <w:tcW w:w="2977" w:type="dxa"/>
          </w:tcPr>
          <w:p w:rsidR="00B531FE" w:rsidRPr="00E94283" w:rsidRDefault="00B531FE" w:rsidP="000B06EA">
            <w:pPr>
              <w:keepNext/>
              <w:keepLines/>
              <w:rPr>
                <w:rFonts w:cs="Arial"/>
                <w:sz w:val="20"/>
              </w:rPr>
            </w:pPr>
            <w:r w:rsidRPr="00E94283">
              <w:rPr>
                <w:rFonts w:cs="Arial"/>
                <w:sz w:val="20"/>
              </w:rPr>
              <w:t>QCLNG</w:t>
            </w:r>
          </w:p>
        </w:tc>
        <w:tc>
          <w:tcPr>
            <w:tcW w:w="2151" w:type="dxa"/>
          </w:tcPr>
          <w:p w:rsidR="00B531FE" w:rsidRPr="00E94283" w:rsidRDefault="00B531FE" w:rsidP="000B06EA">
            <w:pPr>
              <w:keepNext/>
              <w:keepLines/>
              <w:rPr>
                <w:rFonts w:cs="Arial"/>
                <w:sz w:val="20"/>
              </w:rPr>
            </w:pPr>
            <w:r w:rsidRPr="00E94283">
              <w:rPr>
                <w:rFonts w:cs="Arial"/>
                <w:sz w:val="20"/>
              </w:rPr>
              <w:t>GLNG</w:t>
            </w:r>
          </w:p>
        </w:tc>
        <w:tc>
          <w:tcPr>
            <w:tcW w:w="2152" w:type="dxa"/>
          </w:tcPr>
          <w:p w:rsidR="00B531FE" w:rsidRPr="00E94283" w:rsidRDefault="00B531FE" w:rsidP="000B06EA">
            <w:pPr>
              <w:keepNext/>
              <w:keepLines/>
              <w:rPr>
                <w:rFonts w:cs="Arial"/>
                <w:sz w:val="20"/>
              </w:rPr>
            </w:pPr>
            <w:r w:rsidRPr="00E94283">
              <w:rPr>
                <w:rFonts w:cs="Arial"/>
                <w:sz w:val="20"/>
              </w:rPr>
              <w:t>APLNG</w:t>
            </w:r>
          </w:p>
        </w:tc>
      </w:tr>
      <w:tr w:rsidR="00B531FE" w:rsidRPr="00E94283" w:rsidTr="003D1A77">
        <w:trPr>
          <w:cnfStyle w:val="000000100000" w:firstRow="0" w:lastRow="0" w:firstColumn="0" w:lastColumn="0" w:oddVBand="0" w:evenVBand="0" w:oddHBand="1" w:evenHBand="0" w:firstRowFirstColumn="0" w:firstRowLastColumn="0" w:lastRowFirstColumn="0" w:lastRowLastColumn="0"/>
        </w:trPr>
        <w:tc>
          <w:tcPr>
            <w:tcW w:w="1384" w:type="dxa"/>
          </w:tcPr>
          <w:p w:rsidR="00B531FE" w:rsidRPr="00E94283" w:rsidRDefault="00B531FE" w:rsidP="008F45CC">
            <w:pPr>
              <w:keepNext/>
              <w:keepLines/>
              <w:spacing w:before="60"/>
              <w:rPr>
                <w:rFonts w:cs="Arial"/>
                <w:sz w:val="20"/>
              </w:rPr>
            </w:pPr>
            <w:r w:rsidRPr="00E94283">
              <w:rPr>
                <w:rFonts w:cs="Arial"/>
                <w:sz w:val="20"/>
              </w:rPr>
              <w:t>Participants</w:t>
            </w:r>
          </w:p>
        </w:tc>
        <w:tc>
          <w:tcPr>
            <w:tcW w:w="2977" w:type="dxa"/>
          </w:tcPr>
          <w:p w:rsidR="00B531FE" w:rsidRPr="00E94283" w:rsidRDefault="00B531FE" w:rsidP="008F45CC">
            <w:pPr>
              <w:keepNext/>
              <w:keepLines/>
              <w:numPr>
                <w:ilvl w:val="0"/>
                <w:numId w:val="9"/>
              </w:numPr>
              <w:spacing w:before="60"/>
              <w:rPr>
                <w:rFonts w:cs="Arial"/>
                <w:sz w:val="20"/>
              </w:rPr>
            </w:pPr>
            <w:r>
              <w:rPr>
                <w:rFonts w:cs="Arial"/>
                <w:sz w:val="20"/>
              </w:rPr>
              <w:t>BG (50% Train 1, 97.2% Train 2)</w:t>
            </w:r>
          </w:p>
          <w:p w:rsidR="00B531FE" w:rsidRPr="00E94283" w:rsidRDefault="00B531FE" w:rsidP="008F45CC">
            <w:pPr>
              <w:keepNext/>
              <w:keepLines/>
              <w:numPr>
                <w:ilvl w:val="0"/>
                <w:numId w:val="9"/>
              </w:numPr>
              <w:spacing w:before="60"/>
              <w:rPr>
                <w:rFonts w:cs="Arial"/>
                <w:sz w:val="20"/>
              </w:rPr>
            </w:pPr>
            <w:r w:rsidRPr="00E94283">
              <w:rPr>
                <w:rFonts w:cs="Arial"/>
                <w:sz w:val="20"/>
              </w:rPr>
              <w:t>CNOOC (50% Train 1)</w:t>
            </w:r>
          </w:p>
          <w:p w:rsidR="00B531FE" w:rsidRPr="00D64FEC" w:rsidRDefault="00B531FE" w:rsidP="008F45CC">
            <w:pPr>
              <w:keepNext/>
              <w:keepLines/>
              <w:numPr>
                <w:ilvl w:val="0"/>
                <w:numId w:val="9"/>
              </w:numPr>
              <w:spacing w:before="60"/>
              <w:rPr>
                <w:rFonts w:cs="Arial"/>
                <w:sz w:val="20"/>
              </w:rPr>
            </w:pPr>
            <w:r w:rsidRPr="00E94283">
              <w:rPr>
                <w:rFonts w:cs="Arial"/>
                <w:sz w:val="20"/>
              </w:rPr>
              <w:t>Tokyo Gas (2.5% Train 2)</w:t>
            </w:r>
          </w:p>
        </w:tc>
        <w:tc>
          <w:tcPr>
            <w:tcW w:w="2151" w:type="dxa"/>
          </w:tcPr>
          <w:p w:rsidR="00B531FE" w:rsidRPr="00E94283" w:rsidRDefault="00B531FE" w:rsidP="008F45CC">
            <w:pPr>
              <w:keepNext/>
              <w:keepLines/>
              <w:numPr>
                <w:ilvl w:val="0"/>
                <w:numId w:val="7"/>
              </w:numPr>
              <w:spacing w:before="60"/>
              <w:rPr>
                <w:rFonts w:cs="Arial"/>
                <w:sz w:val="20"/>
              </w:rPr>
            </w:pPr>
            <w:r w:rsidRPr="00E94283">
              <w:rPr>
                <w:rFonts w:cs="Arial"/>
                <w:sz w:val="20"/>
              </w:rPr>
              <w:t>Santos (30%)</w:t>
            </w:r>
          </w:p>
          <w:p w:rsidR="00B531FE" w:rsidRPr="00E94283" w:rsidRDefault="00B531FE" w:rsidP="008F45CC">
            <w:pPr>
              <w:keepNext/>
              <w:keepLines/>
              <w:numPr>
                <w:ilvl w:val="0"/>
                <w:numId w:val="7"/>
              </w:numPr>
              <w:spacing w:before="60"/>
              <w:rPr>
                <w:rFonts w:cs="Arial"/>
                <w:sz w:val="20"/>
              </w:rPr>
            </w:pPr>
            <w:r w:rsidRPr="00E94283">
              <w:rPr>
                <w:rFonts w:cs="Arial"/>
                <w:sz w:val="20"/>
              </w:rPr>
              <w:t>Petronas (27.5%)</w:t>
            </w:r>
          </w:p>
          <w:p w:rsidR="00B531FE" w:rsidRPr="00E94283" w:rsidRDefault="00B531FE" w:rsidP="008F45CC">
            <w:pPr>
              <w:keepNext/>
              <w:keepLines/>
              <w:numPr>
                <w:ilvl w:val="0"/>
                <w:numId w:val="7"/>
              </w:numPr>
              <w:spacing w:before="60"/>
              <w:rPr>
                <w:rFonts w:cs="Arial"/>
                <w:sz w:val="20"/>
              </w:rPr>
            </w:pPr>
            <w:r w:rsidRPr="00E94283">
              <w:rPr>
                <w:rFonts w:cs="Arial"/>
                <w:sz w:val="20"/>
              </w:rPr>
              <w:t>Total (27.5%)</w:t>
            </w:r>
          </w:p>
          <w:p w:rsidR="00B531FE" w:rsidRPr="00E94283" w:rsidRDefault="00B531FE" w:rsidP="008F45CC">
            <w:pPr>
              <w:keepNext/>
              <w:keepLines/>
              <w:numPr>
                <w:ilvl w:val="0"/>
                <w:numId w:val="7"/>
              </w:numPr>
              <w:spacing w:before="60"/>
              <w:rPr>
                <w:rFonts w:cs="Arial"/>
                <w:sz w:val="20"/>
              </w:rPr>
            </w:pPr>
            <w:r w:rsidRPr="00E94283">
              <w:rPr>
                <w:rFonts w:cs="Arial"/>
                <w:sz w:val="20"/>
              </w:rPr>
              <w:t>KOGAS (15%)</w:t>
            </w:r>
          </w:p>
        </w:tc>
        <w:tc>
          <w:tcPr>
            <w:tcW w:w="2152" w:type="dxa"/>
          </w:tcPr>
          <w:p w:rsidR="00B531FE" w:rsidRPr="00E94283" w:rsidRDefault="00B531FE" w:rsidP="008F45CC">
            <w:pPr>
              <w:keepNext/>
              <w:keepLines/>
              <w:numPr>
                <w:ilvl w:val="0"/>
                <w:numId w:val="8"/>
              </w:numPr>
              <w:spacing w:before="60"/>
              <w:rPr>
                <w:rFonts w:cs="Arial"/>
                <w:sz w:val="20"/>
              </w:rPr>
            </w:pPr>
            <w:r w:rsidRPr="00E94283">
              <w:rPr>
                <w:rFonts w:cs="Arial"/>
                <w:sz w:val="20"/>
              </w:rPr>
              <w:t>Origin (37.5%)</w:t>
            </w:r>
          </w:p>
          <w:p w:rsidR="00B531FE" w:rsidRPr="00E94283" w:rsidRDefault="00B531FE" w:rsidP="008F45CC">
            <w:pPr>
              <w:keepNext/>
              <w:keepLines/>
              <w:numPr>
                <w:ilvl w:val="0"/>
                <w:numId w:val="8"/>
              </w:numPr>
              <w:spacing w:before="60"/>
              <w:rPr>
                <w:rFonts w:cs="Arial"/>
                <w:sz w:val="20"/>
              </w:rPr>
            </w:pPr>
            <w:r w:rsidRPr="00E94283">
              <w:rPr>
                <w:rFonts w:cs="Arial"/>
                <w:sz w:val="20"/>
              </w:rPr>
              <w:t>ConocoPhillips (37.5%)</w:t>
            </w:r>
          </w:p>
          <w:p w:rsidR="00B531FE" w:rsidRPr="00E94283" w:rsidRDefault="00B531FE" w:rsidP="008F45CC">
            <w:pPr>
              <w:keepNext/>
              <w:keepLines/>
              <w:numPr>
                <w:ilvl w:val="0"/>
                <w:numId w:val="8"/>
              </w:numPr>
              <w:spacing w:before="60"/>
              <w:rPr>
                <w:rFonts w:cs="Arial"/>
                <w:sz w:val="20"/>
              </w:rPr>
            </w:pPr>
            <w:r w:rsidRPr="00E94283">
              <w:rPr>
                <w:rFonts w:cs="Arial"/>
                <w:sz w:val="20"/>
              </w:rPr>
              <w:t>Sinopec (25%)</w:t>
            </w:r>
          </w:p>
        </w:tc>
      </w:tr>
      <w:tr w:rsidR="00B531FE" w:rsidRPr="00E94283" w:rsidTr="003D1A77">
        <w:trPr>
          <w:cnfStyle w:val="000000010000" w:firstRow="0" w:lastRow="0" w:firstColumn="0" w:lastColumn="0" w:oddVBand="0" w:evenVBand="0" w:oddHBand="0" w:evenHBand="1" w:firstRowFirstColumn="0" w:firstRowLastColumn="0" w:lastRowFirstColumn="0" w:lastRowLastColumn="0"/>
        </w:trPr>
        <w:tc>
          <w:tcPr>
            <w:tcW w:w="1384" w:type="dxa"/>
          </w:tcPr>
          <w:p w:rsidR="00B531FE" w:rsidRPr="00E94283" w:rsidRDefault="00B531FE" w:rsidP="008F45CC">
            <w:pPr>
              <w:spacing w:before="60"/>
              <w:rPr>
                <w:rFonts w:cs="Arial"/>
                <w:sz w:val="20"/>
              </w:rPr>
            </w:pPr>
            <w:r w:rsidRPr="00E94283">
              <w:rPr>
                <w:rFonts w:cs="Arial"/>
                <w:sz w:val="20"/>
              </w:rPr>
              <w:t>Production capacity</w:t>
            </w:r>
          </w:p>
        </w:tc>
        <w:tc>
          <w:tcPr>
            <w:tcW w:w="2977" w:type="dxa"/>
          </w:tcPr>
          <w:p w:rsidR="00B531FE" w:rsidRPr="00E94283" w:rsidRDefault="00B531FE" w:rsidP="008F45CC">
            <w:pPr>
              <w:spacing w:before="60"/>
              <w:rPr>
                <w:rFonts w:cs="Arial"/>
                <w:sz w:val="20"/>
              </w:rPr>
            </w:pPr>
            <w:r>
              <w:rPr>
                <w:rFonts w:cs="Arial"/>
                <w:sz w:val="20"/>
              </w:rPr>
              <w:t>2 Trains (8.5Mtpa)</w:t>
            </w:r>
          </w:p>
        </w:tc>
        <w:tc>
          <w:tcPr>
            <w:tcW w:w="2151" w:type="dxa"/>
          </w:tcPr>
          <w:p w:rsidR="00B531FE" w:rsidRPr="00E94283" w:rsidRDefault="00B531FE" w:rsidP="008F45CC">
            <w:pPr>
              <w:spacing w:before="60"/>
              <w:rPr>
                <w:rFonts w:cs="Arial"/>
                <w:sz w:val="20"/>
              </w:rPr>
            </w:pPr>
            <w:r>
              <w:rPr>
                <w:rFonts w:cs="Arial"/>
                <w:sz w:val="20"/>
              </w:rPr>
              <w:t>2 Trains (7.8Mtpa)</w:t>
            </w:r>
          </w:p>
        </w:tc>
        <w:tc>
          <w:tcPr>
            <w:tcW w:w="2152" w:type="dxa"/>
          </w:tcPr>
          <w:p w:rsidR="00B531FE" w:rsidRPr="00E94283" w:rsidRDefault="00B531FE" w:rsidP="008F45CC">
            <w:pPr>
              <w:spacing w:before="60"/>
              <w:rPr>
                <w:rFonts w:cs="Arial"/>
                <w:sz w:val="20"/>
              </w:rPr>
            </w:pPr>
            <w:r>
              <w:rPr>
                <w:rFonts w:cs="Arial"/>
                <w:sz w:val="20"/>
              </w:rPr>
              <w:t>2 Trains (9Mtpa)</w:t>
            </w:r>
          </w:p>
        </w:tc>
      </w:tr>
      <w:tr w:rsidR="00B531FE" w:rsidRPr="00E94283" w:rsidTr="003D1A77">
        <w:trPr>
          <w:cnfStyle w:val="000000100000" w:firstRow="0" w:lastRow="0" w:firstColumn="0" w:lastColumn="0" w:oddVBand="0" w:evenVBand="0" w:oddHBand="1" w:evenHBand="0" w:firstRowFirstColumn="0" w:firstRowLastColumn="0" w:lastRowFirstColumn="0" w:lastRowLastColumn="0"/>
        </w:trPr>
        <w:tc>
          <w:tcPr>
            <w:tcW w:w="1384" w:type="dxa"/>
          </w:tcPr>
          <w:p w:rsidR="00B531FE" w:rsidRPr="00E94283" w:rsidRDefault="00B531FE" w:rsidP="008F45CC">
            <w:pPr>
              <w:spacing w:before="60"/>
              <w:rPr>
                <w:rFonts w:cs="Arial"/>
                <w:sz w:val="20"/>
              </w:rPr>
            </w:pPr>
            <w:r w:rsidRPr="00E94283">
              <w:rPr>
                <w:rFonts w:cs="Arial"/>
                <w:sz w:val="20"/>
              </w:rPr>
              <w:t>Start date</w:t>
            </w:r>
          </w:p>
        </w:tc>
        <w:tc>
          <w:tcPr>
            <w:tcW w:w="2977" w:type="dxa"/>
          </w:tcPr>
          <w:p w:rsidR="00B531FE" w:rsidRPr="003A6CEE" w:rsidRDefault="00B531FE" w:rsidP="008F45CC">
            <w:pPr>
              <w:spacing w:before="60"/>
              <w:rPr>
                <w:rFonts w:cs="Arial"/>
                <w:sz w:val="20"/>
              </w:rPr>
            </w:pPr>
            <w:r w:rsidRPr="003A6CEE">
              <w:rPr>
                <w:rFonts w:cs="Arial"/>
                <w:sz w:val="20"/>
              </w:rPr>
              <w:t xml:space="preserve">Train 1 </w:t>
            </w:r>
            <w:r>
              <w:rPr>
                <w:rFonts w:cs="Arial"/>
                <w:sz w:val="20"/>
              </w:rPr>
              <w:t>f</w:t>
            </w:r>
            <w:r w:rsidRPr="003A6CEE">
              <w:rPr>
                <w:rFonts w:cs="Arial"/>
                <w:sz w:val="20"/>
              </w:rPr>
              <w:t>irst shipment Jan 2015</w:t>
            </w:r>
          </w:p>
          <w:p w:rsidR="00B531FE" w:rsidRDefault="00B531FE" w:rsidP="008F45CC">
            <w:pPr>
              <w:spacing w:before="60"/>
              <w:rPr>
                <w:rFonts w:cs="Arial"/>
                <w:sz w:val="20"/>
              </w:rPr>
            </w:pPr>
            <w:r>
              <w:rPr>
                <w:rFonts w:cs="Arial"/>
                <w:sz w:val="20"/>
              </w:rPr>
              <w:t>Train 2 first shipment Jul 2015</w:t>
            </w:r>
          </w:p>
          <w:p w:rsidR="00B531FE" w:rsidRPr="00D64FEC" w:rsidRDefault="00B531FE" w:rsidP="008F45CC">
            <w:pPr>
              <w:spacing w:before="60" w:after="40"/>
              <w:rPr>
                <w:rFonts w:cs="Arial"/>
                <w:sz w:val="20"/>
              </w:rPr>
            </w:pPr>
            <w:r>
              <w:rPr>
                <w:rFonts w:cs="Arial"/>
                <w:sz w:val="20"/>
              </w:rPr>
              <w:t>Full capacity expected in 2016</w:t>
            </w:r>
          </w:p>
        </w:tc>
        <w:tc>
          <w:tcPr>
            <w:tcW w:w="2151" w:type="dxa"/>
          </w:tcPr>
          <w:p w:rsidR="00B531FE" w:rsidRPr="00FC4AB7" w:rsidRDefault="00300D59" w:rsidP="008F45CC">
            <w:pPr>
              <w:spacing w:before="60" w:after="40"/>
              <w:rPr>
                <w:rFonts w:cs="Arial"/>
                <w:sz w:val="20"/>
              </w:rPr>
            </w:pPr>
            <w:r w:rsidRPr="00300D59">
              <w:rPr>
                <w:rFonts w:cs="Arial"/>
                <w:sz w:val="20"/>
              </w:rPr>
              <w:t>Train 1</w:t>
            </w:r>
            <w:r>
              <w:rPr>
                <w:rFonts w:cs="Arial"/>
                <w:sz w:val="20"/>
              </w:rPr>
              <w:t xml:space="preserve"> f</w:t>
            </w:r>
            <w:r w:rsidR="00CE126B">
              <w:rPr>
                <w:rFonts w:cs="Arial"/>
                <w:sz w:val="20"/>
              </w:rPr>
              <w:t>irst shipment expected in fourth quarter 2015</w:t>
            </w:r>
          </w:p>
        </w:tc>
        <w:tc>
          <w:tcPr>
            <w:tcW w:w="2152" w:type="dxa"/>
          </w:tcPr>
          <w:p w:rsidR="00B531FE" w:rsidRPr="00E94283" w:rsidRDefault="00300D59" w:rsidP="008F45CC">
            <w:pPr>
              <w:spacing w:before="60" w:after="40"/>
              <w:rPr>
                <w:rFonts w:cs="Arial"/>
                <w:sz w:val="20"/>
              </w:rPr>
            </w:pPr>
            <w:r w:rsidRPr="00300D59">
              <w:rPr>
                <w:rFonts w:cs="Arial"/>
                <w:sz w:val="20"/>
              </w:rPr>
              <w:t xml:space="preserve">Train 1 </w:t>
            </w:r>
            <w:r>
              <w:rPr>
                <w:rFonts w:cs="Arial"/>
                <w:sz w:val="20"/>
              </w:rPr>
              <w:t>f</w:t>
            </w:r>
            <w:r w:rsidR="00CE126B">
              <w:rPr>
                <w:rFonts w:cs="Arial"/>
                <w:sz w:val="20"/>
              </w:rPr>
              <w:t xml:space="preserve">irst LNG shipment expected in fourth quarter 2015 </w:t>
            </w:r>
          </w:p>
        </w:tc>
      </w:tr>
    </w:tbl>
    <w:p w:rsidR="00890B7C" w:rsidRPr="002052DD" w:rsidRDefault="00300D59" w:rsidP="002052DD">
      <w:pPr>
        <w:pStyle w:val="Numberedlist"/>
        <w:numPr>
          <w:ilvl w:val="0"/>
          <w:numId w:val="0"/>
        </w:numPr>
        <w:rPr>
          <w:sz w:val="20"/>
        </w:rPr>
      </w:pPr>
      <w:r>
        <w:rPr>
          <w:sz w:val="20"/>
        </w:rPr>
        <w:t>Note:</w:t>
      </w:r>
      <w:r w:rsidR="00890B7C" w:rsidRPr="002052DD">
        <w:rPr>
          <w:sz w:val="20"/>
        </w:rPr>
        <w:t xml:space="preserve"> Mtpa = million tonnes per annum.</w:t>
      </w:r>
    </w:p>
    <w:p w:rsidR="00023A2A" w:rsidRDefault="00150670" w:rsidP="00471F28">
      <w:pPr>
        <w:pStyle w:val="Numberedlist"/>
        <w:ind w:left="357" w:hanging="357"/>
      </w:pPr>
      <w:r>
        <w:t xml:space="preserve">The LNG projects are significantly altering the supply and demand dynamics in the domestic gas industry in </w:t>
      </w:r>
      <w:r w:rsidR="00CD425D">
        <w:t>e</w:t>
      </w:r>
      <w:r>
        <w:t xml:space="preserve">astern Australia. Domestic gas users have been exposed, for the first time, to international gas prices and there are uncertainties about the future availability of gas for domestic use in </w:t>
      </w:r>
      <w:r w:rsidR="00CD425D">
        <w:t>e</w:t>
      </w:r>
      <w:r>
        <w:t>astern Australia.</w:t>
      </w:r>
      <w:r w:rsidR="00E865F0">
        <w:rPr>
          <w:rStyle w:val="FootnoteReference"/>
        </w:rPr>
        <w:footnoteReference w:id="9"/>
      </w:r>
      <w:r>
        <w:t xml:space="preserve"> </w:t>
      </w:r>
      <w:r w:rsidR="00B63508" w:rsidRPr="00FA7229">
        <w:t xml:space="preserve">It is expected that </w:t>
      </w:r>
      <w:r w:rsidR="00FA7229" w:rsidRPr="00FA7229">
        <w:t xml:space="preserve">a large share of </w:t>
      </w:r>
      <w:r w:rsidR="00EF678D">
        <w:t>gas reserves in Queensland will eventually be directed to LNG export when the three LNG plants are operating at full capacity</w:t>
      </w:r>
      <w:r w:rsidR="00263B05">
        <w:t>.</w:t>
      </w:r>
      <w:r w:rsidR="00E56F04">
        <w:t xml:space="preserve"> This has caused various market participants to have concerns about potential shortages in domestic supply. </w:t>
      </w:r>
    </w:p>
    <w:p w:rsidR="00C623ED" w:rsidRDefault="00C623ED" w:rsidP="00471F28">
      <w:pPr>
        <w:pStyle w:val="Numberedlist"/>
        <w:ind w:left="357" w:hanging="357"/>
      </w:pPr>
      <w:bookmarkStart w:id="12" w:name="_Ref429664570"/>
      <w:r>
        <w:t xml:space="preserve">As shown in </w:t>
      </w:r>
      <w:r w:rsidRPr="00C623ED">
        <w:rPr>
          <w:b/>
        </w:rPr>
        <w:fldChar w:fldCharType="begin"/>
      </w:r>
      <w:r w:rsidRPr="00C623ED">
        <w:rPr>
          <w:b/>
        </w:rPr>
        <w:instrText xml:space="preserve"> REF _Ref428862552 \h  \* MERGEFORMAT </w:instrText>
      </w:r>
      <w:r w:rsidRPr="00C623ED">
        <w:rPr>
          <w:b/>
        </w:rPr>
      </w:r>
      <w:r w:rsidRPr="00C623ED">
        <w:rPr>
          <w:b/>
        </w:rPr>
        <w:fldChar w:fldCharType="separate"/>
      </w:r>
      <w:r w:rsidR="008F45CC" w:rsidRPr="008F45CC">
        <w:rPr>
          <w:rFonts w:cs="Arial"/>
          <w:b/>
        </w:rPr>
        <w:t>Figure 5</w:t>
      </w:r>
      <w:r w:rsidRPr="00C623ED">
        <w:rPr>
          <w:b/>
        </w:rPr>
        <w:fldChar w:fldCharType="end"/>
      </w:r>
      <w:r w:rsidRPr="00C623ED">
        <w:t>,</w:t>
      </w:r>
      <w:r>
        <w:t xml:space="preserve"> o</w:t>
      </w:r>
      <w:r w:rsidRPr="00023A2A">
        <w:t xml:space="preserve">nce </w:t>
      </w:r>
      <w:r>
        <w:t xml:space="preserve">the three LNG plants </w:t>
      </w:r>
      <w:r w:rsidRPr="00023A2A">
        <w:t xml:space="preserve">reach a steady state of production </w:t>
      </w:r>
      <w:r>
        <w:t xml:space="preserve">at </w:t>
      </w:r>
      <w:r w:rsidRPr="00023A2A">
        <w:t>around 2018-19, they will require around 1350-1450 petajoules (</w:t>
      </w:r>
      <w:r w:rsidRPr="00023A2A">
        <w:rPr>
          <w:b/>
        </w:rPr>
        <w:t>PJ</w:t>
      </w:r>
      <w:r w:rsidRPr="00023A2A">
        <w:t>) of gas per annum</w:t>
      </w:r>
      <w:r>
        <w:t xml:space="preserve">. </w:t>
      </w:r>
      <w:r w:rsidRPr="00263B05">
        <w:t>At the same time</w:t>
      </w:r>
      <w:r>
        <w:t>,</w:t>
      </w:r>
      <w:r w:rsidRPr="00263B05">
        <w:t xml:space="preserve"> the Australian Energy Market Operator </w:t>
      </w:r>
      <w:r>
        <w:t xml:space="preserve">has </w:t>
      </w:r>
      <w:r w:rsidRPr="00263B05">
        <w:t>(</w:t>
      </w:r>
      <w:r w:rsidRPr="00023A2A">
        <w:rPr>
          <w:b/>
        </w:rPr>
        <w:t>AEMO</w:t>
      </w:r>
      <w:r w:rsidRPr="00263B05">
        <w:t xml:space="preserve">) </w:t>
      </w:r>
      <w:r>
        <w:t>forecast that</w:t>
      </w:r>
      <w:r w:rsidRPr="00263B05">
        <w:t xml:space="preserve"> demand for domestic gas in eastern Australia </w:t>
      </w:r>
      <w:r>
        <w:t>will</w:t>
      </w:r>
      <w:r w:rsidRPr="00263B05">
        <w:t xml:space="preserve"> fall </w:t>
      </w:r>
      <w:r>
        <w:t xml:space="preserve">from </w:t>
      </w:r>
      <w:r w:rsidRPr="00263B05">
        <w:t>700</w:t>
      </w:r>
      <w:r>
        <w:t xml:space="preserve"> PJ</w:t>
      </w:r>
      <w:r w:rsidRPr="00263B05">
        <w:t xml:space="preserve"> to around 520 PJ per annum by 2019. The</w:t>
      </w:r>
      <w:r>
        <w:t xml:space="preserve"> decrease</w:t>
      </w:r>
      <w:r w:rsidRPr="00263B05">
        <w:t xml:space="preserve"> is mainly driven by </w:t>
      </w:r>
      <w:r>
        <w:t xml:space="preserve">forecast </w:t>
      </w:r>
      <w:r w:rsidRPr="00263B05">
        <w:t>falls in the use of gas for electricity generation (</w:t>
      </w:r>
      <w:r w:rsidRPr="00023A2A">
        <w:rPr>
          <w:b/>
        </w:rPr>
        <w:t>GPG</w:t>
      </w:r>
      <w:r w:rsidRPr="00263B05">
        <w:t>).</w:t>
      </w:r>
      <w:bookmarkEnd w:id="12"/>
      <w:r w:rsidRPr="00263B05">
        <w:t xml:space="preserve"> </w:t>
      </w:r>
    </w:p>
    <w:p w:rsidR="00C623ED" w:rsidRPr="00DC078E" w:rsidRDefault="00C623ED" w:rsidP="00DC078E">
      <w:pPr>
        <w:pStyle w:val="Caption"/>
        <w:keepNext/>
        <w:spacing w:before="240"/>
        <w:rPr>
          <w:rFonts w:ascii="Arial" w:hAnsi="Arial" w:cs="Arial"/>
          <w:sz w:val="22"/>
          <w:szCs w:val="22"/>
        </w:rPr>
      </w:pPr>
      <w:bookmarkStart w:id="13" w:name="_Ref428862552"/>
      <w:r w:rsidRPr="00263B05">
        <w:rPr>
          <w:rFonts w:ascii="Arial" w:hAnsi="Arial" w:cs="Arial"/>
          <w:sz w:val="22"/>
          <w:szCs w:val="22"/>
        </w:rPr>
        <w:t xml:space="preserve">Figure </w:t>
      </w:r>
      <w:r w:rsidRPr="00263B05">
        <w:rPr>
          <w:rFonts w:ascii="Arial" w:hAnsi="Arial" w:cs="Arial"/>
          <w:sz w:val="22"/>
          <w:szCs w:val="22"/>
        </w:rPr>
        <w:fldChar w:fldCharType="begin"/>
      </w:r>
      <w:r w:rsidRPr="00263B05">
        <w:rPr>
          <w:rFonts w:ascii="Arial" w:hAnsi="Arial" w:cs="Arial"/>
          <w:sz w:val="22"/>
          <w:szCs w:val="22"/>
        </w:rPr>
        <w:instrText xml:space="preserve"> SEQ Figure \* ARABIC </w:instrText>
      </w:r>
      <w:r w:rsidRPr="00263B05">
        <w:rPr>
          <w:rFonts w:ascii="Arial" w:hAnsi="Arial" w:cs="Arial"/>
          <w:sz w:val="22"/>
          <w:szCs w:val="22"/>
        </w:rPr>
        <w:fldChar w:fldCharType="separate"/>
      </w:r>
      <w:r w:rsidR="008F45CC">
        <w:rPr>
          <w:rFonts w:ascii="Arial" w:hAnsi="Arial" w:cs="Arial"/>
          <w:noProof/>
          <w:sz w:val="22"/>
          <w:szCs w:val="22"/>
        </w:rPr>
        <w:t>5</w:t>
      </w:r>
      <w:r w:rsidRPr="00263B05">
        <w:rPr>
          <w:rFonts w:ascii="Arial" w:hAnsi="Arial" w:cs="Arial"/>
          <w:sz w:val="22"/>
          <w:szCs w:val="22"/>
        </w:rPr>
        <w:fldChar w:fldCharType="end"/>
      </w:r>
      <w:bookmarkEnd w:id="13"/>
      <w:r w:rsidRPr="00263B05">
        <w:rPr>
          <w:rFonts w:ascii="Arial" w:hAnsi="Arial" w:cs="Arial"/>
          <w:sz w:val="22"/>
          <w:szCs w:val="22"/>
        </w:rPr>
        <w:t>: Annual gas consumption (including LNG exports) for eastern Australia</w:t>
      </w:r>
    </w:p>
    <w:p w:rsidR="00C623ED" w:rsidRDefault="006F14DF" w:rsidP="00C623ED">
      <w:pPr>
        <w:pStyle w:val="Numberedlist"/>
        <w:numPr>
          <w:ilvl w:val="0"/>
          <w:numId w:val="0"/>
        </w:numPr>
        <w:ind w:left="360"/>
      </w:pPr>
      <w:r>
        <w:pict>
          <v:shape id="_x0000_i1030" type="#_x0000_t75" alt="Figure showing annual gas consumption (including LNG exports) for eastern Australia" style="width:415.15pt;height:222.55pt">
            <v:imagedata r:id="rId19" o:title="AEMO gas forecast" croptop="548f" cropbottom="548f" cropleft="587f" cropright="587f"/>
          </v:shape>
        </w:pict>
      </w:r>
    </w:p>
    <w:p w:rsidR="00C623ED" w:rsidRPr="00C43AFF" w:rsidRDefault="00C623ED" w:rsidP="00C623ED">
      <w:pPr>
        <w:pStyle w:val="Numberedlist"/>
        <w:numPr>
          <w:ilvl w:val="0"/>
          <w:numId w:val="0"/>
        </w:numPr>
        <w:rPr>
          <w:sz w:val="20"/>
        </w:rPr>
      </w:pPr>
      <w:r w:rsidRPr="00C43AFF">
        <w:rPr>
          <w:sz w:val="20"/>
        </w:rPr>
        <w:t>Source:</w:t>
      </w:r>
      <w:r w:rsidR="00C43AFF">
        <w:rPr>
          <w:sz w:val="20"/>
        </w:rPr>
        <w:tab/>
      </w:r>
      <w:r w:rsidRPr="00C43AFF">
        <w:rPr>
          <w:sz w:val="20"/>
        </w:rPr>
        <w:t xml:space="preserve">AEMO, </w:t>
      </w:r>
      <w:r w:rsidRPr="00C43AFF">
        <w:rPr>
          <w:i/>
          <w:sz w:val="20"/>
        </w:rPr>
        <w:t>National gas forecasting report 2014</w:t>
      </w:r>
      <w:r w:rsidRPr="00C43AFF">
        <w:rPr>
          <w:sz w:val="20"/>
        </w:rPr>
        <w:t>, December 2014, p. 14.</w:t>
      </w:r>
    </w:p>
    <w:p w:rsidR="000B06EA" w:rsidRPr="0081112E" w:rsidRDefault="000B06EA" w:rsidP="005D3A35">
      <w:pPr>
        <w:pStyle w:val="Heading3"/>
        <w:spacing w:before="240"/>
      </w:pPr>
      <w:bookmarkStart w:id="14" w:name="Acquirer3"/>
      <w:bookmarkEnd w:id="14"/>
      <w:r>
        <w:lastRenderedPageBreak/>
        <w:t>Market definition</w:t>
      </w:r>
    </w:p>
    <w:p w:rsidR="000B06EA" w:rsidRDefault="000B06EA" w:rsidP="000B06EA">
      <w:pPr>
        <w:pStyle w:val="Numberedlist"/>
        <w:ind w:left="360"/>
      </w:pPr>
      <w:r>
        <w:t>The ACCC assesses the competitive effects of the proposed acquisition in relevant markets. The starting point for defining relevant markets involves identifying the products actually or potentially supplied by the merger parties. The ACCC then considers what other products constitute sufficiently close substitutes to provide a significant source of constraint on the merged entity.</w:t>
      </w:r>
    </w:p>
    <w:p w:rsidR="00A20F97" w:rsidRDefault="000B06EA" w:rsidP="000B06EA">
      <w:pPr>
        <w:pStyle w:val="Numberedlist"/>
        <w:ind w:left="360"/>
      </w:pPr>
      <w:r>
        <w:t>The key area of overlap between Shell and BG for the purposes of this review</w:t>
      </w:r>
      <w:r w:rsidR="00A20F97">
        <w:t xml:space="preserve"> </w:t>
      </w:r>
      <w:r w:rsidR="007022FF">
        <w:t>is</w:t>
      </w:r>
      <w:r w:rsidR="00A20F97">
        <w:t xml:space="preserve"> Shell and BG’s interests in the p</w:t>
      </w:r>
      <w:r w:rsidR="00A20F97" w:rsidRPr="000B06EA">
        <w:t>roduction and wholesale supply of natural gas in</w:t>
      </w:r>
      <w:r w:rsidR="00CC5369">
        <w:t xml:space="preserve"> Queensland </w:t>
      </w:r>
      <w:r w:rsidR="00DC078E">
        <w:t xml:space="preserve">/ </w:t>
      </w:r>
      <w:r w:rsidR="00A20F97" w:rsidRPr="000B06EA">
        <w:t>eastern Australia</w:t>
      </w:r>
      <w:r w:rsidR="00A20F97">
        <w:t xml:space="preserve"> </w:t>
      </w:r>
      <w:r w:rsidR="00CD425D">
        <w:t>(</w:t>
      </w:r>
      <w:r w:rsidR="00A20F97">
        <w:t>described above</w:t>
      </w:r>
      <w:r w:rsidR="00CE65F0">
        <w:t xml:space="preserve"> </w:t>
      </w:r>
      <w:r w:rsidR="00CD425D">
        <w:t>in the section headed ‘The merger parties’)</w:t>
      </w:r>
      <w:r w:rsidR="00A20F97">
        <w:t>.</w:t>
      </w:r>
    </w:p>
    <w:p w:rsidR="000B06EA" w:rsidRPr="00AF6DE1" w:rsidRDefault="000B06EA" w:rsidP="00DC078E">
      <w:pPr>
        <w:pStyle w:val="Heading4"/>
        <w:spacing w:after="240"/>
      </w:pPr>
      <w:r>
        <w:t>Customer</w:t>
      </w:r>
      <w:r w:rsidRPr="00AF6DE1">
        <w:t xml:space="preserve"> </w:t>
      </w:r>
      <w:r w:rsidRPr="00B103B5">
        <w:t>substitution</w:t>
      </w:r>
      <w:r w:rsidRPr="00AF6DE1">
        <w:t xml:space="preserve"> opportunities</w:t>
      </w:r>
      <w:r>
        <w:t xml:space="preserve"> for wholesale natural gas</w:t>
      </w:r>
    </w:p>
    <w:p w:rsidR="000B06EA" w:rsidRDefault="000B06EA" w:rsidP="000B06EA">
      <w:pPr>
        <w:pStyle w:val="Numberedlist"/>
        <w:ind w:left="360"/>
      </w:pPr>
      <w:r>
        <w:t>The ACCC’s preliminary view is that substitution options for purchasers of wholesale natural gas are limited.</w:t>
      </w:r>
    </w:p>
    <w:p w:rsidR="000B06EA" w:rsidRDefault="000B06EA" w:rsidP="000B06EA">
      <w:pPr>
        <w:pStyle w:val="Numberedlist"/>
        <w:ind w:left="360"/>
      </w:pPr>
      <w:r>
        <w:t xml:space="preserve">Some customers use natural gas as a feedstock. For example, it is an input in the production of fertilizer. Where gas is used as a feedstock, switching from natural gas to other fuels is not possible. </w:t>
      </w:r>
    </w:p>
    <w:p w:rsidR="000B06EA" w:rsidRDefault="000B06EA" w:rsidP="000B06EA">
      <w:pPr>
        <w:pStyle w:val="Numberedlist"/>
        <w:ind w:left="360"/>
      </w:pPr>
      <w:r>
        <w:t>Other large customers use gas as an energy input (for example, to generate power for manufacturing facilities). The ACCC’s market inquiries suggest that for customers of this type, the costs involved in changing fuels in terms of plant upgrades or retrofits, typically make substitution uneconomical as a response to a small but significant increase in the price of gas.</w:t>
      </w:r>
      <w:r w:rsidRPr="00A01EB8">
        <w:rPr>
          <w:vertAlign w:val="superscript"/>
        </w:rPr>
        <w:footnoteReference w:id="10"/>
      </w:r>
    </w:p>
    <w:p w:rsidR="000B06EA" w:rsidRDefault="000B06EA" w:rsidP="000B06EA">
      <w:pPr>
        <w:pStyle w:val="Numberedlist"/>
        <w:ind w:left="360"/>
      </w:pPr>
      <w:r>
        <w:t xml:space="preserve">For these reasons, the ACCC’s preliminary view is that the relevant market is for the supply of wholesale natural gas only, and does not include any other products. </w:t>
      </w:r>
    </w:p>
    <w:p w:rsidR="000B06EA" w:rsidRPr="007435D2" w:rsidRDefault="000B06EA" w:rsidP="00754145">
      <w:pPr>
        <w:pStyle w:val="Heading4"/>
        <w:spacing w:after="240"/>
      </w:pPr>
      <w:r w:rsidRPr="007435D2">
        <w:t>Geographic market</w:t>
      </w:r>
    </w:p>
    <w:p w:rsidR="000B06EA" w:rsidRDefault="000B06EA" w:rsidP="000B06EA">
      <w:pPr>
        <w:pStyle w:val="Numberedlist"/>
        <w:ind w:left="360"/>
      </w:pPr>
      <w:r>
        <w:t xml:space="preserve">The ACCC’s market inquiries have provided it with mixed information on whether the geographic scope of the relevant market is limited to Queensland or eastern Australia. </w:t>
      </w:r>
    </w:p>
    <w:p w:rsidR="005134CC" w:rsidRPr="006836A2" w:rsidRDefault="005134CC" w:rsidP="005134CC">
      <w:pPr>
        <w:pStyle w:val="Numberedlist"/>
        <w:ind w:left="360"/>
        <w:rPr>
          <w:rFonts w:cs="Arial"/>
        </w:rPr>
      </w:pPr>
      <w:bookmarkStart w:id="15" w:name="_Ref429404261"/>
      <w:r>
        <w:t>The merger parties’ east coast gas operations are both located entirely within Queensland. However, a</w:t>
      </w:r>
      <w:r w:rsidR="00306B6A">
        <w:t xml:space="preserve">s shown above in </w:t>
      </w:r>
      <w:r w:rsidR="00306B6A" w:rsidRPr="00754145">
        <w:rPr>
          <w:b/>
        </w:rPr>
        <w:fldChar w:fldCharType="begin"/>
      </w:r>
      <w:r w:rsidR="00306B6A" w:rsidRPr="00754145">
        <w:rPr>
          <w:b/>
        </w:rPr>
        <w:instrText xml:space="preserve"> REF _Ref427655570 \h </w:instrText>
      </w:r>
      <w:r w:rsidR="00306B6A">
        <w:rPr>
          <w:b/>
        </w:rPr>
        <w:instrText xml:space="preserve"> \* MERGEFORMAT </w:instrText>
      </w:r>
      <w:r w:rsidR="00306B6A" w:rsidRPr="00754145">
        <w:rPr>
          <w:b/>
        </w:rPr>
      </w:r>
      <w:r w:rsidR="00306B6A" w:rsidRPr="00754145">
        <w:rPr>
          <w:b/>
        </w:rPr>
        <w:fldChar w:fldCharType="separate"/>
      </w:r>
      <w:r w:rsidR="008F45CC" w:rsidRPr="008F45CC">
        <w:rPr>
          <w:rFonts w:cs="Arial"/>
          <w:b/>
        </w:rPr>
        <w:t xml:space="preserve">Figure </w:t>
      </w:r>
      <w:r w:rsidR="008F45CC" w:rsidRPr="008F45CC">
        <w:rPr>
          <w:rFonts w:cs="Arial"/>
          <w:b/>
          <w:noProof/>
        </w:rPr>
        <w:t>4</w:t>
      </w:r>
      <w:r w:rsidR="00306B6A" w:rsidRPr="00754145">
        <w:rPr>
          <w:b/>
        </w:rPr>
        <w:fldChar w:fldCharType="end"/>
      </w:r>
      <w:r w:rsidR="00306B6A">
        <w:t>, an interconnected transmission pipeline system links the major gas basins in southern and eastern Australia to demand centres.</w:t>
      </w:r>
    </w:p>
    <w:p w:rsidR="00420BDB" w:rsidRPr="00420BDB" w:rsidRDefault="005134CC" w:rsidP="002E51BA">
      <w:pPr>
        <w:pStyle w:val="Numberedlist"/>
        <w:ind w:left="360"/>
      </w:pPr>
      <w:r>
        <w:t xml:space="preserve">The ACCC </w:t>
      </w:r>
      <w:r w:rsidR="005343C6">
        <w:t xml:space="preserve">is </w:t>
      </w:r>
      <w:r>
        <w:t>consider</w:t>
      </w:r>
      <w:r w:rsidR="005343C6">
        <w:t>ing</w:t>
      </w:r>
      <w:r>
        <w:t xml:space="preserve"> the </w:t>
      </w:r>
      <w:r w:rsidRPr="005134CC">
        <w:t xml:space="preserve">extent to which </w:t>
      </w:r>
      <w:r w:rsidR="009D59E0">
        <w:t>this interconnected pipeline system means</w:t>
      </w:r>
      <w:r w:rsidR="00CC5369">
        <w:t xml:space="preserve"> that</w:t>
      </w:r>
      <w:r w:rsidR="002E51BA">
        <w:t xml:space="preserve"> </w:t>
      </w:r>
      <w:r w:rsidR="00420BDB">
        <w:t>gas produced in other parts of eastern Australia is a close substitute for gas produced within Queensland</w:t>
      </w:r>
      <w:r w:rsidR="006836A2">
        <w:t>.</w:t>
      </w:r>
    </w:p>
    <w:p w:rsidR="00E037E5" w:rsidRPr="00231095" w:rsidRDefault="00E037E5" w:rsidP="005134CC">
      <w:pPr>
        <w:pStyle w:val="Numberedlist"/>
        <w:ind w:left="360"/>
        <w:rPr>
          <w:rFonts w:cs="Arial"/>
          <w:b/>
        </w:rPr>
      </w:pPr>
      <w:r>
        <w:t>T</w:t>
      </w:r>
      <w:r w:rsidRPr="00E037E5">
        <w:t xml:space="preserve">here </w:t>
      </w:r>
      <w:r>
        <w:t>are currently</w:t>
      </w:r>
      <w:r w:rsidRPr="00E037E5">
        <w:t xml:space="preserve"> no pipeline</w:t>
      </w:r>
      <w:r>
        <w:t>s</w:t>
      </w:r>
      <w:r w:rsidRPr="00E037E5">
        <w:t xml:space="preserve"> linking gas markets in Western Australia and the Northern Territory to eastern Australia</w:t>
      </w:r>
      <w:r>
        <w:t>.</w:t>
      </w:r>
      <w:r w:rsidRPr="00E037E5">
        <w:t xml:space="preserve"> </w:t>
      </w:r>
      <w:r>
        <w:t>T</w:t>
      </w:r>
      <w:r w:rsidRPr="00E037E5">
        <w:t>he Northern Territory Government has proposed a pipeline connecting the Northern Territory gas network with the eastern Australian gas network</w:t>
      </w:r>
      <w:r w:rsidR="006836A2">
        <w:t>, but</w:t>
      </w:r>
      <w:r w:rsidRPr="00E037E5">
        <w:t xml:space="preserve"> the final design</w:t>
      </w:r>
      <w:r>
        <w:t>,</w:t>
      </w:r>
      <w:r w:rsidRPr="00E037E5">
        <w:t xml:space="preserve"> route</w:t>
      </w:r>
      <w:r>
        <w:t xml:space="preserve"> and timing for construction</w:t>
      </w:r>
      <w:r w:rsidRPr="00E037E5">
        <w:t xml:space="preserve"> of the pipeline </w:t>
      </w:r>
      <w:r>
        <w:t>are</w:t>
      </w:r>
      <w:r w:rsidRPr="00E037E5">
        <w:t xml:space="preserve"> uncertain.</w:t>
      </w:r>
      <w:r w:rsidR="006836A2">
        <w:t xml:space="preserve"> The ACCC understands that even after the pipeline is built, it is likely that relatively small volumes of gas would be available initially and that further successful exploration and development activities </w:t>
      </w:r>
      <w:r w:rsidR="00A215C3">
        <w:t>would be</w:t>
      </w:r>
      <w:r w:rsidR="006836A2">
        <w:t xml:space="preserve"> needed to produce greater quantities of gas for </w:t>
      </w:r>
      <w:r w:rsidR="00AB1E53">
        <w:t>the pipeline</w:t>
      </w:r>
      <w:r w:rsidR="006836A2">
        <w:t>.</w:t>
      </w:r>
      <w:r w:rsidRPr="00E037E5">
        <w:t xml:space="preserve"> </w:t>
      </w:r>
      <w:r w:rsidR="00AB1E53" w:rsidRPr="00AB1E53">
        <w:t xml:space="preserve">The ACCC is not aware of any </w:t>
      </w:r>
      <w:r w:rsidR="00AB1E53" w:rsidRPr="00AB1E53">
        <w:lastRenderedPageBreak/>
        <w:t>current plans to extend pipeline linkages to the WA pipeline system.</w:t>
      </w:r>
      <w:r w:rsidR="00AB1E53">
        <w:t xml:space="preserve"> </w:t>
      </w:r>
      <w:r w:rsidR="009F3FA7">
        <w:t xml:space="preserve">For these reasons, the ACCC </w:t>
      </w:r>
      <w:r w:rsidRPr="00E037E5">
        <w:t>does not consider there is  a national gas market</w:t>
      </w:r>
      <w:r w:rsidR="009F3FA7">
        <w:t xml:space="preserve"> or a market with a broader geographic scope than eastern Australia</w:t>
      </w:r>
      <w:r w:rsidRPr="00E037E5">
        <w:t>.</w:t>
      </w:r>
    </w:p>
    <w:p w:rsidR="00C50DB4" w:rsidRDefault="005134CC" w:rsidP="009C1D2E">
      <w:pPr>
        <w:pStyle w:val="Numberedlist"/>
        <w:ind w:left="360"/>
      </w:pPr>
      <w:r>
        <w:t xml:space="preserve">Some market participants </w:t>
      </w:r>
      <w:r w:rsidR="005343C6">
        <w:t>submitted</w:t>
      </w:r>
      <w:r>
        <w:t xml:space="preserve"> that physical, contractual and/or gas specification constraints have the effect of either preventing the movement of gas by pipeline between some basins and some customers, or making such movements commercially unviable. </w:t>
      </w:r>
      <w:r w:rsidR="009C1D2E">
        <w:t xml:space="preserve">However, the ACCC notes that a number of pipelines in eastern Australia have been </w:t>
      </w:r>
      <w:r w:rsidR="009C1D2E" w:rsidRPr="009C1D2E">
        <w:t>enhanced (or are being enhanced) for bi-directional gas flow capability</w:t>
      </w:r>
      <w:r w:rsidR="009C1D2E">
        <w:t>. These developments allow a greater flow of gas to the north than has historically been the case.</w:t>
      </w:r>
      <w:r w:rsidR="009C1D2E">
        <w:rPr>
          <w:rStyle w:val="FootnoteReference"/>
        </w:rPr>
        <w:footnoteReference w:id="11"/>
      </w:r>
      <w:r w:rsidR="009C1D2E">
        <w:t xml:space="preserve"> </w:t>
      </w:r>
      <w:r>
        <w:t xml:space="preserve">The extent to which gas from the southern states is substitutable </w:t>
      </w:r>
      <w:r w:rsidR="00A33912">
        <w:t>for</w:t>
      </w:r>
      <w:r>
        <w:t xml:space="preserve"> gas produced in Queensland may well depend on the location of the relevant customer.</w:t>
      </w:r>
      <w:r w:rsidR="00CD665C">
        <w:t xml:space="preserve"> The ACCC notes that </w:t>
      </w:r>
      <w:r w:rsidR="00CD665C" w:rsidRPr="00CD665C">
        <w:t>the Queensland domestic market is currently supplied wholly from gas indigenous to Queensland</w:t>
      </w:r>
      <w:r w:rsidR="006B042B">
        <w:t xml:space="preserve">. </w:t>
      </w:r>
      <w:bookmarkStart w:id="16" w:name="_Ref429403498"/>
      <w:bookmarkEnd w:id="15"/>
    </w:p>
    <w:bookmarkEnd w:id="16"/>
    <w:p w:rsidR="000B06EA" w:rsidRPr="006134B8" w:rsidRDefault="000B06EA" w:rsidP="00ED0A35">
      <w:pPr>
        <w:pStyle w:val="Heading4"/>
        <w:spacing w:after="240"/>
      </w:pPr>
      <w:r w:rsidRPr="00491672">
        <w:t>Preliminary view on relevant market(s)</w:t>
      </w:r>
    </w:p>
    <w:p w:rsidR="000B06EA" w:rsidRDefault="000B06EA" w:rsidP="000B06EA">
      <w:pPr>
        <w:pStyle w:val="Numberedlist"/>
        <w:ind w:left="360"/>
      </w:pPr>
      <w:r w:rsidRPr="00E743AB">
        <w:t>The ACCC is still considering the geographic scope of the relevant market.</w:t>
      </w:r>
      <w:r>
        <w:t xml:space="preserve"> </w:t>
      </w:r>
      <w:r w:rsidR="005343C6">
        <w:t>B</w:t>
      </w:r>
      <w:r>
        <w:t>ased on information received by the ACCC to date, its preliminary view is that the relevant markets for assessing the competition effects of the acquisition are likely to be for:</w:t>
      </w:r>
    </w:p>
    <w:p w:rsidR="000B06EA" w:rsidRDefault="000B06EA" w:rsidP="008F45CC">
      <w:pPr>
        <w:pStyle w:val="Numbered"/>
        <w:numPr>
          <w:ilvl w:val="0"/>
          <w:numId w:val="10"/>
        </w:numPr>
      </w:pPr>
      <w:r>
        <w:t>the wholesale production and supply of natural gas in eastern Australia</w:t>
      </w:r>
      <w:r w:rsidR="008C596A">
        <w:t>,</w:t>
      </w:r>
      <w:r>
        <w:t xml:space="preserve"> or</w:t>
      </w:r>
    </w:p>
    <w:p w:rsidR="000B06EA" w:rsidRDefault="000B06EA" w:rsidP="008F45CC">
      <w:pPr>
        <w:pStyle w:val="Numbered"/>
        <w:numPr>
          <w:ilvl w:val="0"/>
          <w:numId w:val="10"/>
        </w:numPr>
      </w:pPr>
      <w:r>
        <w:t>the wholesale production and supply of natural gas in Queensland.</w:t>
      </w:r>
    </w:p>
    <w:p w:rsidR="000B06EA" w:rsidRPr="004D3271" w:rsidRDefault="000B06EA" w:rsidP="000B06EA">
      <w:pPr>
        <w:pStyle w:val="commentbox"/>
      </w:pPr>
      <w:r w:rsidRPr="004D3271">
        <w:t xml:space="preserve">The ACCC invites comments from market participants on its </w:t>
      </w:r>
      <w:r>
        <w:t>preliminary views about the</w:t>
      </w:r>
      <w:r w:rsidRPr="004D3271">
        <w:t xml:space="preserve"> definition of the relevant market</w:t>
      </w:r>
      <w:r>
        <w:t>(s)</w:t>
      </w:r>
      <w:r w:rsidRPr="004D3271">
        <w:t>. In particular market participants may wish to comment on:</w:t>
      </w:r>
    </w:p>
    <w:p w:rsidR="000B06EA" w:rsidRDefault="000B06EA" w:rsidP="000B06EA">
      <w:pPr>
        <w:pStyle w:val="commentbox"/>
        <w:numPr>
          <w:ilvl w:val="0"/>
          <w:numId w:val="3"/>
        </w:numPr>
      </w:pPr>
      <w:r>
        <w:t xml:space="preserve">whether the Queensland gas market is a separate market to the rest of the east Australian gas market. If so, please provide reasons and supporting evidence. </w:t>
      </w:r>
    </w:p>
    <w:p w:rsidR="000B06EA" w:rsidRDefault="000B06EA" w:rsidP="000B06EA">
      <w:pPr>
        <w:pStyle w:val="commentbox"/>
        <w:numPr>
          <w:ilvl w:val="0"/>
          <w:numId w:val="3"/>
        </w:numPr>
      </w:pPr>
      <w:r>
        <w:t xml:space="preserve">the extent to which gas produced outside of Queensland is, or could in the future be, an economically viable source of supply for Queensland gas users. Please include reasons and any supporting evidence for your view. </w:t>
      </w:r>
    </w:p>
    <w:p w:rsidR="000B06EA" w:rsidRDefault="000B06EA" w:rsidP="000B06EA">
      <w:pPr>
        <w:pStyle w:val="commentbox"/>
        <w:numPr>
          <w:ilvl w:val="0"/>
          <w:numId w:val="3"/>
        </w:numPr>
      </w:pPr>
      <w:r>
        <w:t xml:space="preserve">the extent to which gas produced in Queensland is, </w:t>
      </w:r>
      <w:r w:rsidRPr="00D77351">
        <w:t xml:space="preserve">or could in </w:t>
      </w:r>
      <w:r>
        <w:t xml:space="preserve">the </w:t>
      </w:r>
      <w:r w:rsidRPr="00D77351">
        <w:t>future be,</w:t>
      </w:r>
      <w:r>
        <w:t xml:space="preserve"> a</w:t>
      </w:r>
      <w:r w:rsidR="004E646A">
        <w:t>n economically</w:t>
      </w:r>
      <w:r>
        <w:t xml:space="preserve"> viable source of supply for gas users in other parts of eastern Australia. </w:t>
      </w:r>
      <w:r w:rsidRPr="00D77351">
        <w:t>Please include reasons and any supporting evidence for your view.</w:t>
      </w:r>
    </w:p>
    <w:p w:rsidR="0091340B" w:rsidRDefault="00E037E5" w:rsidP="00E037E5">
      <w:pPr>
        <w:pStyle w:val="commentbox"/>
        <w:numPr>
          <w:ilvl w:val="0"/>
          <w:numId w:val="3"/>
        </w:numPr>
      </w:pPr>
      <w:r>
        <w:t>t</w:t>
      </w:r>
      <w:r w:rsidR="0091340B">
        <w:t xml:space="preserve">he </w:t>
      </w:r>
      <w:r>
        <w:t>significance of</w:t>
      </w:r>
      <w:r w:rsidR="0091340B">
        <w:t xml:space="preserve"> </w:t>
      </w:r>
      <w:r w:rsidRPr="00E037E5">
        <w:t xml:space="preserve">gas swap arrangements </w:t>
      </w:r>
      <w:r>
        <w:t xml:space="preserve">for defining </w:t>
      </w:r>
      <w:r w:rsidR="0091340B">
        <w:t>the geographic dimension of the market.</w:t>
      </w:r>
    </w:p>
    <w:p w:rsidR="00E037E5" w:rsidRDefault="00E037E5" w:rsidP="00E037E5">
      <w:pPr>
        <w:pStyle w:val="commentbox"/>
        <w:numPr>
          <w:ilvl w:val="0"/>
          <w:numId w:val="3"/>
        </w:numPr>
      </w:pPr>
      <w:r>
        <w:t xml:space="preserve">whether the geographic dimension of the market should </w:t>
      </w:r>
      <w:r w:rsidR="00910003">
        <w:t>be expanded to reflect</w:t>
      </w:r>
      <w:r>
        <w:t xml:space="preserve"> the </w:t>
      </w:r>
      <w:r w:rsidR="00F82553">
        <w:t>proposed</w:t>
      </w:r>
      <w:r>
        <w:t xml:space="preserve"> construction of </w:t>
      </w:r>
      <w:r w:rsidR="00910003">
        <w:t xml:space="preserve">a </w:t>
      </w:r>
      <w:r>
        <w:t>pipeline</w:t>
      </w:r>
      <w:r w:rsidR="00910003">
        <w:t xml:space="preserve"> to allow gas from the Northern Territory to </w:t>
      </w:r>
      <w:r w:rsidR="00F82553">
        <w:t xml:space="preserve">be supplied to </w:t>
      </w:r>
      <w:r w:rsidR="00910003">
        <w:t>eastern Australia</w:t>
      </w:r>
      <w:r>
        <w:t xml:space="preserve">. </w:t>
      </w:r>
    </w:p>
    <w:p w:rsidR="000B06EA" w:rsidRDefault="000B06EA" w:rsidP="000B06EA">
      <w:pPr>
        <w:pStyle w:val="commentbox"/>
      </w:pPr>
      <w:r>
        <w:t xml:space="preserve">In answering the above questions, please </w:t>
      </w:r>
      <w:r w:rsidR="005343C6">
        <w:t>comment on</w:t>
      </w:r>
      <w:r>
        <w:t xml:space="preserve"> whether there are </w:t>
      </w:r>
      <w:r w:rsidRPr="00371EEA">
        <w:t xml:space="preserve">physical and/or contractual constraints </w:t>
      </w:r>
      <w:r>
        <w:t xml:space="preserve">that </w:t>
      </w:r>
      <w:r w:rsidRPr="00371EEA">
        <w:t xml:space="preserve">have the effect of either preventing the movement of gas between some basins and some customers, or making such movements </w:t>
      </w:r>
      <w:r w:rsidR="004E646A">
        <w:t>economically</w:t>
      </w:r>
      <w:r w:rsidR="004E646A" w:rsidRPr="00371EEA">
        <w:t xml:space="preserve"> </w:t>
      </w:r>
      <w:r w:rsidRPr="00371EEA">
        <w:t>unviable</w:t>
      </w:r>
      <w:r>
        <w:t>.</w:t>
      </w:r>
    </w:p>
    <w:p w:rsidR="00860CE2" w:rsidRDefault="000E47D2" w:rsidP="005D3A35">
      <w:pPr>
        <w:pStyle w:val="Heading3"/>
        <w:spacing w:before="240"/>
      </w:pPr>
      <w:r>
        <w:lastRenderedPageBreak/>
        <w:t>Market participants</w:t>
      </w:r>
    </w:p>
    <w:p w:rsidR="00C000A8" w:rsidRPr="00C000A8" w:rsidRDefault="00C000A8" w:rsidP="00C000A8">
      <w:pPr>
        <w:pStyle w:val="Numberedlist"/>
        <w:ind w:left="357" w:hanging="357"/>
      </w:pPr>
      <w:bookmarkStart w:id="17" w:name="_Ref429665719"/>
      <w:r>
        <w:t xml:space="preserve">A number </w:t>
      </w:r>
      <w:r w:rsidRPr="00C000A8">
        <w:t xml:space="preserve">of wholesale gas producers and suppliers </w:t>
      </w:r>
      <w:r>
        <w:t xml:space="preserve">have operations </w:t>
      </w:r>
      <w:r w:rsidRPr="00C000A8">
        <w:t xml:space="preserve">in eastern Australia. Due to the high costs and risks associated with gas projects, the majority of domestic gas projects are joint ventures. </w:t>
      </w:r>
    </w:p>
    <w:bookmarkEnd w:id="17"/>
    <w:p w:rsidR="00C57F08" w:rsidRDefault="00EC69F9" w:rsidP="00231095">
      <w:pPr>
        <w:pStyle w:val="Numberedlist"/>
        <w:ind w:left="357" w:hanging="357"/>
      </w:pPr>
      <w:r w:rsidRPr="00231095">
        <w:rPr>
          <w:b/>
        </w:rPr>
        <w:fldChar w:fldCharType="begin"/>
      </w:r>
      <w:r w:rsidRPr="00231095">
        <w:rPr>
          <w:b/>
        </w:rPr>
        <w:instrText xml:space="preserve"> REF _Ref429731877 \h </w:instrText>
      </w:r>
      <w:r w:rsidR="00155C43" w:rsidRPr="00231095">
        <w:rPr>
          <w:b/>
        </w:rPr>
        <w:instrText xml:space="preserve"> \* MERGEFORMAT </w:instrText>
      </w:r>
      <w:r w:rsidRPr="00231095">
        <w:rPr>
          <w:b/>
        </w:rPr>
      </w:r>
      <w:r w:rsidRPr="00231095">
        <w:rPr>
          <w:b/>
        </w:rPr>
        <w:fldChar w:fldCharType="separate"/>
      </w:r>
      <w:r w:rsidR="008F45CC" w:rsidRPr="008F45CC">
        <w:rPr>
          <w:rFonts w:cs="Arial"/>
          <w:b/>
        </w:rPr>
        <w:t xml:space="preserve">Table </w:t>
      </w:r>
      <w:r w:rsidR="008F45CC" w:rsidRPr="008F45CC">
        <w:rPr>
          <w:rFonts w:cs="Arial"/>
          <w:b/>
          <w:noProof/>
        </w:rPr>
        <w:t>3</w:t>
      </w:r>
      <w:r w:rsidRPr="00231095">
        <w:rPr>
          <w:b/>
        </w:rPr>
        <w:fldChar w:fldCharType="end"/>
      </w:r>
      <w:r>
        <w:t xml:space="preserve"> sets out gas production</w:t>
      </w:r>
      <w:r w:rsidR="008961B6">
        <w:t xml:space="preserve"> in the 12 months to May 2015</w:t>
      </w:r>
      <w:r w:rsidR="00F674A9">
        <w:t xml:space="preserve"> </w:t>
      </w:r>
      <w:r>
        <w:t xml:space="preserve">and </w:t>
      </w:r>
      <w:r w:rsidR="00F674A9">
        <w:t xml:space="preserve">reserve positions </w:t>
      </w:r>
      <w:r w:rsidR="007E460B">
        <w:t xml:space="preserve">of natural gas projects on the east coast. </w:t>
      </w:r>
      <w:r w:rsidR="00845457">
        <w:t>There are a number of i</w:t>
      </w:r>
      <w:r w:rsidR="00D322D6" w:rsidRPr="00D322D6">
        <w:t>ndustry participants</w:t>
      </w:r>
      <w:r w:rsidR="00845457">
        <w:t xml:space="preserve"> (including joint ventures)</w:t>
      </w:r>
      <w:r w:rsidR="00D322D6" w:rsidRPr="00D322D6">
        <w:t xml:space="preserve"> with large amounts of </w:t>
      </w:r>
      <w:r w:rsidR="008046A5">
        <w:t>2P</w:t>
      </w:r>
      <w:r w:rsidR="00D322D6" w:rsidRPr="00D322D6">
        <w:t xml:space="preserve"> gas reserves in eastern Australia</w:t>
      </w:r>
      <w:r w:rsidR="00D25E0C">
        <w:t>, many of which are currently aligned to LNG projects,</w:t>
      </w:r>
      <w:r w:rsidR="00D322D6" w:rsidRPr="00D322D6">
        <w:t xml:space="preserve"> </w:t>
      </w:r>
      <w:r w:rsidR="00845457">
        <w:t>as well as</w:t>
      </w:r>
      <w:r w:rsidR="00D322D6" w:rsidRPr="00D322D6">
        <w:t xml:space="preserve"> a range of industry participants </w:t>
      </w:r>
      <w:r w:rsidR="00EE19BA">
        <w:t>with</w:t>
      </w:r>
      <w:r w:rsidR="00D322D6" w:rsidRPr="00D322D6">
        <w:t xml:space="preserve"> interests in smaller quantities of 2P reserves.</w:t>
      </w:r>
    </w:p>
    <w:p w:rsidR="00C57F08" w:rsidRDefault="00C57F08" w:rsidP="00C57F08">
      <w:pPr>
        <w:pStyle w:val="Numberedlist"/>
        <w:numPr>
          <w:ilvl w:val="0"/>
          <w:numId w:val="0"/>
        </w:numPr>
        <w:ind w:left="360" w:hanging="360"/>
        <w:sectPr w:rsidR="00C57F08">
          <w:headerReference w:type="even" r:id="rId20"/>
          <w:headerReference w:type="default" r:id="rId21"/>
          <w:footerReference w:type="even" r:id="rId22"/>
          <w:footerReference w:type="default" r:id="rId23"/>
          <w:headerReference w:type="first" r:id="rId24"/>
          <w:footerReference w:type="first" r:id="rId25"/>
          <w:pgSz w:w="11906" w:h="16838" w:code="9"/>
          <w:pgMar w:top="1440" w:right="1729" w:bottom="1582" w:left="1729" w:header="709" w:footer="1009" w:gutter="0"/>
          <w:cols w:space="708"/>
          <w:titlePg/>
          <w:docGrid w:linePitch="360"/>
        </w:sectPr>
      </w:pPr>
    </w:p>
    <w:p w:rsidR="00C57F08" w:rsidRPr="00C57F08" w:rsidRDefault="00C57F08" w:rsidP="00313BCE">
      <w:pPr>
        <w:pStyle w:val="Caption"/>
        <w:keepNext/>
        <w:keepLines/>
        <w:spacing w:after="60"/>
        <w:rPr>
          <w:rFonts w:ascii="Arial" w:hAnsi="Arial" w:cs="Arial"/>
          <w:sz w:val="22"/>
          <w:szCs w:val="22"/>
        </w:rPr>
      </w:pPr>
      <w:bookmarkStart w:id="18" w:name="_Ref429731877"/>
      <w:r w:rsidRPr="00C57F08">
        <w:rPr>
          <w:rFonts w:ascii="Arial" w:hAnsi="Arial" w:cs="Arial"/>
          <w:sz w:val="22"/>
          <w:szCs w:val="22"/>
        </w:rPr>
        <w:lastRenderedPageBreak/>
        <w:t xml:space="preserve">Table </w:t>
      </w:r>
      <w:r w:rsidRPr="00C57F08">
        <w:rPr>
          <w:rFonts w:ascii="Arial" w:hAnsi="Arial" w:cs="Arial"/>
          <w:sz w:val="22"/>
          <w:szCs w:val="22"/>
        </w:rPr>
        <w:fldChar w:fldCharType="begin"/>
      </w:r>
      <w:r w:rsidRPr="00C57F08">
        <w:rPr>
          <w:rFonts w:ascii="Arial" w:hAnsi="Arial" w:cs="Arial"/>
          <w:sz w:val="22"/>
          <w:szCs w:val="22"/>
        </w:rPr>
        <w:instrText xml:space="preserve"> SEQ Table \* ARABIC </w:instrText>
      </w:r>
      <w:r w:rsidRPr="00C57F08">
        <w:rPr>
          <w:rFonts w:ascii="Arial" w:hAnsi="Arial" w:cs="Arial"/>
          <w:sz w:val="22"/>
          <w:szCs w:val="22"/>
        </w:rPr>
        <w:fldChar w:fldCharType="separate"/>
      </w:r>
      <w:r w:rsidR="008F45CC">
        <w:rPr>
          <w:rFonts w:ascii="Arial" w:hAnsi="Arial" w:cs="Arial"/>
          <w:noProof/>
          <w:sz w:val="22"/>
          <w:szCs w:val="22"/>
        </w:rPr>
        <w:t>3</w:t>
      </w:r>
      <w:r w:rsidRPr="00C57F08">
        <w:rPr>
          <w:rFonts w:ascii="Arial" w:hAnsi="Arial" w:cs="Arial"/>
          <w:sz w:val="22"/>
          <w:szCs w:val="22"/>
        </w:rPr>
        <w:fldChar w:fldCharType="end"/>
      </w:r>
      <w:bookmarkEnd w:id="18"/>
      <w:r w:rsidRPr="00C57F08">
        <w:rPr>
          <w:rFonts w:ascii="Arial" w:hAnsi="Arial" w:cs="Arial"/>
          <w:sz w:val="22"/>
          <w:szCs w:val="22"/>
        </w:rPr>
        <w:t xml:space="preserve">: </w:t>
      </w:r>
      <w:r w:rsidRPr="00C57F08">
        <w:rPr>
          <w:rFonts w:ascii="Arial" w:hAnsi="Arial" w:cs="Arial"/>
          <w:sz w:val="22"/>
          <w:szCs w:val="22"/>
        </w:rPr>
        <w:tab/>
        <w:t xml:space="preserve">Eastern Australia gas production and reserves (by project) </w:t>
      </w:r>
    </w:p>
    <w:tbl>
      <w:tblPr>
        <w:tblStyle w:val="LightList"/>
        <w:tblW w:w="0" w:type="auto"/>
        <w:tblLook w:val="0420" w:firstRow="1" w:lastRow="0" w:firstColumn="0" w:lastColumn="0" w:noHBand="0" w:noVBand="1"/>
      </w:tblPr>
      <w:tblGrid>
        <w:gridCol w:w="2949"/>
        <w:gridCol w:w="4819"/>
        <w:gridCol w:w="1282"/>
        <w:gridCol w:w="1172"/>
        <w:gridCol w:w="1594"/>
        <w:gridCol w:w="1244"/>
        <w:gridCol w:w="972"/>
      </w:tblGrid>
      <w:tr w:rsidR="006C5ED3" w:rsidRPr="00A27E50" w:rsidTr="003D1A77">
        <w:trPr>
          <w:cnfStyle w:val="100000000000" w:firstRow="1" w:lastRow="0" w:firstColumn="0" w:lastColumn="0" w:oddVBand="0" w:evenVBand="0" w:oddHBand="0" w:evenHBand="0" w:firstRowFirstColumn="0" w:firstRowLastColumn="0" w:lastRowFirstColumn="0" w:lastRowLastColumn="0"/>
          <w:trHeight w:val="300"/>
          <w:tblHeader/>
        </w:trPr>
        <w:tc>
          <w:tcPr>
            <w:tcW w:w="0" w:type="auto"/>
            <w:vMerge w:val="restart"/>
            <w:noWrap/>
            <w:hideMark/>
          </w:tcPr>
          <w:p w:rsidR="006C5ED3" w:rsidRPr="00A27E50" w:rsidRDefault="006C5ED3" w:rsidP="00313BCE">
            <w:pPr>
              <w:contextualSpacing/>
              <w:rPr>
                <w:rFonts w:cs="Arial"/>
                <w:sz w:val="20"/>
                <w:szCs w:val="20"/>
                <w:lang w:eastAsia="en-AU"/>
              </w:rPr>
            </w:pPr>
            <w:r w:rsidRPr="00A27E50">
              <w:rPr>
                <w:rFonts w:cs="Arial"/>
                <w:sz w:val="20"/>
                <w:szCs w:val="20"/>
                <w:lang w:eastAsia="en-AU"/>
              </w:rPr>
              <w:t>Project</w:t>
            </w:r>
          </w:p>
        </w:tc>
        <w:tc>
          <w:tcPr>
            <w:tcW w:w="0" w:type="auto"/>
            <w:vMerge w:val="restart"/>
            <w:hideMark/>
          </w:tcPr>
          <w:p w:rsidR="006C5ED3" w:rsidRPr="00A27E50" w:rsidRDefault="006C5ED3" w:rsidP="00313BCE">
            <w:pPr>
              <w:contextualSpacing/>
              <w:rPr>
                <w:rFonts w:cs="Arial"/>
                <w:sz w:val="20"/>
                <w:szCs w:val="20"/>
                <w:lang w:eastAsia="en-AU"/>
              </w:rPr>
            </w:pPr>
            <w:r w:rsidRPr="00A27E50">
              <w:rPr>
                <w:rFonts w:cs="Arial"/>
                <w:sz w:val="20"/>
                <w:szCs w:val="20"/>
                <w:lang w:eastAsia="en-AU"/>
              </w:rPr>
              <w:t>Ownership / JV Interests</w:t>
            </w:r>
          </w:p>
        </w:tc>
        <w:tc>
          <w:tcPr>
            <w:tcW w:w="0" w:type="auto"/>
          </w:tcPr>
          <w:p w:rsidR="006C5ED3" w:rsidRPr="00A27E50" w:rsidRDefault="006C5ED3" w:rsidP="00056C0D">
            <w:pPr>
              <w:contextualSpacing/>
              <w:jc w:val="center"/>
              <w:rPr>
                <w:rFonts w:cs="Arial"/>
                <w:sz w:val="20"/>
                <w:szCs w:val="20"/>
                <w:lang w:eastAsia="en-AU"/>
              </w:rPr>
            </w:pPr>
            <w:r>
              <w:rPr>
                <w:rFonts w:cs="Arial"/>
                <w:sz w:val="20"/>
                <w:szCs w:val="20"/>
                <w:lang w:eastAsia="en-AU"/>
              </w:rPr>
              <w:t>LNG aligned?</w:t>
            </w:r>
            <w:r w:rsidR="00056C0D" w:rsidRPr="00056C0D">
              <w:rPr>
                <w:rFonts w:cs="Arial"/>
                <w:sz w:val="22"/>
                <w:szCs w:val="22"/>
                <w:vertAlign w:val="superscript"/>
                <w:lang w:eastAsia="en-AU"/>
              </w:rPr>
              <w:t>a</w:t>
            </w:r>
          </w:p>
        </w:tc>
        <w:tc>
          <w:tcPr>
            <w:tcW w:w="0" w:type="auto"/>
            <w:hideMark/>
          </w:tcPr>
          <w:p w:rsidR="006C5ED3" w:rsidRPr="00A27E50" w:rsidRDefault="006C5ED3" w:rsidP="00313BCE">
            <w:pPr>
              <w:contextualSpacing/>
              <w:jc w:val="center"/>
              <w:rPr>
                <w:rFonts w:cs="Arial"/>
                <w:sz w:val="20"/>
                <w:szCs w:val="20"/>
                <w:lang w:eastAsia="en-AU"/>
              </w:rPr>
            </w:pPr>
            <w:r w:rsidRPr="00A27E50">
              <w:rPr>
                <w:rFonts w:cs="Arial"/>
                <w:sz w:val="20"/>
                <w:szCs w:val="20"/>
                <w:lang w:eastAsia="en-AU"/>
              </w:rPr>
              <w:t>Production</w:t>
            </w:r>
          </w:p>
        </w:tc>
        <w:tc>
          <w:tcPr>
            <w:tcW w:w="0" w:type="auto"/>
            <w:hideMark/>
          </w:tcPr>
          <w:p w:rsidR="006C5ED3" w:rsidRPr="00A27E50" w:rsidRDefault="006C5ED3" w:rsidP="00313BCE">
            <w:pPr>
              <w:contextualSpacing/>
              <w:jc w:val="center"/>
              <w:rPr>
                <w:rFonts w:cs="Arial"/>
                <w:sz w:val="20"/>
                <w:szCs w:val="20"/>
                <w:lang w:eastAsia="en-AU"/>
              </w:rPr>
            </w:pPr>
            <w:r w:rsidRPr="00A27E50">
              <w:rPr>
                <w:rFonts w:cs="Arial"/>
                <w:sz w:val="20"/>
                <w:szCs w:val="20"/>
                <w:lang w:eastAsia="en-AU"/>
              </w:rPr>
              <w:t>Share of production</w:t>
            </w:r>
          </w:p>
        </w:tc>
        <w:tc>
          <w:tcPr>
            <w:tcW w:w="0" w:type="auto"/>
            <w:noWrap/>
            <w:hideMark/>
          </w:tcPr>
          <w:p w:rsidR="006C5ED3" w:rsidRPr="00A27E50" w:rsidRDefault="006C5ED3" w:rsidP="00313BCE">
            <w:pPr>
              <w:contextualSpacing/>
              <w:jc w:val="center"/>
              <w:rPr>
                <w:rFonts w:cs="Arial"/>
                <w:sz w:val="20"/>
                <w:szCs w:val="20"/>
                <w:lang w:eastAsia="en-AU"/>
              </w:rPr>
            </w:pPr>
            <w:r>
              <w:rPr>
                <w:rFonts w:cs="Arial"/>
                <w:sz w:val="20"/>
                <w:szCs w:val="20"/>
                <w:lang w:eastAsia="en-AU"/>
              </w:rPr>
              <w:t xml:space="preserve">2P </w:t>
            </w:r>
            <w:r w:rsidRPr="00A27E50">
              <w:rPr>
                <w:rFonts w:cs="Arial"/>
                <w:sz w:val="20"/>
                <w:szCs w:val="20"/>
                <w:lang w:eastAsia="en-AU"/>
              </w:rPr>
              <w:t>Reserves</w:t>
            </w:r>
          </w:p>
        </w:tc>
        <w:tc>
          <w:tcPr>
            <w:tcW w:w="0" w:type="auto"/>
            <w:noWrap/>
            <w:hideMark/>
          </w:tcPr>
          <w:p w:rsidR="006C5ED3" w:rsidRPr="00A27E50" w:rsidRDefault="006C5ED3" w:rsidP="00313BCE">
            <w:pPr>
              <w:contextualSpacing/>
              <w:rPr>
                <w:rFonts w:cs="Arial"/>
                <w:sz w:val="20"/>
                <w:szCs w:val="20"/>
                <w:lang w:eastAsia="en-AU"/>
              </w:rPr>
            </w:pPr>
            <w:r w:rsidRPr="00A27E50">
              <w:rPr>
                <w:rFonts w:cs="Arial"/>
                <w:sz w:val="20"/>
                <w:szCs w:val="20"/>
                <w:lang w:eastAsia="en-AU"/>
              </w:rPr>
              <w:t xml:space="preserve">Share of </w:t>
            </w:r>
          </w:p>
          <w:p w:rsidR="006C5ED3" w:rsidRPr="00A27E50" w:rsidRDefault="006C5ED3" w:rsidP="00313BCE">
            <w:pPr>
              <w:contextualSpacing/>
              <w:rPr>
                <w:rFonts w:cs="Arial"/>
                <w:sz w:val="20"/>
                <w:szCs w:val="20"/>
                <w:lang w:eastAsia="en-AU"/>
              </w:rPr>
            </w:pPr>
            <w:r w:rsidRPr="00A27E50">
              <w:rPr>
                <w:rFonts w:cs="Arial"/>
                <w:sz w:val="20"/>
                <w:szCs w:val="20"/>
                <w:lang w:eastAsia="en-AU"/>
              </w:rPr>
              <w:t>Reserves</w:t>
            </w:r>
          </w:p>
        </w:tc>
      </w:tr>
      <w:tr w:rsidR="006C5ED3" w:rsidRPr="00A27E50" w:rsidTr="003D1A77">
        <w:trPr>
          <w:cnfStyle w:val="100000000000" w:firstRow="1" w:lastRow="0" w:firstColumn="0" w:lastColumn="0" w:oddVBand="0" w:evenVBand="0" w:oddHBand="0" w:evenHBand="0" w:firstRowFirstColumn="0" w:firstRowLastColumn="0" w:lastRowFirstColumn="0" w:lastRowLastColumn="0"/>
          <w:trHeight w:val="315"/>
          <w:tblHeader/>
        </w:trPr>
        <w:tc>
          <w:tcPr>
            <w:tcW w:w="0" w:type="auto"/>
            <w:vMerge/>
            <w:shd w:val="nil"/>
            <w:vAlign w:val="center"/>
            <w:hideMark/>
          </w:tcPr>
          <w:p w:rsidR="006C5ED3" w:rsidRPr="00C57F08" w:rsidRDefault="006C5ED3" w:rsidP="00313BCE">
            <w:pPr>
              <w:contextualSpacing/>
              <w:rPr>
                <w:rFonts w:cs="Arial"/>
                <w:color w:val="FFFFFF"/>
                <w:sz w:val="20"/>
                <w:szCs w:val="20"/>
                <w:lang w:eastAsia="en-AU"/>
              </w:rPr>
            </w:pPr>
          </w:p>
        </w:tc>
        <w:tc>
          <w:tcPr>
            <w:tcW w:w="0" w:type="auto"/>
            <w:vMerge/>
            <w:shd w:val="nil"/>
            <w:vAlign w:val="center"/>
            <w:hideMark/>
          </w:tcPr>
          <w:p w:rsidR="006C5ED3" w:rsidRPr="00C57F08" w:rsidRDefault="006C5ED3" w:rsidP="00313BCE">
            <w:pPr>
              <w:contextualSpacing/>
              <w:rPr>
                <w:rFonts w:cs="Arial"/>
                <w:color w:val="FFFFFF"/>
                <w:sz w:val="20"/>
                <w:szCs w:val="20"/>
                <w:lang w:eastAsia="en-AU"/>
              </w:rPr>
            </w:pPr>
          </w:p>
        </w:tc>
        <w:tc>
          <w:tcPr>
            <w:tcW w:w="0" w:type="auto"/>
            <w:shd w:val="clear" w:color="auto" w:fill="000000"/>
          </w:tcPr>
          <w:p w:rsidR="006C5ED3" w:rsidRPr="00C57F08" w:rsidRDefault="006C5ED3" w:rsidP="00313BCE">
            <w:pPr>
              <w:contextualSpacing/>
              <w:jc w:val="center"/>
              <w:rPr>
                <w:rFonts w:cs="Arial"/>
                <w:color w:val="FFFFFF"/>
                <w:sz w:val="20"/>
                <w:szCs w:val="20"/>
                <w:lang w:eastAsia="en-AU"/>
              </w:rPr>
            </w:pPr>
          </w:p>
        </w:tc>
        <w:tc>
          <w:tcPr>
            <w:tcW w:w="0" w:type="auto"/>
            <w:shd w:val="clear" w:color="auto" w:fill="000000"/>
            <w:vAlign w:val="center"/>
            <w:hideMark/>
          </w:tcPr>
          <w:p w:rsidR="006C5ED3" w:rsidRPr="00C57F08" w:rsidRDefault="006C5ED3" w:rsidP="00313BCE">
            <w:pPr>
              <w:contextualSpacing/>
              <w:jc w:val="center"/>
              <w:rPr>
                <w:rFonts w:cs="Arial"/>
                <w:color w:val="FFFFFF"/>
                <w:sz w:val="20"/>
                <w:szCs w:val="20"/>
                <w:lang w:eastAsia="en-AU"/>
              </w:rPr>
            </w:pPr>
            <w:r w:rsidRPr="00C57F08">
              <w:rPr>
                <w:rFonts w:cs="Arial"/>
                <w:color w:val="FFFFFF"/>
                <w:sz w:val="20"/>
                <w:szCs w:val="20"/>
                <w:lang w:eastAsia="en-AU"/>
              </w:rPr>
              <w:t>PJ</w:t>
            </w:r>
          </w:p>
        </w:tc>
        <w:tc>
          <w:tcPr>
            <w:tcW w:w="0" w:type="auto"/>
            <w:shd w:val="clear" w:color="auto" w:fill="000000"/>
            <w:vAlign w:val="center"/>
            <w:hideMark/>
          </w:tcPr>
          <w:p w:rsidR="006C5ED3" w:rsidRPr="00C57F08" w:rsidRDefault="006C5ED3" w:rsidP="00313BCE">
            <w:pPr>
              <w:contextualSpacing/>
              <w:jc w:val="center"/>
              <w:rPr>
                <w:rFonts w:cs="Arial"/>
                <w:color w:val="FFFFFF"/>
                <w:sz w:val="20"/>
                <w:szCs w:val="20"/>
                <w:lang w:eastAsia="en-AU"/>
              </w:rPr>
            </w:pPr>
            <w:r w:rsidRPr="00C57F08">
              <w:rPr>
                <w:rFonts w:cs="Arial"/>
                <w:color w:val="FFFFFF"/>
                <w:sz w:val="20"/>
                <w:szCs w:val="20"/>
                <w:lang w:eastAsia="en-AU"/>
              </w:rPr>
              <w:t>%</w:t>
            </w:r>
          </w:p>
        </w:tc>
        <w:tc>
          <w:tcPr>
            <w:tcW w:w="0" w:type="auto"/>
            <w:shd w:val="clear" w:color="auto" w:fill="000000"/>
            <w:noWrap/>
            <w:vAlign w:val="center"/>
            <w:hideMark/>
          </w:tcPr>
          <w:p w:rsidR="006C5ED3" w:rsidRPr="00C57F08" w:rsidRDefault="006C5ED3" w:rsidP="00313BCE">
            <w:pPr>
              <w:contextualSpacing/>
              <w:jc w:val="center"/>
              <w:rPr>
                <w:rFonts w:cs="Arial"/>
                <w:color w:val="FFFFFF"/>
                <w:sz w:val="20"/>
                <w:szCs w:val="20"/>
                <w:lang w:eastAsia="en-AU"/>
              </w:rPr>
            </w:pPr>
            <w:r w:rsidRPr="00C57F08">
              <w:rPr>
                <w:rFonts w:cs="Arial"/>
                <w:color w:val="FFFFFF"/>
                <w:sz w:val="20"/>
                <w:szCs w:val="20"/>
                <w:lang w:eastAsia="en-AU"/>
              </w:rPr>
              <w:t>PJ</w:t>
            </w:r>
          </w:p>
        </w:tc>
        <w:tc>
          <w:tcPr>
            <w:tcW w:w="0" w:type="auto"/>
            <w:shd w:val="clear" w:color="auto" w:fill="000000"/>
            <w:noWrap/>
            <w:vAlign w:val="center"/>
            <w:hideMark/>
          </w:tcPr>
          <w:p w:rsidR="006C5ED3" w:rsidRPr="00C57F08" w:rsidRDefault="006C5ED3" w:rsidP="00313BCE">
            <w:pPr>
              <w:contextualSpacing/>
              <w:jc w:val="center"/>
              <w:rPr>
                <w:rFonts w:cs="Arial"/>
                <w:color w:val="FFFFFF"/>
                <w:sz w:val="20"/>
                <w:szCs w:val="20"/>
                <w:lang w:eastAsia="en-AU"/>
              </w:rPr>
            </w:pPr>
            <w:r w:rsidRPr="00C57F08">
              <w:rPr>
                <w:rFonts w:cs="Arial"/>
                <w:color w:val="FFFFFF"/>
                <w:sz w:val="20"/>
                <w:szCs w:val="20"/>
                <w:lang w:eastAsia="en-AU"/>
              </w:rPr>
              <w:t>%</w:t>
            </w:r>
          </w:p>
        </w:tc>
      </w:tr>
      <w:tr w:rsidR="00A04A9B" w:rsidRPr="00A27E50" w:rsidTr="003D1A77">
        <w:trPr>
          <w:cnfStyle w:val="000000100000" w:firstRow="0" w:lastRow="0" w:firstColumn="0" w:lastColumn="0" w:oddVBand="0" w:evenVBand="0" w:oddHBand="1" w:evenHBand="0" w:firstRowFirstColumn="0" w:firstRowLastColumn="0" w:lastRowFirstColumn="0" w:lastRowLastColumn="0"/>
          <w:trHeight w:val="418"/>
        </w:trPr>
        <w:tc>
          <w:tcPr>
            <w:tcW w:w="0" w:type="auto"/>
            <w:shd w:val="clear" w:color="auto" w:fill="FFFFFF" w:themeFill="background1"/>
            <w:noWrap/>
            <w:vAlign w:val="center"/>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Arrow </w:t>
            </w:r>
          </w:p>
        </w:tc>
        <w:tc>
          <w:tcPr>
            <w:tcW w:w="0" w:type="auto"/>
            <w:shd w:val="clear" w:color="auto" w:fill="FFFFFF" w:themeFill="background1"/>
            <w:vAlign w:val="center"/>
          </w:tcPr>
          <w:p w:rsidR="00A04A9B" w:rsidRDefault="00A04A9B" w:rsidP="00313BCE">
            <w:pPr>
              <w:contextualSpacing/>
              <w:rPr>
                <w:rFonts w:cs="Arial"/>
                <w:color w:val="000000"/>
                <w:sz w:val="20"/>
                <w:szCs w:val="20"/>
                <w:lang w:eastAsia="en-AU"/>
              </w:rPr>
            </w:pPr>
            <w:r w:rsidRPr="00A27E50">
              <w:rPr>
                <w:rFonts w:cs="Arial"/>
                <w:color w:val="000000"/>
                <w:sz w:val="20"/>
                <w:szCs w:val="20"/>
                <w:lang w:eastAsia="en-AU"/>
              </w:rPr>
              <w:t>Shell 50%</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PetroChina 50% </w:t>
            </w:r>
          </w:p>
        </w:tc>
        <w:tc>
          <w:tcPr>
            <w:tcW w:w="0" w:type="auto"/>
            <w:shd w:val="clear" w:color="auto" w:fill="FFFFFF" w:themeFill="background1"/>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shd w:val="clear" w:color="auto" w:fill="FFFFFF" w:themeFill="background1"/>
            <w:vAlign w:val="center"/>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3</w:t>
            </w:r>
            <w:r>
              <w:rPr>
                <w:rFonts w:cs="Arial"/>
                <w:color w:val="000000"/>
                <w:sz w:val="20"/>
                <w:szCs w:val="20"/>
                <w:lang w:eastAsia="en-AU"/>
              </w:rPr>
              <w:t>1</w:t>
            </w:r>
          </w:p>
        </w:tc>
        <w:tc>
          <w:tcPr>
            <w:tcW w:w="0" w:type="auto"/>
            <w:shd w:val="clear" w:color="auto" w:fill="FFFFFF" w:themeFill="background1"/>
            <w:vAlign w:val="center"/>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4</w:t>
            </w:r>
          </w:p>
        </w:tc>
        <w:tc>
          <w:tcPr>
            <w:tcW w:w="0" w:type="auto"/>
            <w:shd w:val="clear" w:color="auto" w:fill="FFFFFF" w:themeFill="background1"/>
            <w:noWrap/>
            <w:vAlign w:val="center"/>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8,</w:t>
            </w:r>
            <w:r w:rsidR="00F15494">
              <w:rPr>
                <w:rFonts w:cs="Arial"/>
                <w:color w:val="000000"/>
                <w:sz w:val="20"/>
                <w:szCs w:val="20"/>
                <w:lang w:eastAsia="en-AU"/>
              </w:rPr>
              <w:t>844</w:t>
            </w:r>
          </w:p>
        </w:tc>
        <w:tc>
          <w:tcPr>
            <w:tcW w:w="0" w:type="auto"/>
            <w:shd w:val="clear" w:color="auto" w:fill="FFFFFF" w:themeFill="background1"/>
            <w:noWrap/>
            <w:vAlign w:val="center"/>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r w:rsidR="00F15494">
              <w:rPr>
                <w:rFonts w:cs="Arial"/>
                <w:color w:val="000000"/>
                <w:sz w:val="20"/>
                <w:szCs w:val="20"/>
                <w:lang w:eastAsia="en-AU"/>
              </w:rPr>
              <w:t>8</w:t>
            </w:r>
          </w:p>
        </w:tc>
      </w:tr>
      <w:tr w:rsidR="00A04A9B" w:rsidRPr="00A27E50" w:rsidTr="003D1A77">
        <w:trPr>
          <w:trHeight w:val="418"/>
        </w:trPr>
        <w:tc>
          <w:tcPr>
            <w:tcW w:w="0" w:type="auto"/>
            <w:shd w:val="clear" w:color="auto" w:fill="D9D9D9"/>
            <w:noWrap/>
            <w:vAlign w:val="center"/>
          </w:tcPr>
          <w:p w:rsidR="00A04A9B" w:rsidRPr="00A27E50" w:rsidRDefault="00A04A9B" w:rsidP="00056C0D">
            <w:pPr>
              <w:contextualSpacing/>
              <w:rPr>
                <w:rFonts w:cs="Arial"/>
                <w:color w:val="000000"/>
                <w:sz w:val="20"/>
                <w:szCs w:val="20"/>
                <w:lang w:eastAsia="en-AU"/>
              </w:rPr>
            </w:pPr>
            <w:r w:rsidRPr="00A27E50">
              <w:rPr>
                <w:rFonts w:cs="Arial"/>
                <w:color w:val="000000"/>
                <w:sz w:val="20"/>
                <w:szCs w:val="20"/>
                <w:lang w:eastAsia="en-AU"/>
              </w:rPr>
              <w:t>Queensland LNG</w:t>
            </w:r>
            <w:r>
              <w:rPr>
                <w:rFonts w:cs="Arial"/>
                <w:color w:val="000000"/>
                <w:sz w:val="20"/>
                <w:szCs w:val="20"/>
                <w:lang w:eastAsia="en-AU"/>
              </w:rPr>
              <w:t xml:space="preserve"> plants</w:t>
            </w:r>
            <w:r w:rsidR="00056C0D" w:rsidRPr="00056C0D">
              <w:rPr>
                <w:rFonts w:cs="Arial"/>
                <w:color w:val="000000"/>
                <w:sz w:val="22"/>
                <w:szCs w:val="22"/>
                <w:vertAlign w:val="superscript"/>
                <w:lang w:eastAsia="en-AU"/>
              </w:rPr>
              <w:t>b</w:t>
            </w:r>
          </w:p>
        </w:tc>
        <w:tc>
          <w:tcPr>
            <w:tcW w:w="0" w:type="auto"/>
            <w:shd w:val="clear" w:color="auto" w:fill="D9D9D9"/>
            <w:vAlign w:val="center"/>
          </w:tcPr>
          <w:p w:rsidR="00A04A9B" w:rsidRPr="00A27E50" w:rsidRDefault="00A04A9B" w:rsidP="00313BCE">
            <w:pPr>
              <w:contextualSpacing/>
              <w:rPr>
                <w:rFonts w:cs="Arial"/>
                <w:b/>
                <w:color w:val="000000"/>
                <w:sz w:val="20"/>
                <w:szCs w:val="20"/>
                <w:lang w:eastAsia="en-AU"/>
              </w:rPr>
            </w:pPr>
          </w:p>
        </w:tc>
        <w:tc>
          <w:tcPr>
            <w:tcW w:w="0" w:type="auto"/>
            <w:shd w:val="clear" w:color="auto" w:fill="D9D9D9"/>
            <w:vAlign w:val="center"/>
          </w:tcPr>
          <w:p w:rsidR="00A04A9B" w:rsidRDefault="00A04A9B" w:rsidP="00313BCE">
            <w:pPr>
              <w:contextualSpacing/>
              <w:jc w:val="center"/>
              <w:rPr>
                <w:rFonts w:cs="Arial"/>
                <w:b/>
                <w:color w:val="000000"/>
                <w:sz w:val="20"/>
                <w:szCs w:val="20"/>
                <w:lang w:eastAsia="en-AU"/>
              </w:rPr>
            </w:pPr>
          </w:p>
        </w:tc>
        <w:tc>
          <w:tcPr>
            <w:tcW w:w="0" w:type="auto"/>
            <w:shd w:val="clear" w:color="auto" w:fill="D9D9D9"/>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269</w:t>
            </w:r>
          </w:p>
        </w:tc>
        <w:tc>
          <w:tcPr>
            <w:tcW w:w="0" w:type="auto"/>
            <w:shd w:val="clear" w:color="auto" w:fill="D9D9D9"/>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36</w:t>
            </w:r>
          </w:p>
        </w:tc>
        <w:tc>
          <w:tcPr>
            <w:tcW w:w="0" w:type="auto"/>
            <w:shd w:val="clear" w:color="auto" w:fill="D9D9D9"/>
            <w:noWrap/>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29,462</w:t>
            </w:r>
          </w:p>
        </w:tc>
        <w:tc>
          <w:tcPr>
            <w:tcW w:w="0" w:type="auto"/>
            <w:shd w:val="clear" w:color="auto" w:fill="D9D9D9"/>
            <w:noWrap/>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60</w:t>
            </w:r>
          </w:p>
        </w:tc>
      </w:tr>
      <w:tr w:rsidR="00F74FD5" w:rsidRPr="00A27E50" w:rsidTr="003D1A77">
        <w:trPr>
          <w:cnfStyle w:val="000000100000" w:firstRow="0" w:lastRow="0" w:firstColumn="0" w:lastColumn="0" w:oddVBand="0" w:evenVBand="0" w:oddHBand="1" w:evenHBand="0" w:firstRowFirstColumn="0" w:firstRowLastColumn="0" w:lastRowFirstColumn="0" w:lastRowLastColumn="0"/>
          <w:trHeight w:val="650"/>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APLNG</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Origin 37.5% (operator upstream)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ConocoPhillips 37.5% (operator downstream)</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Sinopec 25% </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F15494" w:rsidP="00056C0D">
            <w:pPr>
              <w:contextualSpacing/>
              <w:jc w:val="center"/>
              <w:rPr>
                <w:rFonts w:cs="Arial"/>
                <w:color w:val="000000"/>
                <w:sz w:val="20"/>
                <w:szCs w:val="20"/>
                <w:lang w:eastAsia="en-AU"/>
              </w:rPr>
            </w:pPr>
            <w:r>
              <w:rPr>
                <w:rFonts w:cs="Arial"/>
                <w:color w:val="000000"/>
                <w:sz w:val="20"/>
                <w:szCs w:val="20"/>
                <w:lang w:eastAsia="en-AU"/>
              </w:rPr>
              <w:t>173</w:t>
            </w:r>
            <w:r w:rsidR="00056C0D" w:rsidRPr="00056C0D">
              <w:rPr>
                <w:rFonts w:cs="Arial"/>
                <w:color w:val="000000"/>
                <w:sz w:val="22"/>
                <w:szCs w:val="22"/>
                <w:vertAlign w:val="superscript"/>
                <w:lang w:eastAsia="en-AU"/>
              </w:rPr>
              <w:t>c</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21</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r w:rsidR="00F15494">
              <w:rPr>
                <w:rFonts w:cs="Arial"/>
                <w:color w:val="000000"/>
                <w:sz w:val="20"/>
                <w:szCs w:val="20"/>
                <w:lang w:eastAsia="en-AU"/>
              </w:rPr>
              <w:t>3,778</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2</w:t>
            </w:r>
            <w:r w:rsidR="00F15494">
              <w:rPr>
                <w:rFonts w:cs="Arial"/>
                <w:color w:val="000000"/>
                <w:sz w:val="20"/>
                <w:szCs w:val="20"/>
                <w:lang w:eastAsia="en-AU"/>
              </w:rPr>
              <w:t>8</w:t>
            </w:r>
          </w:p>
        </w:tc>
      </w:tr>
      <w:tr w:rsidR="00F74FD5" w:rsidRPr="00A27E50" w:rsidTr="003D1A77">
        <w:trPr>
          <w:trHeight w:val="103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GLNG</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Santos 30.0</w:t>
            </w:r>
            <w:r>
              <w:rPr>
                <w:rFonts w:cs="Arial"/>
                <w:color w:val="000000"/>
                <w:sz w:val="20"/>
                <w:szCs w:val="20"/>
                <w:lang w:eastAsia="en-AU"/>
              </w:rPr>
              <w:t>%</w:t>
            </w:r>
            <w:r w:rsidRPr="00A27E50">
              <w:rPr>
                <w:rFonts w:cs="Arial"/>
                <w:color w:val="000000"/>
                <w:sz w:val="20"/>
                <w:szCs w:val="20"/>
                <w:lang w:eastAsia="en-AU"/>
              </w:rPr>
              <w:t xml:space="preserve"> (operator)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PETRONAS 27.5%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Total 27.5%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KOGAS 15.0%</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36</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4</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5,603</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12</w:t>
            </w:r>
          </w:p>
        </w:tc>
      </w:tr>
      <w:tr w:rsidR="00F74FD5" w:rsidRPr="00A27E50" w:rsidTr="003D1A77">
        <w:trPr>
          <w:cnfStyle w:val="000000100000" w:firstRow="0" w:lastRow="0" w:firstColumn="0" w:lastColumn="0" w:oddVBand="0" w:evenVBand="0" w:oddHBand="1" w:evenHBand="0" w:firstRowFirstColumn="0" w:firstRowLastColumn="0" w:lastRowFirstColumn="0" w:lastRowLastColumn="0"/>
          <w:trHeight w:val="860"/>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QCLNG</w:t>
            </w:r>
          </w:p>
        </w:tc>
        <w:tc>
          <w:tcPr>
            <w:tcW w:w="0" w:type="auto"/>
            <w:vAlign w:val="center"/>
            <w:hideMark/>
          </w:tcPr>
          <w:p w:rsidR="00A04A9B"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BG 74% upstream resources and infrastructure (operator)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CNOOC 24.5%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Tokyo Gas 1.5%</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056C0D">
            <w:pPr>
              <w:contextualSpacing/>
              <w:jc w:val="center"/>
              <w:rPr>
                <w:rFonts w:cs="Arial"/>
                <w:color w:val="000000"/>
                <w:sz w:val="20"/>
                <w:szCs w:val="20"/>
                <w:lang w:eastAsia="en-AU"/>
              </w:rPr>
            </w:pPr>
            <w:r w:rsidRPr="00A27E50">
              <w:rPr>
                <w:rFonts w:cs="Arial"/>
                <w:color w:val="000000"/>
                <w:sz w:val="20"/>
                <w:szCs w:val="20"/>
                <w:lang w:eastAsia="en-AU"/>
              </w:rPr>
              <w:t>1</w:t>
            </w:r>
            <w:r w:rsidR="00F15494">
              <w:rPr>
                <w:rFonts w:cs="Arial"/>
                <w:color w:val="000000"/>
                <w:sz w:val="20"/>
                <w:szCs w:val="20"/>
                <w:lang w:eastAsia="en-AU"/>
              </w:rPr>
              <w:t>57</w:t>
            </w:r>
            <w:r w:rsidR="00056C0D" w:rsidRPr="00056C0D">
              <w:rPr>
                <w:rFonts w:cs="Arial"/>
                <w:color w:val="000000"/>
                <w:sz w:val="22"/>
                <w:szCs w:val="22"/>
                <w:vertAlign w:val="superscript"/>
                <w:lang w:eastAsia="en-AU"/>
              </w:rPr>
              <w:t>c</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r w:rsidR="00F15494">
              <w:rPr>
                <w:rFonts w:cs="Arial"/>
                <w:color w:val="000000"/>
                <w:sz w:val="20"/>
                <w:szCs w:val="20"/>
                <w:lang w:eastAsia="en-AU"/>
              </w:rPr>
              <w:t>9</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9,</w:t>
            </w:r>
            <w:r w:rsidR="00F15494">
              <w:rPr>
                <w:rFonts w:cs="Arial"/>
                <w:color w:val="000000"/>
                <w:sz w:val="20"/>
                <w:szCs w:val="20"/>
                <w:lang w:eastAsia="en-AU"/>
              </w:rPr>
              <w:t>320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19</w:t>
            </w:r>
          </w:p>
        </w:tc>
      </w:tr>
      <w:tr w:rsidR="00A04A9B" w:rsidRPr="00A27E50" w:rsidTr="003D1A77">
        <w:trPr>
          <w:trHeight w:val="301"/>
        </w:trPr>
        <w:tc>
          <w:tcPr>
            <w:tcW w:w="0" w:type="auto"/>
            <w:shd w:val="clear" w:color="auto" w:fill="D9D9D9"/>
            <w:noWrap/>
            <w:vAlign w:val="center"/>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Other Queensland C</w:t>
            </w:r>
            <w:r>
              <w:rPr>
                <w:rFonts w:cs="Arial"/>
                <w:color w:val="000000"/>
                <w:sz w:val="20"/>
                <w:szCs w:val="20"/>
                <w:lang w:eastAsia="en-AU"/>
              </w:rPr>
              <w:t>oal Seam Gas</w:t>
            </w:r>
          </w:p>
        </w:tc>
        <w:tc>
          <w:tcPr>
            <w:tcW w:w="0" w:type="auto"/>
            <w:shd w:val="clear" w:color="auto" w:fill="D9D9D9"/>
            <w:vAlign w:val="center"/>
          </w:tcPr>
          <w:p w:rsidR="00A04A9B" w:rsidRPr="00A27E50" w:rsidRDefault="00A04A9B" w:rsidP="00313BCE">
            <w:pPr>
              <w:contextualSpacing/>
              <w:rPr>
                <w:rFonts w:cs="Arial"/>
                <w:b/>
                <w:color w:val="000000"/>
                <w:sz w:val="20"/>
                <w:szCs w:val="20"/>
                <w:lang w:eastAsia="en-AU"/>
              </w:rPr>
            </w:pPr>
          </w:p>
        </w:tc>
        <w:tc>
          <w:tcPr>
            <w:tcW w:w="0" w:type="auto"/>
            <w:shd w:val="clear" w:color="auto" w:fill="D9D9D9"/>
            <w:vAlign w:val="center"/>
          </w:tcPr>
          <w:p w:rsidR="00A04A9B" w:rsidRDefault="00A04A9B" w:rsidP="00313BCE">
            <w:pPr>
              <w:contextualSpacing/>
              <w:jc w:val="center"/>
              <w:rPr>
                <w:rFonts w:cs="Arial"/>
                <w:b/>
                <w:color w:val="000000"/>
                <w:sz w:val="20"/>
                <w:szCs w:val="20"/>
                <w:lang w:eastAsia="en-AU"/>
              </w:rPr>
            </w:pPr>
          </w:p>
        </w:tc>
        <w:tc>
          <w:tcPr>
            <w:tcW w:w="0" w:type="auto"/>
            <w:shd w:val="clear" w:color="auto" w:fill="D9D9D9"/>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12</w:t>
            </w:r>
          </w:p>
        </w:tc>
        <w:tc>
          <w:tcPr>
            <w:tcW w:w="0" w:type="auto"/>
            <w:shd w:val="clear" w:color="auto" w:fill="D9D9D9"/>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1</w:t>
            </w:r>
          </w:p>
        </w:tc>
        <w:tc>
          <w:tcPr>
            <w:tcW w:w="0" w:type="auto"/>
            <w:shd w:val="clear" w:color="auto" w:fill="D9D9D9"/>
            <w:noWrap/>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4,335</w:t>
            </w:r>
          </w:p>
        </w:tc>
        <w:tc>
          <w:tcPr>
            <w:tcW w:w="0" w:type="auto"/>
            <w:shd w:val="clear" w:color="auto" w:fill="D9D9D9"/>
            <w:noWrap/>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9</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247"/>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AGL Qld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AGL (share of Moranbah with Arrow) </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6</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1,257</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3</w:t>
            </w:r>
          </w:p>
        </w:tc>
      </w:tr>
      <w:tr w:rsidR="00D33485" w:rsidRPr="00A27E50" w:rsidTr="003D1A77">
        <w:trPr>
          <w:trHeight w:val="267"/>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Santos </w:t>
            </w:r>
            <w:r>
              <w:rPr>
                <w:rFonts w:cs="Arial"/>
                <w:color w:val="000000"/>
                <w:sz w:val="20"/>
                <w:szCs w:val="20"/>
                <w:lang w:eastAsia="en-AU"/>
              </w:rPr>
              <w:t>o</w:t>
            </w:r>
            <w:r w:rsidRPr="00A27E50">
              <w:rPr>
                <w:rFonts w:cs="Arial"/>
                <w:color w:val="000000"/>
                <w:sz w:val="20"/>
                <w:szCs w:val="20"/>
                <w:lang w:eastAsia="en-AU"/>
              </w:rPr>
              <w:t xml:space="preserve">ther CSG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Santos holds permits in own right</w:t>
            </w:r>
            <w:r w:rsidR="00BC7EFA">
              <w:rPr>
                <w:rFonts w:cs="Arial"/>
                <w:color w:val="000000"/>
                <w:sz w:val="20"/>
                <w:szCs w:val="20"/>
                <w:lang w:eastAsia="en-AU"/>
              </w:rPr>
              <w:t xml:space="preserve"> (not as part of GLNG)</w:t>
            </w:r>
            <w:r w:rsidRPr="00A27E50">
              <w:rPr>
                <w:rFonts w:cs="Arial"/>
                <w:color w:val="000000"/>
                <w:sz w:val="20"/>
                <w:szCs w:val="20"/>
                <w:lang w:eastAsia="en-AU"/>
              </w:rPr>
              <w:t xml:space="preserve"> </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471</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259"/>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PetroChina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PetroChina holds permits in own right </w:t>
            </w:r>
            <w:r w:rsidR="00BC7EFA">
              <w:rPr>
                <w:rFonts w:cs="Arial"/>
                <w:color w:val="000000"/>
                <w:sz w:val="20"/>
                <w:szCs w:val="20"/>
                <w:lang w:eastAsia="en-AU"/>
              </w:rPr>
              <w:t>(not as part of Arrow</w:t>
            </w:r>
            <w:r w:rsidR="00056C0D">
              <w:rPr>
                <w:rFonts w:cs="Arial"/>
                <w:color w:val="000000"/>
                <w:sz w:val="20"/>
                <w:szCs w:val="20"/>
                <w:lang w:eastAsia="en-AU"/>
              </w:rPr>
              <w:t xml:space="preserve"> JV</w:t>
            </w:r>
            <w:r w:rsidR="00BC7EFA">
              <w:rPr>
                <w:rFonts w:cs="Arial"/>
                <w:color w:val="000000"/>
                <w:sz w:val="20"/>
                <w:szCs w:val="20"/>
                <w:lang w:eastAsia="en-AU"/>
              </w:rPr>
              <w:t>)</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435</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r>
      <w:tr w:rsidR="00D33485" w:rsidRPr="00A27E50" w:rsidTr="003D1A77">
        <w:trPr>
          <w:trHeight w:val="231"/>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Origin Ironbark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Origin holds permits in own right </w:t>
            </w:r>
            <w:r w:rsidR="00BC7EFA">
              <w:rPr>
                <w:rFonts w:cs="Arial"/>
                <w:color w:val="000000"/>
                <w:sz w:val="20"/>
                <w:szCs w:val="20"/>
                <w:lang w:eastAsia="en-AU"/>
              </w:rPr>
              <w:t>(not as part of APLNG)</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256</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31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Senex CSG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Senex 100% </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473</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r>
      <w:tr w:rsidR="00D33485" w:rsidRPr="00A27E50" w:rsidTr="003D1A77">
        <w:trPr>
          <w:trHeight w:val="31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Meridian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Landbridge and Mitsui </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2</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680</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273"/>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Other CSG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Various companies with small interests </w:t>
            </w:r>
          </w:p>
        </w:tc>
        <w:tc>
          <w:tcPr>
            <w:tcW w:w="0" w:type="auto"/>
            <w:vAlign w:val="center"/>
          </w:tcPr>
          <w:p w:rsidR="00A04A9B" w:rsidRPr="00A27E50" w:rsidRDefault="00A04A9B" w:rsidP="00313BCE">
            <w:pPr>
              <w:contextualSpacing/>
              <w:jc w:val="center"/>
              <w:rPr>
                <w:rFonts w:cs="Arial"/>
                <w:color w:val="000000"/>
                <w:sz w:val="20"/>
                <w:szCs w:val="20"/>
                <w:lang w:eastAsia="en-AU"/>
              </w:rPr>
            </w:pP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3</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763</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2</w:t>
            </w:r>
          </w:p>
        </w:tc>
      </w:tr>
      <w:tr w:rsidR="00A04A9B" w:rsidRPr="00A27E50" w:rsidTr="003D1A77">
        <w:trPr>
          <w:trHeight w:val="324"/>
        </w:trPr>
        <w:tc>
          <w:tcPr>
            <w:tcW w:w="0" w:type="auto"/>
            <w:shd w:val="clear" w:color="auto" w:fill="D9D9D9"/>
            <w:noWrap/>
            <w:vAlign w:val="center"/>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NSW </w:t>
            </w:r>
            <w:r>
              <w:rPr>
                <w:rFonts w:cs="Arial"/>
                <w:color w:val="000000"/>
                <w:sz w:val="20"/>
                <w:szCs w:val="20"/>
                <w:lang w:eastAsia="en-AU"/>
              </w:rPr>
              <w:t>Coal Seam Gas</w:t>
            </w:r>
          </w:p>
        </w:tc>
        <w:tc>
          <w:tcPr>
            <w:tcW w:w="0" w:type="auto"/>
            <w:shd w:val="clear" w:color="auto" w:fill="D9D9D9"/>
            <w:vAlign w:val="center"/>
          </w:tcPr>
          <w:p w:rsidR="00A04A9B" w:rsidRPr="00A27E50" w:rsidRDefault="00A04A9B" w:rsidP="00313BCE">
            <w:pPr>
              <w:contextualSpacing/>
              <w:rPr>
                <w:rFonts w:cs="Arial"/>
                <w:b/>
                <w:color w:val="000000"/>
                <w:sz w:val="20"/>
                <w:szCs w:val="20"/>
                <w:lang w:eastAsia="en-AU"/>
              </w:rPr>
            </w:pPr>
          </w:p>
        </w:tc>
        <w:tc>
          <w:tcPr>
            <w:tcW w:w="0" w:type="auto"/>
            <w:shd w:val="clear" w:color="auto" w:fill="D9D9D9"/>
            <w:vAlign w:val="center"/>
          </w:tcPr>
          <w:p w:rsidR="00A04A9B" w:rsidRDefault="00A04A9B" w:rsidP="00313BCE">
            <w:pPr>
              <w:contextualSpacing/>
              <w:jc w:val="center"/>
              <w:rPr>
                <w:rFonts w:cs="Arial"/>
                <w:b/>
                <w:color w:val="000000"/>
                <w:sz w:val="20"/>
                <w:szCs w:val="20"/>
                <w:lang w:eastAsia="en-AU"/>
              </w:rPr>
            </w:pPr>
          </w:p>
        </w:tc>
        <w:tc>
          <w:tcPr>
            <w:tcW w:w="0" w:type="auto"/>
            <w:shd w:val="clear" w:color="auto" w:fill="D9D9D9"/>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5</w:t>
            </w:r>
          </w:p>
        </w:tc>
        <w:tc>
          <w:tcPr>
            <w:tcW w:w="0" w:type="auto"/>
            <w:shd w:val="clear" w:color="auto" w:fill="D9D9D9"/>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1</w:t>
            </w:r>
          </w:p>
        </w:tc>
        <w:tc>
          <w:tcPr>
            <w:tcW w:w="0" w:type="auto"/>
            <w:shd w:val="clear" w:color="auto" w:fill="D9D9D9"/>
            <w:noWrap/>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1,280</w:t>
            </w:r>
          </w:p>
        </w:tc>
        <w:tc>
          <w:tcPr>
            <w:tcW w:w="0" w:type="auto"/>
            <w:shd w:val="clear" w:color="auto" w:fill="D9D9D9"/>
            <w:noWrap/>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3</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547"/>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Santos Narrabri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Santos 80% (operator)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Energy Australia 20% (in development) </w:t>
            </w:r>
          </w:p>
        </w:tc>
        <w:tc>
          <w:tcPr>
            <w:tcW w:w="0" w:type="auto"/>
            <w:vAlign w:val="center"/>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1</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777</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2</w:t>
            </w:r>
          </w:p>
        </w:tc>
      </w:tr>
      <w:tr w:rsidR="00D33485" w:rsidRPr="00A27E50" w:rsidTr="003D1A77">
        <w:trPr>
          <w:trHeight w:val="601"/>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AGL NSW</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AGL 100% Camden Project (operating) and Gloucester Project (in development) </w:t>
            </w:r>
          </w:p>
        </w:tc>
        <w:tc>
          <w:tcPr>
            <w:tcW w:w="0" w:type="auto"/>
            <w:vAlign w:val="center"/>
          </w:tcPr>
          <w:p w:rsidR="00A04A9B" w:rsidRPr="00A27E50" w:rsidRDefault="003A27EC"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4</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503</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p>
        </w:tc>
      </w:tr>
      <w:tr w:rsidR="00A04A9B" w:rsidRPr="00A27E50" w:rsidTr="003D1A77">
        <w:trPr>
          <w:cnfStyle w:val="000000100000" w:firstRow="0" w:lastRow="0" w:firstColumn="0" w:lastColumn="0" w:oddVBand="0" w:evenVBand="0" w:oddHBand="1" w:evenHBand="0" w:firstRowFirstColumn="0" w:firstRowLastColumn="0" w:lastRowFirstColumn="0" w:lastRowLastColumn="0"/>
          <w:trHeight w:val="315"/>
        </w:trPr>
        <w:tc>
          <w:tcPr>
            <w:tcW w:w="0" w:type="auto"/>
            <w:shd w:val="clear" w:color="auto" w:fill="D9D9D9"/>
            <w:noWrap/>
            <w:vAlign w:val="center"/>
            <w:hideMark/>
          </w:tcPr>
          <w:p w:rsidR="00A04A9B" w:rsidRPr="00A27E50" w:rsidRDefault="00A04A9B" w:rsidP="00313BCE">
            <w:pPr>
              <w:contextualSpacing/>
              <w:rPr>
                <w:rFonts w:cs="Arial"/>
                <w:b/>
                <w:bCs/>
                <w:color w:val="000000"/>
                <w:sz w:val="20"/>
                <w:szCs w:val="20"/>
                <w:lang w:eastAsia="en-AU"/>
              </w:rPr>
            </w:pPr>
            <w:r w:rsidRPr="00A27E50">
              <w:rPr>
                <w:rFonts w:cs="Arial"/>
                <w:color w:val="000000"/>
                <w:sz w:val="20"/>
                <w:szCs w:val="20"/>
                <w:lang w:eastAsia="en-AU"/>
              </w:rPr>
              <w:lastRenderedPageBreak/>
              <w:t xml:space="preserve">Conventional Gas Onshore </w:t>
            </w:r>
          </w:p>
        </w:tc>
        <w:tc>
          <w:tcPr>
            <w:tcW w:w="0" w:type="auto"/>
            <w:shd w:val="clear" w:color="auto" w:fill="D9D9D9"/>
            <w:vAlign w:val="center"/>
          </w:tcPr>
          <w:p w:rsidR="00A04A9B" w:rsidRPr="00A27E50" w:rsidRDefault="00A04A9B" w:rsidP="00313BCE">
            <w:pPr>
              <w:contextualSpacing/>
              <w:rPr>
                <w:rFonts w:cs="Arial"/>
                <w:b/>
                <w:bCs/>
                <w:color w:val="000000"/>
                <w:sz w:val="20"/>
                <w:szCs w:val="20"/>
                <w:lang w:eastAsia="en-AU"/>
              </w:rPr>
            </w:pPr>
          </w:p>
        </w:tc>
        <w:tc>
          <w:tcPr>
            <w:tcW w:w="0" w:type="auto"/>
            <w:shd w:val="clear" w:color="auto" w:fill="D9D9D9"/>
            <w:vAlign w:val="center"/>
          </w:tcPr>
          <w:p w:rsidR="00A04A9B" w:rsidRDefault="00A04A9B" w:rsidP="00313BCE">
            <w:pPr>
              <w:contextualSpacing/>
              <w:jc w:val="center"/>
              <w:rPr>
                <w:rFonts w:cs="Arial"/>
                <w:b/>
                <w:bCs/>
                <w:color w:val="000000"/>
                <w:sz w:val="20"/>
                <w:szCs w:val="20"/>
                <w:lang w:eastAsia="en-AU"/>
              </w:rPr>
            </w:pPr>
          </w:p>
        </w:tc>
        <w:tc>
          <w:tcPr>
            <w:tcW w:w="0" w:type="auto"/>
            <w:shd w:val="clear" w:color="auto" w:fill="D9D9D9"/>
            <w:vAlign w:val="center"/>
          </w:tcPr>
          <w:p w:rsidR="00A04A9B" w:rsidRPr="00A27E50" w:rsidRDefault="00F15494" w:rsidP="00313BCE">
            <w:pPr>
              <w:contextualSpacing/>
              <w:jc w:val="center"/>
              <w:rPr>
                <w:rFonts w:cs="Arial"/>
                <w:b/>
                <w:bCs/>
                <w:color w:val="000000"/>
                <w:sz w:val="20"/>
                <w:szCs w:val="20"/>
                <w:lang w:eastAsia="en-AU"/>
              </w:rPr>
            </w:pPr>
            <w:r>
              <w:rPr>
                <w:rFonts w:cs="Arial"/>
                <w:b/>
                <w:bCs/>
                <w:color w:val="000000"/>
                <w:sz w:val="20"/>
                <w:szCs w:val="20"/>
                <w:lang w:eastAsia="en-AU"/>
              </w:rPr>
              <w:t>94</w:t>
            </w:r>
          </w:p>
        </w:tc>
        <w:tc>
          <w:tcPr>
            <w:tcW w:w="0" w:type="auto"/>
            <w:shd w:val="clear" w:color="auto" w:fill="D9D9D9"/>
            <w:vAlign w:val="center"/>
          </w:tcPr>
          <w:p w:rsidR="00A04A9B" w:rsidRPr="00A27E50" w:rsidRDefault="00F15494" w:rsidP="00313BCE">
            <w:pPr>
              <w:contextualSpacing/>
              <w:jc w:val="center"/>
              <w:rPr>
                <w:rFonts w:cs="Arial"/>
                <w:b/>
                <w:bCs/>
                <w:color w:val="000000"/>
                <w:sz w:val="20"/>
                <w:szCs w:val="20"/>
                <w:lang w:eastAsia="en-AU"/>
              </w:rPr>
            </w:pPr>
            <w:r>
              <w:rPr>
                <w:rFonts w:cs="Arial"/>
                <w:b/>
                <w:bCs/>
                <w:color w:val="000000"/>
                <w:sz w:val="20"/>
                <w:szCs w:val="20"/>
                <w:lang w:eastAsia="en-AU"/>
              </w:rPr>
              <w:t>11</w:t>
            </w:r>
          </w:p>
        </w:tc>
        <w:tc>
          <w:tcPr>
            <w:tcW w:w="0" w:type="auto"/>
            <w:shd w:val="clear" w:color="auto" w:fill="D9D9D9"/>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1,662</w:t>
            </w:r>
          </w:p>
        </w:tc>
        <w:tc>
          <w:tcPr>
            <w:tcW w:w="0" w:type="auto"/>
            <w:shd w:val="clear" w:color="auto" w:fill="D9D9D9"/>
            <w:vAlign w:val="center"/>
          </w:tcPr>
          <w:p w:rsidR="00A04A9B" w:rsidRPr="00A27E50" w:rsidRDefault="00A04A9B" w:rsidP="00313BCE">
            <w:pPr>
              <w:contextualSpacing/>
              <w:jc w:val="center"/>
              <w:rPr>
                <w:rFonts w:cs="Arial"/>
                <w:b/>
                <w:color w:val="000000"/>
                <w:sz w:val="20"/>
                <w:szCs w:val="20"/>
                <w:lang w:eastAsia="en-AU"/>
              </w:rPr>
            </w:pPr>
            <w:r>
              <w:rPr>
                <w:rFonts w:cs="Arial"/>
                <w:b/>
                <w:color w:val="000000"/>
                <w:sz w:val="20"/>
                <w:szCs w:val="20"/>
                <w:lang w:eastAsia="en-AU"/>
              </w:rPr>
              <w:t>3</w:t>
            </w:r>
          </w:p>
        </w:tc>
      </w:tr>
      <w:tr w:rsidR="00D33485" w:rsidRPr="00A27E50" w:rsidTr="003D1A77">
        <w:trPr>
          <w:trHeight w:val="590"/>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Cooper Basin JVs</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Two separate JVs (SA and Western Qld) with Santos, Beach and Origin </w:t>
            </w:r>
          </w:p>
        </w:tc>
        <w:tc>
          <w:tcPr>
            <w:tcW w:w="0" w:type="auto"/>
            <w:vAlign w:val="center"/>
          </w:tcPr>
          <w:p w:rsidR="00A04A9B" w:rsidRPr="00A27E50" w:rsidRDefault="003A27EC"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88</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11</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1,425</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3</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38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Other Cooper Basin </w:t>
            </w:r>
          </w:p>
        </w:tc>
        <w:tc>
          <w:tcPr>
            <w:tcW w:w="0" w:type="auto"/>
            <w:vAlign w:val="center"/>
            <w:hideMark/>
          </w:tcPr>
          <w:p w:rsidR="00A04A9B" w:rsidRPr="00A27E50" w:rsidRDefault="002D7724" w:rsidP="00313BCE">
            <w:pPr>
              <w:contextualSpacing/>
              <w:rPr>
                <w:rFonts w:cs="Arial"/>
                <w:color w:val="000000"/>
                <w:sz w:val="20"/>
                <w:szCs w:val="20"/>
                <w:lang w:eastAsia="en-AU"/>
              </w:rPr>
            </w:pPr>
            <w:r>
              <w:rPr>
                <w:rFonts w:cs="Arial"/>
                <w:color w:val="000000"/>
                <w:sz w:val="20"/>
                <w:szCs w:val="20"/>
                <w:lang w:eastAsia="en-AU"/>
              </w:rPr>
              <w:t xml:space="preserve">Drillsearch, Senex, </w:t>
            </w:r>
            <w:r w:rsidR="00A04A9B" w:rsidRPr="00A27E50">
              <w:rPr>
                <w:rFonts w:cs="Arial"/>
                <w:color w:val="000000"/>
                <w:sz w:val="20"/>
                <w:szCs w:val="20"/>
                <w:lang w:eastAsia="en-AU"/>
              </w:rPr>
              <w:t xml:space="preserve">Strike Energy </w:t>
            </w:r>
          </w:p>
        </w:tc>
        <w:tc>
          <w:tcPr>
            <w:tcW w:w="0" w:type="auto"/>
            <w:vAlign w:val="center"/>
          </w:tcPr>
          <w:p w:rsidR="00A04A9B" w:rsidRPr="00A27E50" w:rsidRDefault="003A27EC"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3</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0</w:t>
            </w:r>
          </w:p>
        </w:tc>
        <w:tc>
          <w:tcPr>
            <w:tcW w:w="0" w:type="auto"/>
            <w:noWrap/>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119</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0</w:t>
            </w:r>
          </w:p>
        </w:tc>
      </w:tr>
      <w:tr w:rsidR="00D33485" w:rsidRPr="00A27E50" w:rsidTr="003D1A77">
        <w:trPr>
          <w:trHeight w:val="31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Other Qld Conventional Gas </w:t>
            </w:r>
          </w:p>
        </w:tc>
        <w:tc>
          <w:tcPr>
            <w:tcW w:w="0" w:type="auto"/>
            <w:vAlign w:val="center"/>
            <w:hideMark/>
          </w:tcPr>
          <w:p w:rsidR="00A04A9B" w:rsidRPr="00A27E50" w:rsidRDefault="002A3699" w:rsidP="00313BCE">
            <w:pPr>
              <w:contextualSpacing/>
              <w:rPr>
                <w:rFonts w:cs="Arial"/>
                <w:color w:val="000000"/>
                <w:sz w:val="20"/>
                <w:szCs w:val="20"/>
                <w:lang w:eastAsia="en-AU"/>
              </w:rPr>
            </w:pPr>
            <w:r>
              <w:rPr>
                <w:rFonts w:cs="Arial"/>
                <w:color w:val="000000"/>
                <w:sz w:val="20"/>
                <w:szCs w:val="20"/>
                <w:lang w:eastAsia="en-AU"/>
              </w:rPr>
              <w:t>Various</w:t>
            </w:r>
            <w:r w:rsidR="00A04A9B" w:rsidRPr="00A27E50">
              <w:rPr>
                <w:rFonts w:cs="Arial"/>
                <w:color w:val="000000"/>
                <w:sz w:val="20"/>
                <w:szCs w:val="20"/>
                <w:lang w:eastAsia="en-AU"/>
              </w:rPr>
              <w:t xml:space="preserve"> small interests </w:t>
            </w:r>
          </w:p>
        </w:tc>
        <w:tc>
          <w:tcPr>
            <w:tcW w:w="0" w:type="auto"/>
            <w:vAlign w:val="center"/>
          </w:tcPr>
          <w:p w:rsidR="00A04A9B" w:rsidRPr="00A27E50" w:rsidRDefault="00A04A9B" w:rsidP="00313BCE">
            <w:pPr>
              <w:contextualSpacing/>
              <w:jc w:val="center"/>
              <w:rPr>
                <w:rFonts w:cs="Arial"/>
                <w:color w:val="000000"/>
                <w:sz w:val="20"/>
                <w:szCs w:val="20"/>
                <w:lang w:eastAsia="en-AU"/>
              </w:rPr>
            </w:pP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3</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118</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r>
      <w:tr w:rsidR="00A04A9B" w:rsidRPr="00A27E50" w:rsidTr="003D1A77">
        <w:trPr>
          <w:cnfStyle w:val="000000100000" w:firstRow="0" w:lastRow="0" w:firstColumn="0" w:lastColumn="0" w:oddVBand="0" w:evenVBand="0" w:oddHBand="1" w:evenHBand="0" w:firstRowFirstColumn="0" w:firstRowLastColumn="0" w:lastRowFirstColumn="0" w:lastRowLastColumn="0"/>
          <w:trHeight w:val="315"/>
        </w:trPr>
        <w:tc>
          <w:tcPr>
            <w:tcW w:w="0" w:type="auto"/>
            <w:shd w:val="clear" w:color="auto" w:fill="D9D9D9"/>
            <w:noWrap/>
            <w:vAlign w:val="center"/>
            <w:hideMark/>
          </w:tcPr>
          <w:p w:rsidR="00A04A9B" w:rsidRPr="00A27E50" w:rsidRDefault="00A04A9B" w:rsidP="00313BCE">
            <w:pPr>
              <w:contextualSpacing/>
              <w:rPr>
                <w:rFonts w:cs="Arial"/>
                <w:b/>
                <w:bCs/>
                <w:color w:val="000000"/>
                <w:sz w:val="20"/>
                <w:szCs w:val="20"/>
                <w:lang w:eastAsia="en-AU"/>
              </w:rPr>
            </w:pPr>
            <w:r w:rsidRPr="00A27E50">
              <w:rPr>
                <w:rFonts w:cs="Arial"/>
                <w:color w:val="000000"/>
                <w:sz w:val="20"/>
                <w:szCs w:val="20"/>
                <w:lang w:eastAsia="en-AU"/>
              </w:rPr>
              <w:t xml:space="preserve">Conventional Gas Offshore </w:t>
            </w:r>
          </w:p>
        </w:tc>
        <w:tc>
          <w:tcPr>
            <w:tcW w:w="0" w:type="auto"/>
            <w:shd w:val="clear" w:color="auto" w:fill="D9D9D9"/>
            <w:vAlign w:val="center"/>
          </w:tcPr>
          <w:p w:rsidR="00A04A9B" w:rsidRPr="00A27E50" w:rsidRDefault="00A04A9B" w:rsidP="00313BCE">
            <w:pPr>
              <w:contextualSpacing/>
              <w:rPr>
                <w:rFonts w:cs="Arial"/>
                <w:b/>
                <w:bCs/>
                <w:color w:val="000000"/>
                <w:sz w:val="20"/>
                <w:szCs w:val="20"/>
                <w:lang w:eastAsia="en-AU"/>
              </w:rPr>
            </w:pPr>
          </w:p>
        </w:tc>
        <w:tc>
          <w:tcPr>
            <w:tcW w:w="0" w:type="auto"/>
            <w:shd w:val="clear" w:color="auto" w:fill="D9D9D9"/>
            <w:vAlign w:val="center"/>
          </w:tcPr>
          <w:p w:rsidR="00A04A9B" w:rsidRDefault="00A04A9B" w:rsidP="00313BCE">
            <w:pPr>
              <w:contextualSpacing/>
              <w:jc w:val="center"/>
              <w:rPr>
                <w:rFonts w:cs="Arial"/>
                <w:b/>
                <w:bCs/>
                <w:color w:val="000000"/>
                <w:sz w:val="20"/>
                <w:szCs w:val="20"/>
                <w:lang w:eastAsia="en-AU"/>
              </w:rPr>
            </w:pPr>
          </w:p>
        </w:tc>
        <w:tc>
          <w:tcPr>
            <w:tcW w:w="0" w:type="auto"/>
            <w:shd w:val="clear" w:color="auto" w:fill="D9D9D9"/>
            <w:vAlign w:val="center"/>
          </w:tcPr>
          <w:p w:rsidR="00A04A9B" w:rsidRPr="00A27E50" w:rsidRDefault="00F15494" w:rsidP="00313BCE">
            <w:pPr>
              <w:contextualSpacing/>
              <w:jc w:val="center"/>
              <w:rPr>
                <w:rFonts w:cs="Arial"/>
                <w:b/>
                <w:bCs/>
                <w:color w:val="000000"/>
                <w:sz w:val="20"/>
                <w:szCs w:val="20"/>
                <w:lang w:eastAsia="en-AU"/>
              </w:rPr>
            </w:pPr>
            <w:r>
              <w:rPr>
                <w:rFonts w:cs="Arial"/>
                <w:b/>
                <w:bCs/>
                <w:color w:val="000000"/>
                <w:sz w:val="20"/>
                <w:szCs w:val="20"/>
                <w:lang w:eastAsia="en-AU"/>
              </w:rPr>
              <w:t>328</w:t>
            </w:r>
          </w:p>
        </w:tc>
        <w:tc>
          <w:tcPr>
            <w:tcW w:w="0" w:type="auto"/>
            <w:shd w:val="clear" w:color="auto" w:fill="D9D9D9"/>
            <w:vAlign w:val="center"/>
          </w:tcPr>
          <w:p w:rsidR="00A04A9B" w:rsidRPr="00A27E50" w:rsidRDefault="00F15494" w:rsidP="00313BCE">
            <w:pPr>
              <w:contextualSpacing/>
              <w:jc w:val="center"/>
              <w:rPr>
                <w:rFonts w:cs="Arial"/>
                <w:b/>
                <w:bCs/>
                <w:color w:val="000000"/>
                <w:sz w:val="20"/>
                <w:szCs w:val="20"/>
                <w:lang w:eastAsia="en-AU"/>
              </w:rPr>
            </w:pPr>
            <w:r>
              <w:rPr>
                <w:rFonts w:cs="Arial"/>
                <w:b/>
                <w:bCs/>
                <w:color w:val="000000"/>
                <w:sz w:val="20"/>
                <w:szCs w:val="20"/>
                <w:lang w:eastAsia="en-AU"/>
              </w:rPr>
              <w:t>40</w:t>
            </w:r>
          </w:p>
        </w:tc>
        <w:tc>
          <w:tcPr>
            <w:tcW w:w="0" w:type="auto"/>
            <w:shd w:val="clear" w:color="auto" w:fill="D9D9D9"/>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3,913</w:t>
            </w:r>
          </w:p>
        </w:tc>
        <w:tc>
          <w:tcPr>
            <w:tcW w:w="0" w:type="auto"/>
            <w:shd w:val="clear" w:color="auto" w:fill="D9D9D9"/>
            <w:vAlign w:val="center"/>
          </w:tcPr>
          <w:p w:rsidR="00A04A9B" w:rsidRPr="00A27E50" w:rsidRDefault="00F15494" w:rsidP="00313BCE">
            <w:pPr>
              <w:contextualSpacing/>
              <w:jc w:val="center"/>
              <w:rPr>
                <w:rFonts w:cs="Arial"/>
                <w:b/>
                <w:color w:val="000000"/>
                <w:sz w:val="20"/>
                <w:szCs w:val="20"/>
                <w:lang w:eastAsia="en-AU"/>
              </w:rPr>
            </w:pPr>
            <w:r>
              <w:rPr>
                <w:rFonts w:cs="Arial"/>
                <w:b/>
                <w:color w:val="000000"/>
                <w:sz w:val="20"/>
                <w:szCs w:val="20"/>
                <w:lang w:eastAsia="en-AU"/>
              </w:rPr>
              <w:t>8</w:t>
            </w:r>
          </w:p>
        </w:tc>
      </w:tr>
      <w:tr w:rsidR="00D33485" w:rsidRPr="00A27E50" w:rsidTr="003D1A77">
        <w:trPr>
          <w:trHeight w:val="31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Gippsland</w:t>
            </w:r>
            <w:r>
              <w:rPr>
                <w:rFonts w:cs="Arial"/>
                <w:color w:val="000000"/>
                <w:sz w:val="20"/>
                <w:szCs w:val="20"/>
                <w:lang w:eastAsia="en-AU"/>
              </w:rPr>
              <w:t xml:space="preserve"> Basin</w:t>
            </w:r>
            <w:r w:rsidRPr="00A27E50">
              <w:rPr>
                <w:rFonts w:cs="Arial"/>
                <w:color w:val="000000"/>
                <w:sz w:val="20"/>
                <w:szCs w:val="20"/>
                <w:lang w:eastAsia="en-AU"/>
              </w:rPr>
              <w:t xml:space="preserve"> JV</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ExxonMobil 50% (operator)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BHPB 50% </w:t>
            </w:r>
          </w:p>
        </w:tc>
        <w:tc>
          <w:tcPr>
            <w:tcW w:w="0" w:type="auto"/>
            <w:vAlign w:val="center"/>
          </w:tcPr>
          <w:p w:rsidR="00A04A9B" w:rsidRPr="00A27E50" w:rsidRDefault="003A27EC"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217</w:t>
            </w:r>
          </w:p>
        </w:tc>
        <w:tc>
          <w:tcPr>
            <w:tcW w:w="0" w:type="auto"/>
            <w:vAlign w:val="center"/>
            <w:hideMark/>
          </w:tcPr>
          <w:p w:rsidR="00A04A9B" w:rsidRPr="00A27E50" w:rsidRDefault="00F15494" w:rsidP="00313BCE">
            <w:pPr>
              <w:contextualSpacing/>
              <w:jc w:val="center"/>
              <w:rPr>
                <w:rFonts w:cs="Arial"/>
                <w:color w:val="000000"/>
                <w:sz w:val="20"/>
                <w:szCs w:val="20"/>
                <w:lang w:eastAsia="en-AU"/>
              </w:rPr>
            </w:pPr>
            <w:r>
              <w:rPr>
                <w:rFonts w:cs="Arial"/>
                <w:color w:val="000000"/>
                <w:sz w:val="20"/>
                <w:szCs w:val="20"/>
                <w:lang w:eastAsia="en-AU"/>
              </w:rPr>
              <w:t>26</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2,</w:t>
            </w:r>
            <w:r w:rsidR="00F15494">
              <w:rPr>
                <w:rFonts w:cs="Arial"/>
                <w:color w:val="000000"/>
                <w:sz w:val="20"/>
                <w:szCs w:val="20"/>
                <w:lang w:eastAsia="en-AU"/>
              </w:rPr>
              <w:t>484</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5</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688"/>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Kipper Gas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ExxonMobil 32.5% (operator)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BHPB 32.5% </w:t>
            </w:r>
          </w:p>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Santos 35% (in development first gas 2016) </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622</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p>
        </w:tc>
      </w:tr>
      <w:tr w:rsidR="00D33485" w:rsidRPr="00A27E50" w:rsidTr="003D1A77">
        <w:trPr>
          <w:trHeight w:val="315"/>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Longtom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Seven Holdings 100% </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7</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p>
        </w:tc>
        <w:tc>
          <w:tcPr>
            <w:tcW w:w="0" w:type="auto"/>
            <w:noWrap/>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0</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610"/>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BassGas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Origin 42.5%, AWE 35%, Toyota Tsusho 11.25%, Prize Petroleum International 11.25%.</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1</w:t>
            </w:r>
            <w:r w:rsidR="00D06627">
              <w:rPr>
                <w:rFonts w:cs="Arial"/>
                <w:color w:val="000000"/>
                <w:sz w:val="20"/>
                <w:szCs w:val="20"/>
                <w:lang w:eastAsia="en-AU"/>
              </w:rPr>
              <w:t>2</w:t>
            </w:r>
          </w:p>
        </w:tc>
        <w:tc>
          <w:tcPr>
            <w:tcW w:w="0" w:type="auto"/>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1</w:t>
            </w:r>
          </w:p>
        </w:tc>
        <w:tc>
          <w:tcPr>
            <w:tcW w:w="0" w:type="auto"/>
            <w:noWrap/>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158</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r>
      <w:tr w:rsidR="00D33485" w:rsidRPr="00A27E50" w:rsidTr="003D1A77">
        <w:trPr>
          <w:trHeight w:val="407"/>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Otway </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Origin 67.23%, Benaris 27.77% and Toyota Tsusho 5%</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4</w:t>
            </w:r>
            <w:r w:rsidR="00D06627">
              <w:rPr>
                <w:rFonts w:cs="Arial"/>
                <w:color w:val="000000"/>
                <w:sz w:val="20"/>
                <w:szCs w:val="20"/>
                <w:lang w:eastAsia="en-AU"/>
              </w:rPr>
              <w:t>3</w:t>
            </w:r>
          </w:p>
        </w:tc>
        <w:tc>
          <w:tcPr>
            <w:tcW w:w="0" w:type="auto"/>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5</w:t>
            </w:r>
          </w:p>
        </w:tc>
        <w:tc>
          <w:tcPr>
            <w:tcW w:w="0" w:type="auto"/>
            <w:noWrap/>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280</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1</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413"/>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Casino/Henty</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Santos 50% (operator), AWE 25%, Mitsui 25%.</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2</w:t>
            </w:r>
            <w:r w:rsidR="00D06627">
              <w:rPr>
                <w:rFonts w:cs="Arial"/>
                <w:color w:val="000000"/>
                <w:sz w:val="20"/>
                <w:szCs w:val="20"/>
                <w:lang w:eastAsia="en-AU"/>
              </w:rPr>
              <w:t>6</w:t>
            </w:r>
          </w:p>
        </w:tc>
        <w:tc>
          <w:tcPr>
            <w:tcW w:w="0" w:type="auto"/>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3</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216</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r>
      <w:tr w:rsidR="00D33485" w:rsidRPr="00A27E50" w:rsidTr="003D1A77">
        <w:trPr>
          <w:trHeight w:val="404"/>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Minerva</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BHP Billiton 90% (operator), Santos 10% </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No</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2</w:t>
            </w:r>
            <w:r>
              <w:rPr>
                <w:rFonts w:cs="Arial"/>
                <w:color w:val="000000"/>
                <w:sz w:val="20"/>
                <w:szCs w:val="20"/>
                <w:lang w:eastAsia="en-AU"/>
              </w:rPr>
              <w:t>4</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3</w:t>
            </w:r>
          </w:p>
        </w:tc>
        <w:tc>
          <w:tcPr>
            <w:tcW w:w="0" w:type="auto"/>
            <w:noWrap/>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82</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r>
      <w:tr w:rsidR="00D33485" w:rsidRPr="00A27E50" w:rsidTr="003D1A77">
        <w:trPr>
          <w:cnfStyle w:val="000000100000" w:firstRow="0" w:lastRow="0" w:firstColumn="0" w:lastColumn="0" w:oddVBand="0" w:evenVBand="0" w:oddHBand="1" w:evenHBand="0" w:firstRowFirstColumn="0" w:firstRowLastColumn="0" w:lastRowFirstColumn="0" w:lastRowLastColumn="0"/>
          <w:trHeight w:val="411"/>
        </w:trPr>
        <w:tc>
          <w:tcPr>
            <w:tcW w:w="0" w:type="auto"/>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Origin (Halladale)</w:t>
            </w:r>
          </w:p>
        </w:tc>
        <w:tc>
          <w:tcPr>
            <w:tcW w:w="0" w:type="auto"/>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 xml:space="preserve">Origin 100% (no production developed) </w:t>
            </w:r>
          </w:p>
        </w:tc>
        <w:tc>
          <w:tcPr>
            <w:tcW w:w="0" w:type="auto"/>
            <w:vAlign w:val="center"/>
          </w:tcPr>
          <w:p w:rsidR="00A04A9B" w:rsidRPr="00A27E50" w:rsidRDefault="00A609CF" w:rsidP="00313BCE">
            <w:pPr>
              <w:contextualSpacing/>
              <w:jc w:val="center"/>
              <w:rPr>
                <w:rFonts w:cs="Arial"/>
                <w:color w:val="000000"/>
                <w:sz w:val="20"/>
                <w:szCs w:val="20"/>
                <w:lang w:eastAsia="en-AU"/>
              </w:rPr>
            </w:pPr>
            <w:r>
              <w:rPr>
                <w:rFonts w:cs="Arial"/>
                <w:color w:val="000000"/>
                <w:sz w:val="20"/>
                <w:szCs w:val="20"/>
                <w:lang w:eastAsia="en-AU"/>
              </w:rPr>
              <w:t>Yes</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c>
          <w:tcPr>
            <w:tcW w:w="0" w:type="auto"/>
            <w:vAlign w:val="center"/>
            <w:hideMark/>
          </w:tcPr>
          <w:p w:rsidR="00A04A9B" w:rsidRPr="00A27E50" w:rsidRDefault="00A04A9B" w:rsidP="00313BCE">
            <w:pPr>
              <w:contextualSpacing/>
              <w:jc w:val="center"/>
              <w:rPr>
                <w:rFonts w:cs="Arial"/>
                <w:color w:val="000000"/>
                <w:sz w:val="20"/>
                <w:szCs w:val="20"/>
                <w:lang w:eastAsia="en-AU"/>
              </w:rPr>
            </w:pPr>
            <w:r>
              <w:rPr>
                <w:rFonts w:cs="Arial"/>
                <w:color w:val="000000"/>
                <w:sz w:val="20"/>
                <w:szCs w:val="20"/>
                <w:lang w:eastAsia="en-AU"/>
              </w:rPr>
              <w:t>0</w:t>
            </w:r>
          </w:p>
        </w:tc>
        <w:tc>
          <w:tcPr>
            <w:tcW w:w="0" w:type="auto"/>
            <w:noWrap/>
            <w:vAlign w:val="center"/>
            <w:hideMark/>
          </w:tcPr>
          <w:p w:rsidR="00A04A9B" w:rsidRPr="00A27E50" w:rsidRDefault="00D06627" w:rsidP="00313BCE">
            <w:pPr>
              <w:contextualSpacing/>
              <w:jc w:val="center"/>
              <w:rPr>
                <w:rFonts w:cs="Arial"/>
                <w:color w:val="000000"/>
                <w:sz w:val="20"/>
                <w:szCs w:val="20"/>
                <w:lang w:eastAsia="en-AU"/>
              </w:rPr>
            </w:pPr>
            <w:r>
              <w:rPr>
                <w:rFonts w:cs="Arial"/>
                <w:color w:val="000000"/>
                <w:sz w:val="20"/>
                <w:szCs w:val="20"/>
                <w:lang w:eastAsia="en-AU"/>
              </w:rPr>
              <w:t>71</w:t>
            </w:r>
          </w:p>
        </w:tc>
        <w:tc>
          <w:tcPr>
            <w:tcW w:w="0" w:type="auto"/>
            <w:noWrap/>
            <w:vAlign w:val="center"/>
            <w:hideMark/>
          </w:tcPr>
          <w:p w:rsidR="00A04A9B" w:rsidRPr="00A27E50" w:rsidRDefault="00A04A9B" w:rsidP="00313BCE">
            <w:pPr>
              <w:contextualSpacing/>
              <w:jc w:val="center"/>
              <w:rPr>
                <w:rFonts w:cs="Arial"/>
                <w:color w:val="000000"/>
                <w:sz w:val="20"/>
                <w:szCs w:val="20"/>
                <w:lang w:eastAsia="en-AU"/>
              </w:rPr>
            </w:pPr>
            <w:r w:rsidRPr="00A27E50">
              <w:rPr>
                <w:rFonts w:cs="Arial"/>
                <w:color w:val="000000"/>
                <w:sz w:val="20"/>
                <w:szCs w:val="20"/>
                <w:lang w:eastAsia="en-AU"/>
              </w:rPr>
              <w:t>0</w:t>
            </w:r>
          </w:p>
        </w:tc>
      </w:tr>
      <w:tr w:rsidR="00A04A9B" w:rsidRPr="00A27E50" w:rsidTr="003D1A77">
        <w:trPr>
          <w:trHeight w:val="300"/>
        </w:trPr>
        <w:tc>
          <w:tcPr>
            <w:tcW w:w="0" w:type="auto"/>
            <w:shd w:val="clear" w:color="auto" w:fill="D9D9D9"/>
            <w:noWrap/>
            <w:vAlign w:val="center"/>
            <w:hideMark/>
          </w:tcPr>
          <w:p w:rsidR="00A04A9B" w:rsidRPr="00A27E50" w:rsidRDefault="00A04A9B" w:rsidP="00313BCE">
            <w:pPr>
              <w:contextualSpacing/>
              <w:rPr>
                <w:rFonts w:cs="Arial"/>
                <w:color w:val="000000"/>
                <w:sz w:val="20"/>
                <w:szCs w:val="20"/>
                <w:lang w:eastAsia="en-AU"/>
              </w:rPr>
            </w:pPr>
            <w:r w:rsidRPr="00A27E50">
              <w:rPr>
                <w:rFonts w:cs="Arial"/>
                <w:color w:val="000000"/>
                <w:sz w:val="20"/>
                <w:szCs w:val="20"/>
                <w:lang w:eastAsia="en-AU"/>
              </w:rPr>
              <w:t>Total</w:t>
            </w:r>
          </w:p>
        </w:tc>
        <w:tc>
          <w:tcPr>
            <w:tcW w:w="0" w:type="auto"/>
            <w:shd w:val="clear" w:color="auto" w:fill="D9D9D9"/>
            <w:noWrap/>
            <w:vAlign w:val="center"/>
            <w:hideMark/>
          </w:tcPr>
          <w:p w:rsidR="00A04A9B" w:rsidRPr="00A27E50" w:rsidRDefault="00A04A9B" w:rsidP="00313BCE">
            <w:pPr>
              <w:contextualSpacing/>
              <w:rPr>
                <w:rFonts w:cs="Arial"/>
                <w:b/>
                <w:color w:val="000000"/>
                <w:sz w:val="20"/>
                <w:szCs w:val="20"/>
                <w:lang w:eastAsia="en-AU"/>
              </w:rPr>
            </w:pPr>
          </w:p>
        </w:tc>
        <w:tc>
          <w:tcPr>
            <w:tcW w:w="0" w:type="auto"/>
            <w:shd w:val="clear" w:color="auto" w:fill="D9D9D9"/>
            <w:vAlign w:val="center"/>
          </w:tcPr>
          <w:p w:rsidR="00A04A9B" w:rsidRPr="00A27E50" w:rsidRDefault="00A04A9B" w:rsidP="00313BCE">
            <w:pPr>
              <w:contextualSpacing/>
              <w:jc w:val="center"/>
              <w:rPr>
                <w:rFonts w:cs="Arial"/>
                <w:b/>
                <w:color w:val="000000"/>
                <w:sz w:val="20"/>
                <w:szCs w:val="20"/>
                <w:lang w:eastAsia="en-AU"/>
              </w:rPr>
            </w:pPr>
          </w:p>
        </w:tc>
        <w:tc>
          <w:tcPr>
            <w:tcW w:w="0" w:type="auto"/>
            <w:shd w:val="clear" w:color="auto" w:fill="D9D9D9"/>
            <w:noWrap/>
            <w:vAlign w:val="center"/>
            <w:hideMark/>
          </w:tcPr>
          <w:p w:rsidR="00A04A9B" w:rsidRPr="00A27E50" w:rsidRDefault="00D06627" w:rsidP="00313BCE">
            <w:pPr>
              <w:contextualSpacing/>
              <w:jc w:val="center"/>
              <w:rPr>
                <w:rFonts w:cs="Arial"/>
                <w:b/>
                <w:color w:val="000000"/>
                <w:sz w:val="20"/>
                <w:szCs w:val="20"/>
                <w:lang w:eastAsia="en-AU"/>
              </w:rPr>
            </w:pPr>
            <w:r>
              <w:rPr>
                <w:rFonts w:cs="Arial"/>
                <w:b/>
                <w:color w:val="000000"/>
                <w:sz w:val="20"/>
                <w:szCs w:val="20"/>
                <w:lang w:eastAsia="en-AU"/>
              </w:rPr>
              <w:t>835</w:t>
            </w:r>
          </w:p>
        </w:tc>
        <w:tc>
          <w:tcPr>
            <w:tcW w:w="0" w:type="auto"/>
            <w:shd w:val="clear" w:color="auto" w:fill="D9D9D9"/>
            <w:noWrap/>
            <w:vAlign w:val="center"/>
            <w:hideMark/>
          </w:tcPr>
          <w:p w:rsidR="00A04A9B" w:rsidRPr="00A27E50" w:rsidRDefault="00A04A9B" w:rsidP="00313BCE">
            <w:pPr>
              <w:contextualSpacing/>
              <w:jc w:val="center"/>
              <w:rPr>
                <w:rFonts w:cs="Arial"/>
                <w:b/>
                <w:color w:val="000000"/>
                <w:sz w:val="20"/>
                <w:szCs w:val="20"/>
                <w:lang w:eastAsia="en-AU"/>
              </w:rPr>
            </w:pPr>
            <w:r w:rsidRPr="00A27E50">
              <w:rPr>
                <w:rFonts w:cs="Arial"/>
                <w:b/>
                <w:color w:val="000000"/>
                <w:sz w:val="20"/>
                <w:szCs w:val="20"/>
                <w:lang w:eastAsia="en-AU"/>
              </w:rPr>
              <w:t>-</w:t>
            </w:r>
          </w:p>
        </w:tc>
        <w:tc>
          <w:tcPr>
            <w:tcW w:w="0" w:type="auto"/>
            <w:shd w:val="clear" w:color="auto" w:fill="D9D9D9"/>
            <w:noWrap/>
            <w:vAlign w:val="center"/>
            <w:hideMark/>
          </w:tcPr>
          <w:p w:rsidR="00A04A9B" w:rsidRPr="00A27E50" w:rsidRDefault="00A04A9B" w:rsidP="00313BCE">
            <w:pPr>
              <w:contextualSpacing/>
              <w:jc w:val="center"/>
              <w:rPr>
                <w:rFonts w:cs="Arial"/>
                <w:b/>
                <w:color w:val="000000"/>
                <w:sz w:val="20"/>
                <w:szCs w:val="20"/>
                <w:lang w:eastAsia="en-AU"/>
              </w:rPr>
            </w:pPr>
            <w:r w:rsidRPr="00A27E50">
              <w:rPr>
                <w:rFonts w:cs="Arial"/>
                <w:b/>
                <w:color w:val="000000"/>
                <w:sz w:val="20"/>
                <w:szCs w:val="20"/>
                <w:lang w:eastAsia="en-AU"/>
              </w:rPr>
              <w:t>4</w:t>
            </w:r>
            <w:r w:rsidR="00D06627">
              <w:rPr>
                <w:rFonts w:cs="Arial"/>
                <w:b/>
                <w:color w:val="000000"/>
                <w:sz w:val="20"/>
                <w:szCs w:val="20"/>
                <w:lang w:eastAsia="en-AU"/>
              </w:rPr>
              <w:t>8,735</w:t>
            </w:r>
          </w:p>
        </w:tc>
        <w:tc>
          <w:tcPr>
            <w:tcW w:w="0" w:type="auto"/>
            <w:shd w:val="clear" w:color="auto" w:fill="D9D9D9"/>
            <w:noWrap/>
            <w:vAlign w:val="center"/>
            <w:hideMark/>
          </w:tcPr>
          <w:p w:rsidR="00A04A9B" w:rsidRPr="00A27E50" w:rsidRDefault="00A04A9B" w:rsidP="00313BCE">
            <w:pPr>
              <w:contextualSpacing/>
              <w:jc w:val="center"/>
              <w:rPr>
                <w:rFonts w:cs="Arial"/>
                <w:b/>
                <w:color w:val="000000"/>
                <w:sz w:val="20"/>
                <w:szCs w:val="20"/>
                <w:lang w:eastAsia="en-AU"/>
              </w:rPr>
            </w:pPr>
            <w:r w:rsidRPr="00A27E50">
              <w:rPr>
                <w:rFonts w:cs="Arial"/>
                <w:b/>
                <w:color w:val="000000"/>
                <w:sz w:val="20"/>
                <w:szCs w:val="20"/>
                <w:lang w:eastAsia="en-AU"/>
              </w:rPr>
              <w:t>-</w:t>
            </w:r>
          </w:p>
        </w:tc>
      </w:tr>
    </w:tbl>
    <w:p w:rsidR="00D06627" w:rsidRDefault="007E460B" w:rsidP="008457BB">
      <w:pPr>
        <w:pStyle w:val="Source"/>
        <w:spacing w:before="40" w:after="0"/>
      </w:pPr>
      <w:r>
        <w:t xml:space="preserve">Source: Energy Quest </w:t>
      </w:r>
      <w:r w:rsidR="006C5ED3">
        <w:t xml:space="preserve">unpublished data, </w:t>
      </w:r>
      <w:r w:rsidR="00D06627">
        <w:t>August</w:t>
      </w:r>
      <w:r>
        <w:t xml:space="preserve"> 2015</w:t>
      </w:r>
      <w:r w:rsidR="00D06627">
        <w:t xml:space="preserve"> (numbers may not add up due to rounding).</w:t>
      </w:r>
    </w:p>
    <w:p w:rsidR="00D06627" w:rsidRDefault="00056C0D" w:rsidP="00056C0D">
      <w:pPr>
        <w:pStyle w:val="Source"/>
        <w:spacing w:before="40" w:after="0"/>
      </w:pPr>
      <w:r>
        <w:t>Notes: a</w:t>
      </w:r>
      <w:r w:rsidR="0075416E">
        <w:t xml:space="preserve"> </w:t>
      </w:r>
      <w:r>
        <w:t xml:space="preserve"> </w:t>
      </w:r>
      <w:r w:rsidR="008457BB">
        <w:t>The</w:t>
      </w:r>
      <w:r w:rsidR="0075416E" w:rsidRPr="0075416E">
        <w:t xml:space="preserve"> ACCC </w:t>
      </w:r>
      <w:r w:rsidR="008457BB">
        <w:t>is using</w:t>
      </w:r>
      <w:r w:rsidR="0075416E" w:rsidRPr="0075416E">
        <w:t xml:space="preserve"> the expression ‘LNG alignment’ where one or more parties have significant ownership interests in both gas reserves and LNG facilities. However, this does not necessarily mean that all gas in an LNG aligned project is destined to be sent to an LNG plant.</w:t>
      </w:r>
      <w:r>
        <w:t xml:space="preserve">  b  </w:t>
      </w:r>
      <w:r w:rsidR="002147D5">
        <w:t xml:space="preserve">Reserve figures in this section are reserves held by the LNG joint ventures themselves. Reserves held by members of those JVs in their own right are listed separately. </w:t>
      </w:r>
      <w:r>
        <w:t xml:space="preserve">  c  </w:t>
      </w:r>
      <w:r w:rsidR="005D73F1" w:rsidRPr="002D7724">
        <w:t>APLNG and QCLNG production has been increasing with t</w:t>
      </w:r>
      <w:r w:rsidR="005D73F1">
        <w:t>he start up on the LNG trains</w:t>
      </w:r>
    </w:p>
    <w:p w:rsidR="00BC7EFA" w:rsidRPr="002D7724" w:rsidRDefault="00BC7EFA" w:rsidP="00C57F08">
      <w:pPr>
        <w:pStyle w:val="Numberedlist"/>
        <w:numPr>
          <w:ilvl w:val="0"/>
          <w:numId w:val="0"/>
        </w:numPr>
        <w:ind w:left="360" w:hanging="360"/>
        <w:rPr>
          <w:rFonts w:eastAsia="Times New Roman" w:cs="Arial"/>
          <w:color w:val="auto"/>
          <w:sz w:val="18"/>
          <w:szCs w:val="18"/>
        </w:rPr>
        <w:sectPr w:rsidR="00BC7EFA" w:rsidRPr="002D7724" w:rsidSect="00313BCE">
          <w:pgSz w:w="16838" w:h="11906" w:orient="landscape" w:code="9"/>
          <w:pgMar w:top="1418" w:right="1440" w:bottom="709" w:left="1582" w:header="709" w:footer="1009" w:gutter="0"/>
          <w:cols w:space="708"/>
          <w:titlePg/>
          <w:docGrid w:linePitch="360"/>
        </w:sectPr>
      </w:pPr>
    </w:p>
    <w:p w:rsidR="00432F8E" w:rsidRDefault="00432F8E" w:rsidP="00432F8E">
      <w:pPr>
        <w:pStyle w:val="Numberedlist"/>
        <w:ind w:left="357" w:hanging="357"/>
      </w:pPr>
      <w:r w:rsidRPr="001729F0">
        <w:rPr>
          <w:b/>
        </w:rPr>
        <w:lastRenderedPageBreak/>
        <w:fldChar w:fldCharType="begin"/>
      </w:r>
      <w:r w:rsidRPr="001729F0">
        <w:rPr>
          <w:b/>
        </w:rPr>
        <w:instrText xml:space="preserve"> REF _Ref429731877 \h </w:instrText>
      </w:r>
      <w:r>
        <w:rPr>
          <w:b/>
        </w:rPr>
        <w:instrText xml:space="preserve"> \* MERGEFORMAT </w:instrText>
      </w:r>
      <w:r w:rsidRPr="001729F0">
        <w:rPr>
          <w:b/>
        </w:rPr>
      </w:r>
      <w:r w:rsidRPr="001729F0">
        <w:rPr>
          <w:b/>
        </w:rPr>
        <w:fldChar w:fldCharType="separate"/>
      </w:r>
      <w:r w:rsidR="008F45CC" w:rsidRPr="008F45CC">
        <w:rPr>
          <w:rFonts w:cs="Arial"/>
          <w:b/>
        </w:rPr>
        <w:t>Table 3</w:t>
      </w:r>
      <w:r w:rsidRPr="001729F0">
        <w:rPr>
          <w:b/>
        </w:rPr>
        <w:fldChar w:fldCharType="end"/>
      </w:r>
      <w:r>
        <w:t xml:space="preserve"> illustrates several </w:t>
      </w:r>
      <w:r w:rsidR="000E47D2">
        <w:t>key features of the market:</w:t>
      </w:r>
    </w:p>
    <w:p w:rsidR="00E01FE4" w:rsidRDefault="00E01FE4" w:rsidP="008F45CC">
      <w:pPr>
        <w:pStyle w:val="Numbered"/>
        <w:numPr>
          <w:ilvl w:val="0"/>
          <w:numId w:val="10"/>
        </w:numPr>
      </w:pPr>
      <w:r>
        <w:t>The vast majority</w:t>
      </w:r>
      <w:r w:rsidR="00570ABC">
        <w:t xml:space="preserve"> </w:t>
      </w:r>
      <w:r w:rsidR="009E3E7C">
        <w:t>(</w:t>
      </w:r>
      <w:r w:rsidR="00631DF2">
        <w:t xml:space="preserve">about </w:t>
      </w:r>
      <w:r w:rsidR="009E3E7C">
        <w:t xml:space="preserve">68%) </w:t>
      </w:r>
      <w:r w:rsidR="00570ABC">
        <w:t>of eastern Australia</w:t>
      </w:r>
      <w:r w:rsidR="00B86E00">
        <w:t>n 2P</w:t>
      </w:r>
      <w:r w:rsidR="00570ABC">
        <w:t xml:space="preserve"> </w:t>
      </w:r>
      <w:r>
        <w:t xml:space="preserve">gas reserves are held by </w:t>
      </w:r>
      <w:r w:rsidR="00955CB3">
        <w:t>market participants that are</w:t>
      </w:r>
      <w:r>
        <w:t xml:space="preserve"> </w:t>
      </w:r>
      <w:r w:rsidR="00955CB3">
        <w:t>aligned</w:t>
      </w:r>
      <w:r w:rsidR="00C70A64">
        <w:t xml:space="preserve"> with the LNG plants.</w:t>
      </w:r>
      <w:r w:rsidR="00B86E00">
        <w:t xml:space="preserve"> This </w:t>
      </w:r>
      <w:r w:rsidR="00BD6AD0">
        <w:t xml:space="preserve">would increase to </w:t>
      </w:r>
      <w:r w:rsidR="00895594">
        <w:t xml:space="preserve">about </w:t>
      </w:r>
      <w:r w:rsidR="00B86E00">
        <w:t>86% if Arrow’s reserves become aligned to QCLNG.</w:t>
      </w:r>
    </w:p>
    <w:p w:rsidR="00815339" w:rsidRDefault="00815339" w:rsidP="008F45CC">
      <w:pPr>
        <w:pStyle w:val="Numbered"/>
        <w:numPr>
          <w:ilvl w:val="0"/>
          <w:numId w:val="10"/>
        </w:numPr>
      </w:pPr>
      <w:r>
        <w:t xml:space="preserve">Arrow’s reserves </w:t>
      </w:r>
      <w:r w:rsidR="00955CB3">
        <w:t>represent</w:t>
      </w:r>
      <w:r>
        <w:t xml:space="preserve"> </w:t>
      </w:r>
      <w:r w:rsidR="00955CB3">
        <w:t xml:space="preserve">a substantial </w:t>
      </w:r>
      <w:r w:rsidR="00955CB3" w:rsidRPr="00955CB3">
        <w:t xml:space="preserve">proportion </w:t>
      </w:r>
      <w:r>
        <w:t xml:space="preserve">of </w:t>
      </w:r>
      <w:r w:rsidR="00B86E00">
        <w:t xml:space="preserve">2P </w:t>
      </w:r>
      <w:r>
        <w:t>reserves that are currently not aligned with an LNG plant</w:t>
      </w:r>
      <w:r w:rsidR="00955CB3">
        <w:t xml:space="preserve"> </w:t>
      </w:r>
      <w:r w:rsidR="00895594">
        <w:t>(</w:t>
      </w:r>
      <w:r w:rsidR="00B86E00">
        <w:t>over 56</w:t>
      </w:r>
      <w:r w:rsidR="00955CB3">
        <w:t>%</w:t>
      </w:r>
      <w:r w:rsidR="00895594">
        <w:t>)</w:t>
      </w:r>
      <w:r w:rsidR="00955CB3">
        <w:t xml:space="preserve"> and are the largest share of unaligned gas reserves</w:t>
      </w:r>
      <w:r>
        <w:t>.</w:t>
      </w:r>
    </w:p>
    <w:p w:rsidR="00C70A64" w:rsidRDefault="00955CB3" w:rsidP="008F45CC">
      <w:pPr>
        <w:pStyle w:val="Numbered"/>
        <w:numPr>
          <w:ilvl w:val="0"/>
          <w:numId w:val="10"/>
        </w:numPr>
      </w:pPr>
      <w:r>
        <w:t>Currently, th</w:t>
      </w:r>
      <w:r w:rsidR="00C70A64">
        <w:t xml:space="preserve">e largest </w:t>
      </w:r>
      <w:r>
        <w:t>gas</w:t>
      </w:r>
      <w:r w:rsidR="00C70A64">
        <w:t xml:space="preserve"> producer </w:t>
      </w:r>
      <w:r>
        <w:t>in eastern Australia</w:t>
      </w:r>
      <w:r w:rsidR="00C70A64">
        <w:t xml:space="preserve"> is the Gippsland </w:t>
      </w:r>
      <w:r w:rsidR="000E47D2">
        <w:t xml:space="preserve">Basin </w:t>
      </w:r>
      <w:r w:rsidR="00C70A64">
        <w:t>JV between ExxonMobil and BHPB.</w:t>
      </w:r>
      <w:r w:rsidR="00E2328D">
        <w:t xml:space="preserve"> Neither ExxonMobil nor BHPB have a</w:t>
      </w:r>
      <w:r w:rsidR="00A82E95">
        <w:t>n</w:t>
      </w:r>
      <w:r w:rsidR="00E2328D">
        <w:t xml:space="preserve"> ownership interest in any of the LNG plants in Queensland.</w:t>
      </w:r>
      <w:r w:rsidR="00573288">
        <w:t xml:space="preserve"> </w:t>
      </w:r>
    </w:p>
    <w:p w:rsidR="00DE3009" w:rsidRDefault="00DE3009" w:rsidP="008F45CC">
      <w:pPr>
        <w:pStyle w:val="Numbered"/>
        <w:numPr>
          <w:ilvl w:val="0"/>
          <w:numId w:val="10"/>
        </w:numPr>
      </w:pPr>
      <w:r>
        <w:t xml:space="preserve">While there are a number of smaller </w:t>
      </w:r>
      <w:r w:rsidR="00955CB3">
        <w:t xml:space="preserve">gas </w:t>
      </w:r>
      <w:r>
        <w:t>suppliers in the market, their collective market share is small both as a proportion of production and as a proportion of reserves.</w:t>
      </w:r>
    </w:p>
    <w:p w:rsidR="00C0139B" w:rsidRDefault="00570ABC" w:rsidP="001729F0">
      <w:pPr>
        <w:pStyle w:val="Numberedlist"/>
        <w:ind w:left="357" w:hanging="357"/>
      </w:pPr>
      <w:r>
        <w:t>The proposed acquisition would further increase the proportion of eastern</w:t>
      </w:r>
      <w:r w:rsidR="00B4646D">
        <w:t xml:space="preserve"> Australian gas reserves that are aligned with an LNG </w:t>
      </w:r>
      <w:r w:rsidR="00955CB3">
        <w:t>plant</w:t>
      </w:r>
      <w:r w:rsidR="00B4646D">
        <w:t>.</w:t>
      </w:r>
      <w:r w:rsidR="000E47D2">
        <w:t xml:space="preserve"> </w:t>
      </w:r>
      <w:r w:rsidR="00C84011">
        <w:t>During the ACCC’s market inquiries, many m</w:t>
      </w:r>
      <w:r w:rsidR="003A680B">
        <w:t xml:space="preserve">arket participants </w:t>
      </w:r>
      <w:r w:rsidR="00C84011">
        <w:t xml:space="preserve">expressed significant concerns </w:t>
      </w:r>
      <w:r w:rsidR="003A680B">
        <w:t>that, by</w:t>
      </w:r>
      <w:r w:rsidR="00C84011">
        <w:t xml:space="preserve"> </w:t>
      </w:r>
      <w:r w:rsidR="000E47D2">
        <w:t xml:space="preserve">increasing </w:t>
      </w:r>
      <w:r w:rsidR="003A680B">
        <w:t xml:space="preserve">the </w:t>
      </w:r>
      <w:r w:rsidR="000E47D2">
        <w:t>concentration</w:t>
      </w:r>
      <w:r w:rsidR="003A680B">
        <w:t xml:space="preserve"> of gas reserves</w:t>
      </w:r>
      <w:r w:rsidR="000E47D2">
        <w:t xml:space="preserve"> </w:t>
      </w:r>
      <w:r w:rsidR="003A680B">
        <w:t xml:space="preserve">that are aligned with LNG plants, </w:t>
      </w:r>
      <w:r w:rsidR="003A680B" w:rsidRPr="003A680B">
        <w:t>the proposed acquisition</w:t>
      </w:r>
      <w:r w:rsidR="003A680B">
        <w:t xml:space="preserve"> would substantially lessen competition for the </w:t>
      </w:r>
      <w:r w:rsidR="003A680B" w:rsidRPr="003A680B">
        <w:t xml:space="preserve">wholesale production and supply of natural gas in </w:t>
      </w:r>
      <w:r w:rsidR="003A680B">
        <w:t>the domestic market (in Queensland or eastern Australia)</w:t>
      </w:r>
      <w:r w:rsidR="000E47D2">
        <w:t>.</w:t>
      </w:r>
    </w:p>
    <w:p w:rsidR="00C0139B" w:rsidRDefault="003A680B" w:rsidP="001729F0">
      <w:pPr>
        <w:pStyle w:val="Numberedlist"/>
        <w:ind w:left="357" w:hanging="357"/>
      </w:pPr>
      <w:r>
        <w:t>On the basis of the information available to it</w:t>
      </w:r>
      <w:r w:rsidR="00016EF5">
        <w:t xml:space="preserve">, </w:t>
      </w:r>
      <w:r>
        <w:t>the ACCC understands that many of the</w:t>
      </w:r>
      <w:r w:rsidR="000E47D2">
        <w:t xml:space="preserve"> operators listed in </w:t>
      </w:r>
      <w:r w:rsidR="00016EF5" w:rsidRPr="00016EF5">
        <w:rPr>
          <w:b/>
        </w:rPr>
        <w:fldChar w:fldCharType="begin"/>
      </w:r>
      <w:r w:rsidR="00016EF5" w:rsidRPr="001729F0">
        <w:rPr>
          <w:b/>
        </w:rPr>
        <w:instrText xml:space="preserve"> REF _Ref429731877 \h </w:instrText>
      </w:r>
      <w:r w:rsidR="00016EF5">
        <w:rPr>
          <w:b/>
        </w:rPr>
        <w:instrText xml:space="preserve"> \* MERGEFORMAT </w:instrText>
      </w:r>
      <w:r w:rsidR="00016EF5" w:rsidRPr="00016EF5">
        <w:rPr>
          <w:b/>
        </w:rPr>
      </w:r>
      <w:r w:rsidR="00016EF5" w:rsidRPr="00016EF5">
        <w:rPr>
          <w:b/>
        </w:rPr>
        <w:fldChar w:fldCharType="separate"/>
      </w:r>
      <w:r w:rsidR="008F45CC" w:rsidRPr="008F45CC">
        <w:rPr>
          <w:rFonts w:cs="Arial"/>
          <w:b/>
        </w:rPr>
        <w:t>Table 3</w:t>
      </w:r>
      <w:r w:rsidR="00016EF5" w:rsidRPr="00016EF5">
        <w:rPr>
          <w:b/>
        </w:rPr>
        <w:fldChar w:fldCharType="end"/>
      </w:r>
      <w:r w:rsidR="000E47D2">
        <w:t xml:space="preserve"> </w:t>
      </w:r>
      <w:r>
        <w:t>may be</w:t>
      </w:r>
      <w:r w:rsidR="000E47D2">
        <w:t xml:space="preserve"> </w:t>
      </w:r>
      <w:r w:rsidR="003C40AF">
        <w:t>unlikely</w:t>
      </w:r>
      <w:r w:rsidR="003C40AF" w:rsidRPr="003C40AF">
        <w:t xml:space="preserve"> to offer new gas supply agreements </w:t>
      </w:r>
      <w:r w:rsidR="003C40AF">
        <w:t xml:space="preserve">to </w:t>
      </w:r>
      <w:r w:rsidR="000E47D2">
        <w:t>domestic gas users</w:t>
      </w:r>
      <w:r w:rsidR="003C40AF">
        <w:t xml:space="preserve"> </w:t>
      </w:r>
      <w:r w:rsidR="003C40AF" w:rsidRPr="003C40AF">
        <w:t>in the</w:t>
      </w:r>
      <w:r w:rsidR="003C40AF">
        <w:t xml:space="preserve"> Queensland or</w:t>
      </w:r>
      <w:r w:rsidR="003C40AF" w:rsidRPr="003C40AF">
        <w:t xml:space="preserve"> east</w:t>
      </w:r>
      <w:r w:rsidR="003C40AF">
        <w:t>ern</w:t>
      </w:r>
      <w:r w:rsidR="003C40AF" w:rsidRPr="003C40AF">
        <w:t xml:space="preserve"> Australian wholesale gas market</w:t>
      </w:r>
      <w:r w:rsidR="00172AB2">
        <w:t>:</w:t>
      </w:r>
    </w:p>
    <w:p w:rsidR="002321D7" w:rsidRDefault="003C40AF" w:rsidP="008F45CC">
      <w:pPr>
        <w:pStyle w:val="Numbered"/>
        <w:numPr>
          <w:ilvl w:val="0"/>
          <w:numId w:val="10"/>
        </w:numPr>
      </w:pPr>
      <w:r>
        <w:t>T</w:t>
      </w:r>
      <w:r w:rsidR="002321D7">
        <w:t>he primary purpose of LNG plant owners holding gas reserves is to secure supply for their own LNG projects.</w:t>
      </w:r>
    </w:p>
    <w:p w:rsidR="002321D7" w:rsidRDefault="002321D7" w:rsidP="008F45CC">
      <w:pPr>
        <w:pStyle w:val="Numbered"/>
        <w:numPr>
          <w:ilvl w:val="0"/>
          <w:numId w:val="10"/>
        </w:numPr>
      </w:pPr>
      <w:r>
        <w:t xml:space="preserve">A number of operators </w:t>
      </w:r>
      <w:r w:rsidR="001A0BF6">
        <w:t xml:space="preserve">listed in </w:t>
      </w:r>
      <w:r w:rsidR="001A0BF6" w:rsidRPr="003A680B">
        <w:rPr>
          <w:b/>
        </w:rPr>
        <w:fldChar w:fldCharType="begin"/>
      </w:r>
      <w:r w:rsidR="001A0BF6" w:rsidRPr="003A680B">
        <w:rPr>
          <w:b/>
        </w:rPr>
        <w:instrText xml:space="preserve"> REF _Ref429731877 \h  \* MERGEFORMAT </w:instrText>
      </w:r>
      <w:r w:rsidR="001A0BF6" w:rsidRPr="003A680B">
        <w:rPr>
          <w:b/>
        </w:rPr>
      </w:r>
      <w:r w:rsidR="001A0BF6" w:rsidRPr="003A680B">
        <w:rPr>
          <w:b/>
        </w:rPr>
        <w:fldChar w:fldCharType="separate"/>
      </w:r>
      <w:r w:rsidR="008F45CC" w:rsidRPr="008F45CC">
        <w:rPr>
          <w:b/>
        </w:rPr>
        <w:t>Table 3</w:t>
      </w:r>
      <w:r w:rsidR="001A0BF6" w:rsidRPr="003A680B">
        <w:rPr>
          <w:b/>
        </w:rPr>
        <w:fldChar w:fldCharType="end"/>
      </w:r>
      <w:r w:rsidR="001A0BF6">
        <w:t xml:space="preserve"> </w:t>
      </w:r>
      <w:r>
        <w:t>have already committed their reserves to satisfying existing contract</w:t>
      </w:r>
      <w:r w:rsidR="003C40AF">
        <w:t>ual obligations (with domestic gas users and/or LNG plants)</w:t>
      </w:r>
      <w:r>
        <w:t>.</w:t>
      </w:r>
    </w:p>
    <w:p w:rsidR="00831A9A" w:rsidRDefault="008036BA" w:rsidP="008F45CC">
      <w:pPr>
        <w:pStyle w:val="Numbered"/>
        <w:numPr>
          <w:ilvl w:val="0"/>
          <w:numId w:val="10"/>
        </w:numPr>
      </w:pPr>
      <w:r>
        <w:t xml:space="preserve">Constraints </w:t>
      </w:r>
      <w:r w:rsidR="00B03812">
        <w:t xml:space="preserve">related to </w:t>
      </w:r>
      <w:r>
        <w:t xml:space="preserve">the pipeline network may </w:t>
      </w:r>
      <w:r w:rsidR="00B03812">
        <w:t>create barriers to</w:t>
      </w:r>
      <w:r>
        <w:t xml:space="preserve"> gas from particular suppliers being delivered to particular gas users</w:t>
      </w:r>
      <w:r w:rsidR="0091171A">
        <w:t>, or being delivered at a market price</w:t>
      </w:r>
      <w:r>
        <w:t>. These constraints may include c</w:t>
      </w:r>
      <w:r w:rsidR="00172AB2">
        <w:t>apacity constraints</w:t>
      </w:r>
      <w:r>
        <w:t xml:space="preserve"> in existing infrastructure</w:t>
      </w:r>
      <w:r w:rsidR="00172AB2">
        <w:t xml:space="preserve">, </w:t>
      </w:r>
      <w:r>
        <w:t xml:space="preserve">the </w:t>
      </w:r>
      <w:r w:rsidR="00452CA9">
        <w:t xml:space="preserve">directional </w:t>
      </w:r>
      <w:r>
        <w:t xml:space="preserve">flow of gas within the </w:t>
      </w:r>
      <w:r w:rsidR="00452CA9">
        <w:t>network</w:t>
      </w:r>
      <w:r>
        <w:t>, contractual commitments</w:t>
      </w:r>
      <w:r w:rsidR="00172AB2">
        <w:t xml:space="preserve">, and </w:t>
      </w:r>
      <w:r>
        <w:t xml:space="preserve">the costs of transportation. </w:t>
      </w:r>
    </w:p>
    <w:p w:rsidR="00AC0E10" w:rsidRDefault="00B03812" w:rsidP="00B03812">
      <w:pPr>
        <w:pStyle w:val="Numberedlist"/>
        <w:ind w:left="357" w:hanging="357"/>
      </w:pPr>
      <w:r>
        <w:t>In addition, t</w:t>
      </w:r>
      <w:r w:rsidR="00AC0E10">
        <w:t xml:space="preserve">he ACCC’s market inquiries suggested that </w:t>
      </w:r>
      <w:r w:rsidR="00B4318F">
        <w:t xml:space="preserve">some </w:t>
      </w:r>
      <w:r w:rsidR="00AC0E10">
        <w:t xml:space="preserve">larger domestic customers are </w:t>
      </w:r>
      <w:r>
        <w:t>reluctant</w:t>
      </w:r>
      <w:r w:rsidR="00AC0E10">
        <w:t xml:space="preserve"> to </w:t>
      </w:r>
      <w:r>
        <w:t>make</w:t>
      </w:r>
      <w:r w:rsidR="00AC0E10">
        <w:t xml:space="preserve"> gas supply agreements with smaller suppliers</w:t>
      </w:r>
      <w:r>
        <w:t>, due to concerns about</w:t>
      </w:r>
      <w:r w:rsidR="00B4318F">
        <w:t xml:space="preserve"> reliab</w:t>
      </w:r>
      <w:r>
        <w:t>i</w:t>
      </w:r>
      <w:r w:rsidR="00B4318F">
        <w:t>l</w:t>
      </w:r>
      <w:r>
        <w:t>ity</w:t>
      </w:r>
      <w:r w:rsidR="00B4318F">
        <w:t xml:space="preserve"> of </w:t>
      </w:r>
      <w:r w:rsidR="00AC0E10">
        <w:t>supply</w:t>
      </w:r>
      <w:r>
        <w:t xml:space="preserve"> for large volumes of gas</w:t>
      </w:r>
      <w:r w:rsidR="00AC0E10">
        <w:t>.</w:t>
      </w:r>
    </w:p>
    <w:p w:rsidR="00B4318F" w:rsidRDefault="00E7350D" w:rsidP="001729F0">
      <w:pPr>
        <w:pStyle w:val="Numberedlist"/>
        <w:ind w:left="357" w:hanging="357"/>
      </w:pPr>
      <w:r>
        <w:t>Taking into account</w:t>
      </w:r>
      <w:r w:rsidR="004A5BC6">
        <w:t xml:space="preserve"> these </w:t>
      </w:r>
      <w:r w:rsidR="00B03812">
        <w:t>market factors</w:t>
      </w:r>
      <w:r w:rsidR="004A5BC6">
        <w:t xml:space="preserve">, and </w:t>
      </w:r>
      <w:r w:rsidR="00C0139B">
        <w:t xml:space="preserve">the </w:t>
      </w:r>
      <w:r>
        <w:t>large</w:t>
      </w:r>
      <w:r w:rsidR="00C0139B">
        <w:t xml:space="preserve"> </w:t>
      </w:r>
      <w:r w:rsidR="00B03812">
        <w:t xml:space="preserve">proportion of </w:t>
      </w:r>
      <w:r w:rsidR="00E108B6">
        <w:t>reserves</w:t>
      </w:r>
      <w:r w:rsidR="00C0139B">
        <w:t xml:space="preserve"> </w:t>
      </w:r>
      <w:r>
        <w:t>that are currently held by</w:t>
      </w:r>
      <w:r w:rsidR="00C0139B">
        <w:t xml:space="preserve"> </w:t>
      </w:r>
      <w:r w:rsidR="00B03812">
        <w:t xml:space="preserve">operators </w:t>
      </w:r>
      <w:r>
        <w:t>that are</w:t>
      </w:r>
      <w:r w:rsidR="00B03812">
        <w:t xml:space="preserve"> aligned with </w:t>
      </w:r>
      <w:r w:rsidR="00C0139B">
        <w:t>LNG plants, the ACCC</w:t>
      </w:r>
      <w:bookmarkStart w:id="19" w:name="_Ref429741261"/>
      <w:r>
        <w:t xml:space="preserve"> considers that there is currently a limited number of potential suppliers</w:t>
      </w:r>
      <w:r w:rsidR="0083473B">
        <w:t xml:space="preserve"> </w:t>
      </w:r>
      <w:r>
        <w:t>to the domestic market</w:t>
      </w:r>
      <w:r w:rsidR="00C84011">
        <w:t xml:space="preserve"> that have </w:t>
      </w:r>
      <w:r w:rsidR="00C84011" w:rsidRPr="00C84011">
        <w:t>substantial gas reserves</w:t>
      </w:r>
      <w:r w:rsidR="00C84011">
        <w:t>,</w:t>
      </w:r>
      <w:r w:rsidR="0083473B">
        <w:t xml:space="preserve"> apart from Arrow</w:t>
      </w:r>
      <w:r w:rsidR="00B4318F">
        <w:t>.</w:t>
      </w:r>
      <w:bookmarkEnd w:id="19"/>
    </w:p>
    <w:p w:rsidR="00BE5E7B" w:rsidRDefault="00BE5E7B" w:rsidP="00BE5E7B">
      <w:pPr>
        <w:pStyle w:val="commentbox"/>
        <w:spacing w:after="0"/>
      </w:pPr>
      <w:r w:rsidRPr="004D3271">
        <w:t xml:space="preserve">The ACCC invites comments </w:t>
      </w:r>
      <w:r w:rsidR="001060AD" w:rsidRPr="001060AD">
        <w:t xml:space="preserve">on its </w:t>
      </w:r>
      <w:r w:rsidR="001060AD">
        <w:t>assessment</w:t>
      </w:r>
      <w:r w:rsidR="001060AD" w:rsidRPr="001060AD">
        <w:t xml:space="preserve"> of the current state of the market for the wholesale production and supply of natural gas in Queensland </w:t>
      </w:r>
      <w:r w:rsidR="001060AD">
        <w:t>and/</w:t>
      </w:r>
      <w:r w:rsidR="001060AD" w:rsidRPr="001060AD">
        <w:t>or eastern Australia</w:t>
      </w:r>
      <w:r>
        <w:t xml:space="preserve">. </w:t>
      </w:r>
    </w:p>
    <w:p w:rsidR="00924D34" w:rsidRDefault="00924D34" w:rsidP="005D3A35">
      <w:pPr>
        <w:pStyle w:val="Heading3"/>
        <w:spacing w:before="240"/>
      </w:pPr>
      <w:r>
        <w:lastRenderedPageBreak/>
        <w:t>Future with and without the acquisition</w:t>
      </w:r>
    </w:p>
    <w:p w:rsidR="00924D34" w:rsidRDefault="00924D34" w:rsidP="00924D34">
      <w:pPr>
        <w:pStyle w:val="Numberedlist"/>
        <w:ind w:left="360"/>
      </w:pPr>
      <w:r>
        <w:t xml:space="preserve">In assessing a proposed acquisition pursuant to section 50 of the Act, the ACCC considers the effects of the acquisition by comparing the likely future competitive environment if the acquisition proceeds (the “with” position) to the likely future competitive environment if the acquisition does not proceed (the “without” position) to determine whether the proposed acquisition is likely to substantially lessen competition in any relevant market. </w:t>
      </w:r>
    </w:p>
    <w:p w:rsidR="00EC6978" w:rsidRDefault="00EC6978" w:rsidP="00EC6978">
      <w:pPr>
        <w:pStyle w:val="Numberedlist"/>
        <w:ind w:left="360"/>
      </w:pPr>
      <w:r w:rsidRPr="00EC6978">
        <w:t xml:space="preserve">The ACCC's preliminary view is that the likely competition effects of the proposed </w:t>
      </w:r>
      <w:r>
        <w:t>acquisition</w:t>
      </w:r>
      <w:r w:rsidRPr="00EC6978">
        <w:t xml:space="preserve"> are most appropriately assessed against a future in which </w:t>
      </w:r>
      <w:r>
        <w:t>BG and Shell (and Arrow) continue to operate under current ownership (the status quo).</w:t>
      </w:r>
      <w:r w:rsidR="00AA0233">
        <w:t xml:space="preserve"> The </w:t>
      </w:r>
      <w:r w:rsidR="00714722">
        <w:t xml:space="preserve">ACCC’s preliminary views on the </w:t>
      </w:r>
      <w:r w:rsidR="006A4F31" w:rsidRPr="006A4F31">
        <w:t xml:space="preserve">likely </w:t>
      </w:r>
      <w:r w:rsidR="00AA0233">
        <w:t xml:space="preserve">relevant behaviour of each of </w:t>
      </w:r>
      <w:r w:rsidR="00E414AA">
        <w:t>Shell (</w:t>
      </w:r>
      <w:r w:rsidR="00AA0233">
        <w:t>Arrow</w:t>
      </w:r>
      <w:r w:rsidR="00E414AA">
        <w:t>)</w:t>
      </w:r>
      <w:r w:rsidR="00AA0233">
        <w:t xml:space="preserve"> and BG with and without the proposed acquisition </w:t>
      </w:r>
      <w:r w:rsidR="00714722">
        <w:t>are set out</w:t>
      </w:r>
      <w:r w:rsidR="00AA0233">
        <w:t xml:space="preserve"> in the competition analysis below.</w:t>
      </w:r>
    </w:p>
    <w:p w:rsidR="00415A17" w:rsidRDefault="00346285" w:rsidP="005D3A35">
      <w:pPr>
        <w:pStyle w:val="Heading3"/>
        <w:spacing w:before="240"/>
      </w:pPr>
      <w:r>
        <w:t>Issue</w:t>
      </w:r>
      <w:r w:rsidR="00FB30A0" w:rsidRPr="004B1DAE">
        <w:t xml:space="preserve"> </w:t>
      </w:r>
      <w:r w:rsidR="003D17C7" w:rsidRPr="004B1DAE">
        <w:t>that may raise concerns</w:t>
      </w:r>
      <w:r w:rsidR="003D17C7">
        <w:t>:</w:t>
      </w:r>
      <w:r>
        <w:t xml:space="preserve"> </w:t>
      </w:r>
      <w:r w:rsidR="00895594">
        <w:t xml:space="preserve">reduced </w:t>
      </w:r>
      <w:r w:rsidR="00880B14">
        <w:t>competition to supply domestic gas users and higher prices</w:t>
      </w:r>
    </w:p>
    <w:p w:rsidR="000527D5" w:rsidRDefault="000527D5" w:rsidP="00E7537F">
      <w:pPr>
        <w:pStyle w:val="Numberedlist"/>
        <w:ind w:left="360"/>
      </w:pPr>
      <w:r w:rsidRPr="000527D5">
        <w:t xml:space="preserve">The </w:t>
      </w:r>
      <w:r>
        <w:t xml:space="preserve">ACCC is concerned that the </w:t>
      </w:r>
      <w:r w:rsidRPr="000527D5">
        <w:t xml:space="preserve">effect of the proposed acquisition in aligning Shell’s interests with BG’s interest in the QCLNG project may decrease the incentive for Arrow to supply gas to the domestic market. By removing some (or all) of Arrow’s gas from the domestic market, the proposed acquisition could substantially lessen competition </w:t>
      </w:r>
      <w:r w:rsidR="000D35DA">
        <w:t>to</w:t>
      </w:r>
      <w:r>
        <w:t xml:space="preserve"> supply gas users </w:t>
      </w:r>
      <w:r w:rsidRPr="000527D5">
        <w:t>in either the Queensland or eastern Australian gas market</w:t>
      </w:r>
      <w:r>
        <w:t>, leading to:</w:t>
      </w:r>
    </w:p>
    <w:p w:rsidR="000D35DA" w:rsidRDefault="000527D5" w:rsidP="008F45CC">
      <w:pPr>
        <w:pStyle w:val="Numbered"/>
        <w:numPr>
          <w:ilvl w:val="0"/>
          <w:numId w:val="10"/>
        </w:numPr>
      </w:pPr>
      <w:r>
        <w:t xml:space="preserve">reduced supplies of gas in those markets and difficulties for domestic gas users in obtaining gas supply contracts </w:t>
      </w:r>
    </w:p>
    <w:p w:rsidR="007534D2" w:rsidRDefault="000D35DA" w:rsidP="008F45CC">
      <w:pPr>
        <w:pStyle w:val="Numbered"/>
        <w:numPr>
          <w:ilvl w:val="0"/>
          <w:numId w:val="10"/>
        </w:numPr>
      </w:pPr>
      <w:r>
        <w:t>the potential for</w:t>
      </w:r>
      <w:r w:rsidR="000527D5">
        <w:t xml:space="preserve"> gas suppliers</w:t>
      </w:r>
      <w:r>
        <w:t xml:space="preserve"> that do supply in the domestic market</w:t>
      </w:r>
      <w:r w:rsidR="000527D5">
        <w:t xml:space="preserve"> to increase gas prices </w:t>
      </w:r>
      <w:r w:rsidR="00D06D87">
        <w:t>and/or include less favourable non-price terms in supply contracts than would be the case in the absence of the proposed acquisition.</w:t>
      </w:r>
    </w:p>
    <w:p w:rsidR="00AB2CDF" w:rsidRDefault="00AB2CDF" w:rsidP="007534D2">
      <w:pPr>
        <w:pStyle w:val="Numberedlist"/>
        <w:ind w:left="360"/>
      </w:pPr>
      <w:r>
        <w:t xml:space="preserve">The potential for these outcomes to occur is discussed below, along with the </w:t>
      </w:r>
      <w:r w:rsidR="00DA0B6E">
        <w:t xml:space="preserve">ACCC’s preliminary assessment of </w:t>
      </w:r>
      <w:r w:rsidR="00880B14">
        <w:t xml:space="preserve">the </w:t>
      </w:r>
      <w:r>
        <w:t>likelihood of new entry into the domestic gas market.</w:t>
      </w:r>
    </w:p>
    <w:p w:rsidR="004D2288" w:rsidRDefault="00F42F74" w:rsidP="008C2868">
      <w:pPr>
        <w:pStyle w:val="Heading4"/>
        <w:spacing w:after="240"/>
      </w:pPr>
      <w:r>
        <w:t>Effect of the proposed acquisition on Arrow</w:t>
      </w:r>
      <w:r w:rsidR="00C938BD">
        <w:t xml:space="preserve">’s incentives to </w:t>
      </w:r>
      <w:r w:rsidR="00880B14">
        <w:t xml:space="preserve">compete to </w:t>
      </w:r>
      <w:r w:rsidR="00C938BD">
        <w:t>supply gas</w:t>
      </w:r>
      <w:r w:rsidR="00E677F8">
        <w:t xml:space="preserve"> in the domestic market</w:t>
      </w:r>
    </w:p>
    <w:p w:rsidR="00C938BD" w:rsidRDefault="00C938BD" w:rsidP="00C938BD">
      <w:pPr>
        <w:pStyle w:val="Numberedlist"/>
        <w:ind w:left="360"/>
      </w:pPr>
      <w:bookmarkStart w:id="20" w:name="_Ref429571346"/>
      <w:r>
        <w:t xml:space="preserve">The ACCC’s preliminary view is that Arrow is likely to have a strong incentive to supply a significant proportion of its gas to an LNG customer, </w:t>
      </w:r>
      <w:r w:rsidRPr="00471F28">
        <w:t xml:space="preserve">both with and without the acquisition. </w:t>
      </w:r>
      <w:r>
        <w:t>This is because:</w:t>
      </w:r>
      <w:bookmarkEnd w:id="20"/>
    </w:p>
    <w:p w:rsidR="00C938BD" w:rsidRDefault="00C938BD" w:rsidP="008F45CC">
      <w:pPr>
        <w:pStyle w:val="Numbered"/>
        <w:numPr>
          <w:ilvl w:val="0"/>
          <w:numId w:val="10"/>
        </w:numPr>
      </w:pPr>
      <w:r>
        <w:t xml:space="preserve">Most of Arrow’s reserves are currently undeveloped, and </w:t>
      </w:r>
      <w:r w:rsidRPr="0096275B">
        <w:t xml:space="preserve">Arrow will have to incur significant capital expenditures to develop its </w:t>
      </w:r>
      <w:r>
        <w:t>extensive</w:t>
      </w:r>
      <w:r w:rsidRPr="0096275B">
        <w:t xml:space="preserve"> 2P reserves and transport the gas to domestic and LNG export markets.</w:t>
      </w:r>
    </w:p>
    <w:p w:rsidR="00C938BD" w:rsidRDefault="00C938BD" w:rsidP="008F45CC">
      <w:pPr>
        <w:pStyle w:val="Numbered"/>
        <w:numPr>
          <w:ilvl w:val="0"/>
          <w:numId w:val="10"/>
        </w:numPr>
      </w:pPr>
      <w:r w:rsidRPr="0096275B">
        <w:t>Arrow will have a commercial incentive to reduce its risks in undertaking large, long-term capital expenditures by securing high volume, long-term contracts to underpin those expenditures</w:t>
      </w:r>
      <w:r>
        <w:t>.</w:t>
      </w:r>
    </w:p>
    <w:p w:rsidR="00C938BD" w:rsidRDefault="00C938BD" w:rsidP="008F45CC">
      <w:pPr>
        <w:pStyle w:val="Numbered"/>
        <w:numPr>
          <w:ilvl w:val="0"/>
          <w:numId w:val="10"/>
        </w:numPr>
      </w:pPr>
      <w:r w:rsidRPr="0096275B">
        <w:t>Domestic supply agreements are unlikely to be of sufficient scale to provide the foundational contract(s) that are needed to underpin development of Arrow’s resources.</w:t>
      </w:r>
    </w:p>
    <w:p w:rsidR="00C938BD" w:rsidRDefault="00C938BD" w:rsidP="00C938BD">
      <w:pPr>
        <w:pStyle w:val="Numberedlist"/>
        <w:ind w:left="360"/>
      </w:pPr>
      <w:bookmarkStart w:id="21" w:name="_Ref429571360"/>
      <w:r>
        <w:lastRenderedPageBreak/>
        <w:t>I</w:t>
      </w:r>
      <w:r w:rsidRPr="00684BF4">
        <w:t xml:space="preserve">n the absence of the proposed acquisition, </w:t>
      </w:r>
      <w:r>
        <w:t>the ACCC considers that Arrow would be</w:t>
      </w:r>
      <w:r w:rsidRPr="00684BF4">
        <w:t xml:space="preserve"> indifferent to whether it supplies its remaining gas (</w:t>
      </w:r>
      <w:r>
        <w:t xml:space="preserve">that is, </w:t>
      </w:r>
      <w:r w:rsidRPr="00684BF4">
        <w:t xml:space="preserve">gas not committed </w:t>
      </w:r>
      <w:r w:rsidR="00D06D87">
        <w:t>under the terms of i</w:t>
      </w:r>
      <w:r w:rsidRPr="00684BF4">
        <w:t xml:space="preserve">ts </w:t>
      </w:r>
      <w:r w:rsidR="00D06D87">
        <w:t>commercial arrangements</w:t>
      </w:r>
      <w:r w:rsidRPr="00684BF4">
        <w:t xml:space="preserve"> with a foundation customer) to domestic customers or the LNG plants, subject to those customers offering equivalent terms (</w:t>
      </w:r>
      <w:r w:rsidR="00A90835">
        <w:t>including</w:t>
      </w:r>
      <w:r w:rsidRPr="00684BF4">
        <w:t xml:space="preserve"> price, volume, </w:t>
      </w:r>
      <w:r w:rsidR="00A90835">
        <w:t xml:space="preserve">and </w:t>
      </w:r>
      <w:r w:rsidRPr="00684BF4">
        <w:t>duration of supply contract).</w:t>
      </w:r>
      <w:bookmarkEnd w:id="21"/>
      <w:r>
        <w:t xml:space="preserve"> </w:t>
      </w:r>
    </w:p>
    <w:p w:rsidR="00C938BD" w:rsidRDefault="00A90835" w:rsidP="00C938BD">
      <w:pPr>
        <w:pStyle w:val="Numberedlist"/>
        <w:ind w:left="360"/>
      </w:pPr>
      <w:r>
        <w:t>T</w:t>
      </w:r>
      <w:r w:rsidR="00C938BD">
        <w:t xml:space="preserve">he ACCC is concerned the proposed acquisition may change Shell’s </w:t>
      </w:r>
      <w:r w:rsidR="00C938BD" w:rsidRPr="0012035A">
        <w:t>incentives</w:t>
      </w:r>
      <w:r w:rsidR="00C938BD">
        <w:t xml:space="preserve"> </w:t>
      </w:r>
      <w:r w:rsidR="00C938BD" w:rsidRPr="0012035A">
        <w:t xml:space="preserve">such that it will choose to direct </w:t>
      </w:r>
      <w:r w:rsidR="00C938BD">
        <w:t>more (and possibly all) of Arrow’s</w:t>
      </w:r>
      <w:r w:rsidR="00C938BD" w:rsidRPr="0012035A">
        <w:t xml:space="preserve"> gas towards </w:t>
      </w:r>
      <w:r w:rsidR="00C938BD">
        <w:t>the QCLNG project.</w:t>
      </w:r>
    </w:p>
    <w:p w:rsidR="00771069" w:rsidRDefault="00771069" w:rsidP="00771069">
      <w:pPr>
        <w:pStyle w:val="Numberedlist"/>
        <w:ind w:left="360"/>
      </w:pPr>
      <w:r w:rsidRPr="00CB4E12">
        <w:t>A number of market participants have told the ACCC that at present QCLNG does not have access to sufficient gas to satisfy its existing LNG supply agreements.</w:t>
      </w:r>
      <w:r>
        <w:t xml:space="preserve"> QGC has stated publicly that it has </w:t>
      </w:r>
      <w:r w:rsidRPr="00002D16">
        <w:rPr>
          <w:lang w:val="en"/>
        </w:rPr>
        <w:t>global LNG sales agreements for almost 10</w:t>
      </w:r>
      <w:r>
        <w:rPr>
          <w:lang w:val="en"/>
        </w:rPr>
        <w:t> </w:t>
      </w:r>
      <w:r w:rsidRPr="00002D16">
        <w:rPr>
          <w:lang w:val="en"/>
        </w:rPr>
        <w:t>million tonnes a year with CNOOC,</w:t>
      </w:r>
      <w:r>
        <w:rPr>
          <w:lang w:val="en"/>
        </w:rPr>
        <w:t xml:space="preserve"> </w:t>
      </w:r>
      <w:r w:rsidRPr="00002D16">
        <w:rPr>
          <w:lang w:val="en"/>
        </w:rPr>
        <w:t>Tokyo Gas, GNL Chile, Chubu Electric, and the Energy Market Authority of Singapore</w:t>
      </w:r>
      <w:r>
        <w:rPr>
          <w:lang w:val="en"/>
        </w:rPr>
        <w:t>.</w:t>
      </w:r>
      <w:r>
        <w:rPr>
          <w:rStyle w:val="FootnoteReference"/>
          <w:lang w:val="en"/>
        </w:rPr>
        <w:footnoteReference w:id="12"/>
      </w:r>
    </w:p>
    <w:p w:rsidR="00905F96" w:rsidRDefault="0026243D" w:rsidP="00905F96">
      <w:pPr>
        <w:pStyle w:val="Numberedlist"/>
        <w:ind w:left="360"/>
      </w:pPr>
      <w:r w:rsidRPr="0026243D">
        <w:t xml:space="preserve">As a result of aligning Shell’s interests with the QCLNG project, Arrow may have an incentive to prioritise supply to the QCLNG project over competing gas users. </w:t>
      </w:r>
      <w:r w:rsidR="006A65BB">
        <w:t xml:space="preserve">Subject to the views of PetroChina (Shell’s joint venture partner in Arrow), </w:t>
      </w:r>
      <w:r w:rsidRPr="0026243D">
        <w:t>Arrow’s reserves may be committed to supplying the QCLNG plant and meeting existing legacy gas supply agreements with domestic gas users</w:t>
      </w:r>
      <w:r w:rsidR="006A65BB">
        <w:t xml:space="preserve"> following the proposed acquisition</w:t>
      </w:r>
      <w:r w:rsidRPr="0026243D">
        <w:t xml:space="preserve">. </w:t>
      </w:r>
      <w:r w:rsidR="00905F96" w:rsidRPr="0026243D">
        <w:t xml:space="preserve">This is because Shell may have an incentive to reduce the  risks associated with failure to meet </w:t>
      </w:r>
      <w:r w:rsidR="00905F96">
        <w:t>QGC</w:t>
      </w:r>
      <w:r w:rsidR="00905F96" w:rsidRPr="0026243D">
        <w:t>’s contractual LNG supply obligations by reserving some of Arrow’s reserves (that would otherwise be offered to other gas users) as a contingency against potential future supply problems.</w:t>
      </w:r>
    </w:p>
    <w:p w:rsidR="00C938BD" w:rsidRDefault="00771069" w:rsidP="00AB2CDF">
      <w:pPr>
        <w:pStyle w:val="Numberedlist"/>
        <w:ind w:left="360"/>
      </w:pPr>
      <w:r>
        <w:t xml:space="preserve">There may be a greater likelihood that Arrow will </w:t>
      </w:r>
      <w:r w:rsidRPr="0026243D">
        <w:t>offer its gas to competing gas users</w:t>
      </w:r>
      <w:r w:rsidRPr="0026243D" w:rsidDel="00771069">
        <w:t xml:space="preserve"> </w:t>
      </w:r>
      <w:r>
        <w:t>i</w:t>
      </w:r>
      <w:r w:rsidR="0026243D" w:rsidRPr="0026243D">
        <w:t>n the absence of the proposed acquisition</w:t>
      </w:r>
      <w:r>
        <w:t>. These could include</w:t>
      </w:r>
      <w:r w:rsidR="0026243D" w:rsidRPr="0026243D">
        <w:t xml:space="preserve"> domestic gas users and other LNG projects</w:t>
      </w:r>
      <w:r w:rsidR="00A90835">
        <w:t>, as well as to the QCLNG project</w:t>
      </w:r>
      <w:r w:rsidR="0026243D" w:rsidRPr="0026243D">
        <w:t xml:space="preserve">. </w:t>
      </w:r>
    </w:p>
    <w:p w:rsidR="00A90835" w:rsidRDefault="0026243D" w:rsidP="00AB2CDF">
      <w:pPr>
        <w:pStyle w:val="Numberedlist"/>
        <w:ind w:left="360"/>
      </w:pPr>
      <w:r w:rsidRPr="0026243D">
        <w:t>Since Arrow’s large gas reserves constitute the largest uncontracted gas reserves in eastern Australia, the removal or reduction in the importance of Arrow as a potential supplier may substantially lessen competition in the domestic gas market.</w:t>
      </w:r>
      <w:r w:rsidR="00C938BD">
        <w:t xml:space="preserve"> This could result in supply</w:t>
      </w:r>
      <w:r w:rsidR="00A34A01">
        <w:t>/demand imbalances</w:t>
      </w:r>
      <w:r w:rsidR="00C938BD">
        <w:t xml:space="preserve"> in the domestic market,</w:t>
      </w:r>
      <w:r w:rsidR="00A90835">
        <w:t xml:space="preserve"> at least for an extended transitional period during which alternative existing gas reserves are developed</w:t>
      </w:r>
      <w:r w:rsidR="00C938BD">
        <w:t xml:space="preserve"> </w:t>
      </w:r>
      <w:r w:rsidR="00A90835">
        <w:t xml:space="preserve">and additional gas reserves are discovered and developed. </w:t>
      </w:r>
    </w:p>
    <w:p w:rsidR="0026243D" w:rsidRDefault="00880B14" w:rsidP="00AB2CDF">
      <w:pPr>
        <w:pStyle w:val="Numberedlist"/>
        <w:ind w:left="360"/>
      </w:pPr>
      <w:r>
        <w:t>T</w:t>
      </w:r>
      <w:r w:rsidR="00A90835" w:rsidRPr="00A90835">
        <w:t xml:space="preserve">he removal or reduction in the importance of Arrow as a potential supplier </w:t>
      </w:r>
      <w:r w:rsidR="00D85E01">
        <w:t>could increase the market power of</w:t>
      </w:r>
      <w:r w:rsidR="00A90835" w:rsidRPr="00A90835">
        <w:t xml:space="preserve"> </w:t>
      </w:r>
      <w:r w:rsidR="00D85E01">
        <w:t>the</w:t>
      </w:r>
      <w:r w:rsidR="00A90835" w:rsidRPr="00A90835">
        <w:t xml:space="preserve"> limited number of </w:t>
      </w:r>
      <w:r w:rsidR="00D85E01">
        <w:t xml:space="preserve">other </w:t>
      </w:r>
      <w:r w:rsidR="00A90835" w:rsidRPr="00A90835">
        <w:t xml:space="preserve">suppliers </w:t>
      </w:r>
      <w:r w:rsidR="00D85E01">
        <w:t>with</w:t>
      </w:r>
      <w:r w:rsidR="00A90835" w:rsidRPr="00A90835">
        <w:t xml:space="preserve"> substantial gas reserves</w:t>
      </w:r>
      <w:r w:rsidR="00D85E01">
        <w:t xml:space="preserve"> that would be able to offer to supply gas in the domestic market</w:t>
      </w:r>
      <w:r w:rsidR="00A90835" w:rsidRPr="00A90835">
        <w:t>.</w:t>
      </w:r>
      <w:r w:rsidR="00D85E01">
        <w:t xml:space="preserve"> These alternative suppliers could exercise their market power</w:t>
      </w:r>
      <w:r w:rsidR="00C938BD">
        <w:t xml:space="preserve"> </w:t>
      </w:r>
      <w:r w:rsidR="00D85E01">
        <w:t xml:space="preserve">to </w:t>
      </w:r>
      <w:r w:rsidR="00C938BD">
        <w:t xml:space="preserve">increase gas prices and </w:t>
      </w:r>
      <w:r w:rsidR="00D85E01">
        <w:t xml:space="preserve">impose </w:t>
      </w:r>
      <w:r w:rsidR="00C938BD">
        <w:t xml:space="preserve">more restrictive non-price contractual terms (such as shorter contract </w:t>
      </w:r>
      <w:r w:rsidR="00D85E01">
        <w:t>duration,</w:t>
      </w:r>
      <w:r w:rsidR="00C938BD">
        <w:t xml:space="preserve"> more restrictive ‘take or pay’ obligations</w:t>
      </w:r>
      <w:r w:rsidR="00D85E01">
        <w:t>, and less flexible delivery options</w:t>
      </w:r>
      <w:r w:rsidR="00C938BD">
        <w:t>)</w:t>
      </w:r>
      <w:r w:rsidR="00A90835">
        <w:t xml:space="preserve"> compared to the likely situation without the proposed acquisition</w:t>
      </w:r>
      <w:r w:rsidR="00C938BD">
        <w:t>.</w:t>
      </w:r>
    </w:p>
    <w:p w:rsidR="000A0B65" w:rsidRDefault="000A0B65" w:rsidP="000A0B65">
      <w:pPr>
        <w:pStyle w:val="Heading4"/>
        <w:spacing w:after="240"/>
      </w:pPr>
      <w:r>
        <w:t xml:space="preserve">Effect of the proposed acquisition on BG’s incentives to </w:t>
      </w:r>
      <w:r w:rsidR="00E677F8">
        <w:t xml:space="preserve">compete to </w:t>
      </w:r>
      <w:r>
        <w:t>supply gas</w:t>
      </w:r>
      <w:r w:rsidR="00E677F8">
        <w:t xml:space="preserve"> in the domestic market</w:t>
      </w:r>
    </w:p>
    <w:p w:rsidR="000A0B65" w:rsidRDefault="000A0B65" w:rsidP="00AB2CDF">
      <w:pPr>
        <w:pStyle w:val="Numberedlist"/>
        <w:ind w:left="360"/>
      </w:pPr>
      <w:r w:rsidRPr="000A0B65">
        <w:t>The ACCC</w:t>
      </w:r>
      <w:r w:rsidR="00C4406B">
        <w:t xml:space="preserve"> considers</w:t>
      </w:r>
      <w:r w:rsidRPr="000A0B65">
        <w:t xml:space="preserve"> that, in the absence of the proposed acquisition, BG may in future offer new supply contracts to domestic gas users if it were to have excess gas after meeting its LNG requirements (and existing legacy contracts). In that case, BG </w:t>
      </w:r>
      <w:r w:rsidR="00C4406B">
        <w:t>would have an incentive</w:t>
      </w:r>
      <w:r w:rsidRPr="000A0B65">
        <w:t xml:space="preserve"> to supply some of its excess gas to domestic </w:t>
      </w:r>
      <w:r w:rsidRPr="000A0B65">
        <w:lastRenderedPageBreak/>
        <w:t>customers, subject to those customers offering commercially attractive prices and/or other terms for that gas.</w:t>
      </w:r>
    </w:p>
    <w:p w:rsidR="00C4406B" w:rsidRDefault="00C4406B" w:rsidP="00AB2CDF">
      <w:pPr>
        <w:pStyle w:val="Numberedlist"/>
        <w:ind w:left="360"/>
      </w:pPr>
      <w:r w:rsidRPr="00C4406B">
        <w:t>However, as noted above, market participants have told the ACCC that at present QCLNG does not have access to sufficient gas to satisfy its existing LNG supply agreements.</w:t>
      </w:r>
    </w:p>
    <w:p w:rsidR="00C4406B" w:rsidRDefault="00C4406B" w:rsidP="00AB2CDF">
      <w:pPr>
        <w:pStyle w:val="Numberedlist"/>
        <w:ind w:left="360"/>
      </w:pPr>
      <w:r w:rsidRPr="00C4406B">
        <w:t>The ACCC’s preliminary view, based on this information, is that BG is unlikely to be a potential supplier of new long-term gas supply agreements to domestic gas users irrespective of the proposed acquisition.</w:t>
      </w:r>
    </w:p>
    <w:p w:rsidR="00C938BD" w:rsidRDefault="00C938BD" w:rsidP="00C938BD">
      <w:pPr>
        <w:pStyle w:val="Heading4"/>
        <w:spacing w:after="240"/>
      </w:pPr>
      <w:r>
        <w:t xml:space="preserve">Effect of the proposed acquisition on Arrow’s </w:t>
      </w:r>
      <w:r w:rsidR="00E31F39">
        <w:t xml:space="preserve">and BG’s </w:t>
      </w:r>
      <w:r>
        <w:t xml:space="preserve">incentives to develop </w:t>
      </w:r>
      <w:r w:rsidR="00E31F39">
        <w:t>their</w:t>
      </w:r>
      <w:r>
        <w:t xml:space="preserve"> gas reserves and explore for gas</w:t>
      </w:r>
    </w:p>
    <w:p w:rsidR="00CB4E12" w:rsidRDefault="0026243D" w:rsidP="00905F96">
      <w:pPr>
        <w:pStyle w:val="Numberedlist"/>
        <w:ind w:left="360"/>
      </w:pPr>
      <w:r w:rsidRPr="0026243D">
        <w:t xml:space="preserve">The </w:t>
      </w:r>
      <w:r w:rsidR="00C938BD">
        <w:t xml:space="preserve">ACCC is also concerned that the </w:t>
      </w:r>
      <w:r w:rsidRPr="0026243D">
        <w:t xml:space="preserve">proposed acquisition could </w:t>
      </w:r>
      <w:r w:rsidR="009F0FAE" w:rsidRPr="0026243D">
        <w:t xml:space="preserve">reduce the amount of gas offered to domestic gas users </w:t>
      </w:r>
      <w:r w:rsidR="00E154EB" w:rsidRPr="0026243D">
        <w:t xml:space="preserve">and </w:t>
      </w:r>
      <w:r w:rsidRPr="0026243D">
        <w:t>other LNG plants by changing Shell’s incentive</w:t>
      </w:r>
      <w:r>
        <w:t>s</w:t>
      </w:r>
      <w:r w:rsidRPr="0026243D">
        <w:t xml:space="preserve"> in relation to the timing of developing BG’s and Arrow’s reserves. </w:t>
      </w:r>
    </w:p>
    <w:p w:rsidR="00F8376B" w:rsidRDefault="00F8376B" w:rsidP="00905F96">
      <w:pPr>
        <w:pStyle w:val="Numberedlist"/>
        <w:ind w:left="360"/>
      </w:pPr>
      <w:r w:rsidRPr="00F8376B">
        <w:t xml:space="preserve">As noted </w:t>
      </w:r>
      <w:r>
        <w:t>in the ‘Industry background’ section above</w:t>
      </w:r>
      <w:r w:rsidRPr="00F8376B">
        <w:t xml:space="preserve">, </w:t>
      </w:r>
      <w:r w:rsidR="00E5632B">
        <w:t xml:space="preserve">the </w:t>
      </w:r>
      <w:r w:rsidRPr="00F8376B">
        <w:t xml:space="preserve">LNG projects are significantly altering the supply and demand dynamics in the domestic gas market in eastern Australia. These </w:t>
      </w:r>
      <w:r w:rsidR="00E5632B">
        <w:t>developments, and associated</w:t>
      </w:r>
      <w:r w:rsidRPr="00F8376B">
        <w:t xml:space="preserve"> </w:t>
      </w:r>
      <w:r w:rsidR="00E5632B">
        <w:t>u</w:t>
      </w:r>
      <w:r w:rsidRPr="00F8376B">
        <w:t xml:space="preserve">ncertainty in the market over the future supply and demand balance, </w:t>
      </w:r>
      <w:r w:rsidR="00E5632B">
        <w:t>have</w:t>
      </w:r>
      <w:r w:rsidRPr="00F8376B">
        <w:t xml:space="preserve"> resulted in </w:t>
      </w:r>
      <w:r w:rsidR="00E5632B">
        <w:t>higher</w:t>
      </w:r>
      <w:r w:rsidRPr="00F8376B">
        <w:t xml:space="preserve"> contract price offers and </w:t>
      </w:r>
      <w:r w:rsidR="00E5632B">
        <w:t>more restrictive contract terms</w:t>
      </w:r>
      <w:r w:rsidRPr="00F8376B">
        <w:t xml:space="preserve">. </w:t>
      </w:r>
      <w:r w:rsidR="00E5632B">
        <w:t>S</w:t>
      </w:r>
      <w:r w:rsidRPr="00F8376B">
        <w:t xml:space="preserve">ome sources of gas </w:t>
      </w:r>
      <w:r w:rsidR="00E5632B">
        <w:t>that</w:t>
      </w:r>
      <w:r w:rsidRPr="00F8376B">
        <w:t xml:space="preserve"> have traditionally supplied domestic </w:t>
      </w:r>
      <w:r w:rsidR="004E646A">
        <w:t>gas users</w:t>
      </w:r>
      <w:r w:rsidRPr="00F8376B">
        <w:t xml:space="preserve"> in the southern states, such as gas from the Cooper Basin, </w:t>
      </w:r>
      <w:r w:rsidR="00E5632B">
        <w:t>may</w:t>
      </w:r>
      <w:r w:rsidRPr="00F8376B">
        <w:t xml:space="preserve"> be </w:t>
      </w:r>
      <w:r w:rsidR="00E5632B">
        <w:t>redirected</w:t>
      </w:r>
      <w:r w:rsidRPr="00F8376B">
        <w:t xml:space="preserve"> to supply</w:t>
      </w:r>
      <w:r w:rsidR="00E5632B">
        <w:t>ing</w:t>
      </w:r>
      <w:r w:rsidRPr="00F8376B">
        <w:t xml:space="preserve"> LNG </w:t>
      </w:r>
      <w:r w:rsidR="00B96925">
        <w:t>projects</w:t>
      </w:r>
      <w:r w:rsidRPr="00F8376B">
        <w:t>, reducing the supply options for customers in the southern states and increasing their reliance on the few remaining suppliers.</w:t>
      </w:r>
    </w:p>
    <w:p w:rsidR="00E5632B" w:rsidRDefault="00E5632B" w:rsidP="00905F96">
      <w:pPr>
        <w:pStyle w:val="Numberedlist"/>
        <w:ind w:left="360"/>
      </w:pPr>
      <w:r w:rsidRPr="00E5632B">
        <w:t xml:space="preserve">In this context, any new gas supplies in the market have the potential to have a material effect on competition for domestic customers. This is true even if </w:t>
      </w:r>
      <w:r>
        <w:t>new</w:t>
      </w:r>
      <w:r w:rsidRPr="00E5632B">
        <w:t xml:space="preserve"> gas </w:t>
      </w:r>
      <w:r>
        <w:t xml:space="preserve">production </w:t>
      </w:r>
      <w:r w:rsidRPr="00E5632B">
        <w:t xml:space="preserve">is </w:t>
      </w:r>
      <w:r>
        <w:t>used to</w:t>
      </w:r>
      <w:r w:rsidRPr="00E5632B">
        <w:t xml:space="preserve"> </w:t>
      </w:r>
      <w:r w:rsidR="00845457">
        <w:t>supply</w:t>
      </w:r>
      <w:r w:rsidRPr="00E5632B">
        <w:t xml:space="preserve"> an LNG </w:t>
      </w:r>
      <w:r w:rsidR="00B96925">
        <w:t>project</w:t>
      </w:r>
      <w:r w:rsidRPr="00E5632B">
        <w:t xml:space="preserve">, as that LNG </w:t>
      </w:r>
      <w:r w:rsidR="00B96925">
        <w:t xml:space="preserve">project </w:t>
      </w:r>
      <w:r w:rsidRPr="00E5632B">
        <w:t xml:space="preserve">would then have less demand for gas from other sources </w:t>
      </w:r>
      <w:r>
        <w:t>and that gas</w:t>
      </w:r>
      <w:r w:rsidRPr="00E5632B">
        <w:t xml:space="preserve"> may then be </w:t>
      </w:r>
      <w:r>
        <w:t>offered</w:t>
      </w:r>
      <w:r w:rsidRPr="00E5632B">
        <w:t xml:space="preserve"> to domestic </w:t>
      </w:r>
      <w:r w:rsidR="004E646A">
        <w:t>gas users</w:t>
      </w:r>
      <w:r w:rsidRPr="00E5632B">
        <w:t xml:space="preserve">. </w:t>
      </w:r>
      <w:r w:rsidR="001C35CA" w:rsidRPr="00E5632B">
        <w:t xml:space="preserve">Therefore, the ACCC considers that if the proposed acquisition resulted in a reduction in </w:t>
      </w:r>
      <w:r>
        <w:t>Shell’s</w:t>
      </w:r>
      <w:r w:rsidR="001C35CA" w:rsidRPr="00E5632B">
        <w:t xml:space="preserve"> incentive</w:t>
      </w:r>
      <w:r>
        <w:t>s</w:t>
      </w:r>
      <w:r w:rsidR="001C35CA" w:rsidRPr="00E5632B">
        <w:t xml:space="preserve"> to develop </w:t>
      </w:r>
      <w:r w:rsidRPr="00E5632B">
        <w:t>BG’s and Arrow’s reserves</w:t>
      </w:r>
      <w:r w:rsidR="001C35CA" w:rsidRPr="00E5632B">
        <w:t xml:space="preserve"> in a timely manner, this could have a substantial impact on the level of competition in relevant gas market or markets.</w:t>
      </w:r>
    </w:p>
    <w:p w:rsidR="00E5632B" w:rsidRDefault="00E5632B" w:rsidP="00905F96">
      <w:pPr>
        <w:pStyle w:val="Numberedlist"/>
        <w:ind w:left="360"/>
      </w:pPr>
      <w:r>
        <w:t>Any resulting reduction in</w:t>
      </w:r>
      <w:r w:rsidRPr="00E5632B">
        <w:t xml:space="preserve"> the supply of gas to the domestic market </w:t>
      </w:r>
      <w:r>
        <w:t>could</w:t>
      </w:r>
      <w:r w:rsidRPr="00E5632B">
        <w:t>, by increasing the market power of the limited number of other potential suppliers to the domestic market, lead to higher domestic prices and more restrictive non-price contractual terms relative to the situation without the proposed acquisition</w:t>
      </w:r>
      <w:r>
        <w:t>.</w:t>
      </w:r>
    </w:p>
    <w:p w:rsidR="00E5632B" w:rsidRDefault="00E5632B" w:rsidP="00905F96">
      <w:pPr>
        <w:pStyle w:val="Numberedlist"/>
        <w:ind w:left="360"/>
      </w:pPr>
      <w:r>
        <w:t xml:space="preserve">The ACCC has considered a number of ways in which the proposed acquisition could change Shell’s incentives and delay the timely development of BG’s and Arrow’s reserves and/or reduce exploration activities. </w:t>
      </w:r>
    </w:p>
    <w:p w:rsidR="00DB10BE" w:rsidRDefault="00E5632B" w:rsidP="00AB2CDF">
      <w:pPr>
        <w:pStyle w:val="Numberedlist"/>
        <w:ind w:left="360"/>
      </w:pPr>
      <w:r>
        <w:t>First, i</w:t>
      </w:r>
      <w:r w:rsidR="0026243D" w:rsidRPr="0026243D">
        <w:t>f the relative cost of producing gas from Arrow’s reserves were to be lower than producing gas from BG’s reserves (or other alternative sources of gas for the QCLNG plant), Shell may have an incentive post-acquisition to substitute cheaper Arrow gas for gas that would have been produced from BG’s existing reserves</w:t>
      </w:r>
      <w:r w:rsidR="00E31F39">
        <w:t xml:space="preserve"> and defer development of BG’s higher-cost reserves</w:t>
      </w:r>
      <w:r w:rsidR="0026243D" w:rsidRPr="0026243D">
        <w:t xml:space="preserve">. </w:t>
      </w:r>
    </w:p>
    <w:p w:rsidR="0026243D" w:rsidRDefault="0026243D" w:rsidP="00AB2CDF">
      <w:pPr>
        <w:pStyle w:val="Numberedlist"/>
        <w:ind w:left="360"/>
      </w:pPr>
      <w:r w:rsidRPr="0026243D">
        <w:t>As a result of gaining a committed source of gas for the QCLNG plant, BG may have an incentive to decrease its exploration activities post-acquisition</w:t>
      </w:r>
      <w:r w:rsidR="00CB4E12">
        <w:t xml:space="preserve"> (taking into account the costs and risks associated with gas exploration</w:t>
      </w:r>
      <w:r w:rsidR="00E31F39">
        <w:t xml:space="preserve"> </w:t>
      </w:r>
      <w:r w:rsidR="00E13D5F">
        <w:t>compared</w:t>
      </w:r>
      <w:r w:rsidR="00E31F39">
        <w:t xml:space="preserve"> to using Arrow’s existing 2P reserves)</w:t>
      </w:r>
      <w:r w:rsidRPr="0026243D">
        <w:t>. The proposed acquisition may therefore have the potential to further reduce the supply of gas to the domestic market</w:t>
      </w:r>
      <w:r w:rsidR="00DB10BE">
        <w:t xml:space="preserve"> and</w:t>
      </w:r>
      <w:r w:rsidR="00E13D5F">
        <w:t xml:space="preserve"> </w:t>
      </w:r>
      <w:r w:rsidR="00E13D5F" w:rsidRPr="00E13D5F">
        <w:t>increas</w:t>
      </w:r>
      <w:r w:rsidR="00DD2424">
        <w:t>e</w:t>
      </w:r>
      <w:r w:rsidR="00E13D5F" w:rsidRPr="00E13D5F">
        <w:t xml:space="preserve"> </w:t>
      </w:r>
      <w:r w:rsidR="00E13D5F" w:rsidRPr="00E13D5F">
        <w:lastRenderedPageBreak/>
        <w:t xml:space="preserve">the market power of the limited number of other </w:t>
      </w:r>
      <w:r w:rsidR="00E13D5F">
        <w:t xml:space="preserve">potential </w:t>
      </w:r>
      <w:r w:rsidR="00E13D5F" w:rsidRPr="00E13D5F">
        <w:t xml:space="preserve">suppliers </w:t>
      </w:r>
      <w:r w:rsidR="00E13D5F">
        <w:t>to</w:t>
      </w:r>
      <w:r w:rsidR="00E13D5F" w:rsidRPr="00E13D5F">
        <w:t xml:space="preserve"> the domestic market</w:t>
      </w:r>
      <w:r w:rsidR="00E13D5F">
        <w:t>,</w:t>
      </w:r>
      <w:r w:rsidR="00A34A01">
        <w:t xml:space="preserve"> and</w:t>
      </w:r>
      <w:r w:rsidR="00E13D5F" w:rsidRPr="00E13D5F">
        <w:t xml:space="preserve"> </w:t>
      </w:r>
      <w:r w:rsidR="00DB10BE">
        <w:t xml:space="preserve">lead to </w:t>
      </w:r>
      <w:r w:rsidR="00DD2424">
        <w:t>the outcomes identif</w:t>
      </w:r>
      <w:r w:rsidR="004E646A">
        <w:t>i</w:t>
      </w:r>
      <w:r w:rsidR="00DD2424">
        <w:t>ed above</w:t>
      </w:r>
      <w:r w:rsidRPr="0026243D">
        <w:t>.</w:t>
      </w:r>
    </w:p>
    <w:p w:rsidR="00AB2CDF" w:rsidRDefault="00DD2424" w:rsidP="00AB2CDF">
      <w:pPr>
        <w:pStyle w:val="Numberedlist"/>
        <w:ind w:left="360"/>
      </w:pPr>
      <w:r>
        <w:t>Second, t</w:t>
      </w:r>
      <w:r w:rsidR="00E13D5F">
        <w:t>he</w:t>
      </w:r>
      <w:r w:rsidR="005B080E">
        <w:t xml:space="preserve"> </w:t>
      </w:r>
      <w:r w:rsidR="00857A23">
        <w:t>ACCC is</w:t>
      </w:r>
      <w:r w:rsidR="00E13D5F">
        <w:t xml:space="preserve"> also</w:t>
      </w:r>
      <w:r w:rsidR="00857A23">
        <w:t xml:space="preserve"> considering whether the </w:t>
      </w:r>
      <w:r w:rsidR="005B080E">
        <w:t>proposed acquisition</w:t>
      </w:r>
      <w:r w:rsidR="00AB2CDF">
        <w:t xml:space="preserve"> could reduce the likelihood </w:t>
      </w:r>
      <w:r w:rsidR="00857A23">
        <w:t>that Arrow will develop</w:t>
      </w:r>
      <w:r w:rsidR="00AB2CDF">
        <w:t xml:space="preserve"> </w:t>
      </w:r>
      <w:r w:rsidR="00857A23">
        <w:t xml:space="preserve">its </w:t>
      </w:r>
      <w:r w:rsidR="00AB2CDF">
        <w:t xml:space="preserve">Bowen </w:t>
      </w:r>
      <w:r w:rsidR="00857A23">
        <w:t>Basin reserves</w:t>
      </w:r>
      <w:r w:rsidR="00AB2CDF">
        <w:t xml:space="preserve"> by </w:t>
      </w:r>
      <w:r w:rsidR="00857A23">
        <w:t>changing the</w:t>
      </w:r>
      <w:r w:rsidR="00AB2CDF">
        <w:t xml:space="preserve"> </w:t>
      </w:r>
      <w:r w:rsidR="00857A23">
        <w:t>relative</w:t>
      </w:r>
      <w:r w:rsidR="00AB2CDF">
        <w:t xml:space="preserve"> cost</w:t>
      </w:r>
      <w:r w:rsidR="00857A23">
        <w:t>s</w:t>
      </w:r>
      <w:r w:rsidR="00AB2CDF">
        <w:t xml:space="preserve"> of developing Arrow’s </w:t>
      </w:r>
      <w:r w:rsidR="002859AD">
        <w:t>Surat</w:t>
      </w:r>
      <w:r w:rsidR="00857A23">
        <w:t xml:space="preserve"> Basin</w:t>
      </w:r>
      <w:r w:rsidR="00AB2CDF">
        <w:t xml:space="preserve"> reserves </w:t>
      </w:r>
      <w:r w:rsidR="00857A23">
        <w:t>compared</w:t>
      </w:r>
      <w:r w:rsidR="00AB2CDF">
        <w:t xml:space="preserve"> to its </w:t>
      </w:r>
      <w:r w:rsidR="002859AD">
        <w:t>Bowen</w:t>
      </w:r>
      <w:r w:rsidR="00AB2CDF">
        <w:t xml:space="preserve"> </w:t>
      </w:r>
      <w:r w:rsidR="00857A23">
        <w:t xml:space="preserve">Basin </w:t>
      </w:r>
      <w:r w:rsidR="00AB2CDF">
        <w:t xml:space="preserve">reserves. </w:t>
      </w:r>
    </w:p>
    <w:p w:rsidR="00905F96" w:rsidRDefault="00AB2CDF" w:rsidP="00AB2CDF">
      <w:pPr>
        <w:pStyle w:val="Numberedlist"/>
        <w:ind w:left="360"/>
      </w:pPr>
      <w:r>
        <w:t xml:space="preserve">The ACCC </w:t>
      </w:r>
      <w:r w:rsidR="00857A23">
        <w:t xml:space="preserve">understands that </w:t>
      </w:r>
      <w:r>
        <w:t xml:space="preserve">BG and </w:t>
      </w:r>
      <w:r w:rsidR="00857A23">
        <w:t>Arrow</w:t>
      </w:r>
      <w:r>
        <w:t xml:space="preserve"> have adjacent tenements</w:t>
      </w:r>
      <w:r w:rsidR="00A34A01">
        <w:t xml:space="preserve"> </w:t>
      </w:r>
      <w:r w:rsidR="00A34A01" w:rsidRPr="00A34A01">
        <w:t>in the Surat Basin</w:t>
      </w:r>
      <w:r w:rsidR="000A0B65">
        <w:t>.</w:t>
      </w:r>
      <w:r w:rsidR="00857A23">
        <w:t xml:space="preserve"> </w:t>
      </w:r>
      <w:r w:rsidR="000A0B65">
        <w:t>T</w:t>
      </w:r>
      <w:r w:rsidR="00A34A01" w:rsidRPr="00A34A01">
        <w:t xml:space="preserve">he proposed acquisition may </w:t>
      </w:r>
      <w:r w:rsidR="00857A23">
        <w:t>giv</w:t>
      </w:r>
      <w:r w:rsidR="00A34A01">
        <w:t>e</w:t>
      </w:r>
      <w:r w:rsidR="00857A23">
        <w:t xml:space="preserve"> Arrow</w:t>
      </w:r>
      <w:r w:rsidR="005B080E">
        <w:t xml:space="preserve"> </w:t>
      </w:r>
      <w:r>
        <w:t xml:space="preserve">the ability to </w:t>
      </w:r>
      <w:r w:rsidR="00857A23">
        <w:t>develop its</w:t>
      </w:r>
      <w:r>
        <w:t xml:space="preserve"> reserves </w:t>
      </w:r>
      <w:r w:rsidR="00857A23">
        <w:t>using</w:t>
      </w:r>
      <w:r>
        <w:t xml:space="preserve"> </w:t>
      </w:r>
      <w:r w:rsidR="003C7B17">
        <w:t xml:space="preserve">any </w:t>
      </w:r>
      <w:r>
        <w:t>spare capacity in existing BG</w:t>
      </w:r>
      <w:r>
        <w:noBreakHyphen/>
        <w:t>owned upstream infrastructure in the Surat Basin</w:t>
      </w:r>
      <w:r w:rsidR="00857A23">
        <w:t>.</w:t>
      </w:r>
      <w:r>
        <w:t xml:space="preserve"> </w:t>
      </w:r>
      <w:r w:rsidR="00857A23">
        <w:t>Arrow may also be able to gain access to</w:t>
      </w:r>
      <w:r>
        <w:t xml:space="preserve"> the QCLNG pipeline to Gladstone</w:t>
      </w:r>
      <w:r w:rsidR="00857A23">
        <w:t xml:space="preserve">, subject to </w:t>
      </w:r>
      <w:r w:rsidR="003C7B17">
        <w:t xml:space="preserve">the availability of pipeline capacity and </w:t>
      </w:r>
      <w:r w:rsidR="00857A23">
        <w:t>BG’s access arrangements with the pipeline owner</w:t>
      </w:r>
      <w:r w:rsidR="00E427CD">
        <w:t>, APA Group (which acquired the pipeline from BG in June 2015)</w:t>
      </w:r>
      <w:r>
        <w:t xml:space="preserve">. </w:t>
      </w:r>
    </w:p>
    <w:p w:rsidR="00DD2424" w:rsidRDefault="00905F96" w:rsidP="00B83921">
      <w:pPr>
        <w:pStyle w:val="Numberedlist"/>
        <w:ind w:left="360"/>
      </w:pPr>
      <w:r>
        <w:t xml:space="preserve">The ACCC </w:t>
      </w:r>
      <w:r w:rsidR="00DD2424">
        <w:t xml:space="preserve">has received different views on the likely effect of these </w:t>
      </w:r>
      <w:r w:rsidR="000A0B65">
        <w:t xml:space="preserve">potential </w:t>
      </w:r>
      <w:r w:rsidR="00DD2424">
        <w:t>synergies and it is considering those submissions</w:t>
      </w:r>
      <w:r w:rsidR="00B83921">
        <w:t xml:space="preserve">. </w:t>
      </w:r>
    </w:p>
    <w:p w:rsidR="00FC6F97" w:rsidRDefault="00DD2424" w:rsidP="00B83921">
      <w:pPr>
        <w:pStyle w:val="Numberedlist"/>
        <w:ind w:left="360"/>
      </w:pPr>
      <w:r>
        <w:t>Some</w:t>
      </w:r>
      <w:r w:rsidR="00FC6F97">
        <w:t xml:space="preserve"> submissions </w:t>
      </w:r>
      <w:r>
        <w:t xml:space="preserve">stated </w:t>
      </w:r>
      <w:r w:rsidR="00FC6F97">
        <w:t>that</w:t>
      </w:r>
      <w:r w:rsidR="00FC6F97" w:rsidRPr="00FC6F97">
        <w:t xml:space="preserve"> the proposed acquisition might</w:t>
      </w:r>
      <w:r w:rsidR="00FC6F97">
        <w:t xml:space="preserve">, by giving </w:t>
      </w:r>
      <w:r w:rsidR="00FC6F97" w:rsidRPr="00FC6F97">
        <w:t xml:space="preserve">Arrow </w:t>
      </w:r>
      <w:r w:rsidR="00FC6F97">
        <w:t xml:space="preserve">access </w:t>
      </w:r>
      <w:r w:rsidR="00FC6F97" w:rsidRPr="00FC6F97">
        <w:t>to existing BG infrastructure and expertise</w:t>
      </w:r>
      <w:r w:rsidR="00FC6F97">
        <w:t>,</w:t>
      </w:r>
      <w:r w:rsidR="00FC6F97" w:rsidRPr="00FC6F97">
        <w:t xml:space="preserve"> reduce the cost of developing Arrow’s reserves</w:t>
      </w:r>
      <w:r w:rsidR="00FC6F97">
        <w:t xml:space="preserve"> and increase its gas production</w:t>
      </w:r>
      <w:r w:rsidR="00FC6F97" w:rsidRPr="00FC6F97">
        <w:t xml:space="preserve">. This may increase the quantity of gas that Arrow </w:t>
      </w:r>
      <w:r w:rsidR="00E427CD">
        <w:t>c</w:t>
      </w:r>
      <w:r w:rsidR="00FC6F97" w:rsidRPr="00FC6F97">
        <w:t>ould supply to domestic customers</w:t>
      </w:r>
      <w:r w:rsidR="00FC6F97">
        <w:t xml:space="preserve"> because it would have more surplus gas after meeting QCLNG’s demand for gas</w:t>
      </w:r>
      <w:r w:rsidR="00FC6F97" w:rsidRPr="00FC6F97">
        <w:t>.</w:t>
      </w:r>
    </w:p>
    <w:p w:rsidR="001C35CA" w:rsidRDefault="00335EFA" w:rsidP="00AB2CDF">
      <w:pPr>
        <w:pStyle w:val="Numberedlist"/>
        <w:ind w:left="360"/>
      </w:pPr>
      <w:r>
        <w:t>However</w:t>
      </w:r>
      <w:r w:rsidR="00B83921">
        <w:t>, s</w:t>
      </w:r>
      <w:r w:rsidR="00905F96">
        <w:t>ome market participants submitted that as a result of the potential synergies</w:t>
      </w:r>
      <w:r w:rsidR="00B83921">
        <w:t xml:space="preserve"> in the Surat Basin</w:t>
      </w:r>
      <w:r w:rsidR="00905F96">
        <w:t>, Shell would have less incentive to develop Arrow’s reserves in the Bowen Basin (where Arrow would need to construct infrastructure to develop those reserves).</w:t>
      </w:r>
    </w:p>
    <w:p w:rsidR="00AB2CDF" w:rsidRDefault="00AB2CDF" w:rsidP="00AB2CDF">
      <w:pPr>
        <w:pStyle w:val="Numberedlist"/>
        <w:ind w:left="360"/>
      </w:pPr>
      <w:r>
        <w:t>Th</w:t>
      </w:r>
      <w:r w:rsidR="001C35CA">
        <w:t>ird, th</w:t>
      </w:r>
      <w:r>
        <w:t xml:space="preserve">e ACCC considers that reducing </w:t>
      </w:r>
      <w:r w:rsidR="008D3E73">
        <w:t xml:space="preserve">Shell’s </w:t>
      </w:r>
      <w:r>
        <w:t>incentive</w:t>
      </w:r>
      <w:r w:rsidR="008D3E73">
        <w:t>s</w:t>
      </w:r>
      <w:r>
        <w:t xml:space="preserve"> to develop </w:t>
      </w:r>
      <w:r w:rsidR="008D3E73">
        <w:t>Arrow’s</w:t>
      </w:r>
      <w:r>
        <w:t xml:space="preserve"> Bowen </w:t>
      </w:r>
      <w:r w:rsidR="008D3E73">
        <w:t>Basin reserves</w:t>
      </w:r>
      <w:r>
        <w:t xml:space="preserve"> </w:t>
      </w:r>
      <w:r w:rsidR="008D3E73">
        <w:t>would be likely to</w:t>
      </w:r>
      <w:r>
        <w:t xml:space="preserve"> delay</w:t>
      </w:r>
      <w:r w:rsidR="008D3E73">
        <w:t xml:space="preserve"> </w:t>
      </w:r>
      <w:r>
        <w:t>the construction of Arrow’s</w:t>
      </w:r>
      <w:r w:rsidR="000A0B65">
        <w:t xml:space="preserve"> proposed</w:t>
      </w:r>
      <w:r>
        <w:t xml:space="preserve"> Bowen to Gladstone Pipeline, which is currently in the front end engineering design (FEED) phase.</w:t>
      </w:r>
      <w:r w:rsidR="00DD2424">
        <w:rPr>
          <w:rStyle w:val="FootnoteReference"/>
        </w:rPr>
        <w:footnoteReference w:id="13"/>
      </w:r>
      <w:r>
        <w:t xml:space="preserve"> The ACCC </w:t>
      </w:r>
      <w:r w:rsidR="008D3E73">
        <w:t>understands that no other gas producer in the Bowen Basin currently has plans to construct a</w:t>
      </w:r>
      <w:r>
        <w:t xml:space="preserve"> pipeline </w:t>
      </w:r>
      <w:r w:rsidR="008D3E73">
        <w:t xml:space="preserve">to transport gas </w:t>
      </w:r>
      <w:r>
        <w:t xml:space="preserve">from the Bowen Basin to Gladstone or </w:t>
      </w:r>
      <w:r w:rsidR="008D3E73">
        <w:t xml:space="preserve">to connect with other pipelines in </w:t>
      </w:r>
      <w:r>
        <w:t>the east coast pipeline network.</w:t>
      </w:r>
      <w:r w:rsidR="008D3E73">
        <w:t xml:space="preserve"> The ACCC is considering whether,</w:t>
      </w:r>
      <w:r>
        <w:t xml:space="preserve"> </w:t>
      </w:r>
      <w:r w:rsidR="008D3E73">
        <w:t>in the event that</w:t>
      </w:r>
      <w:r>
        <w:t xml:space="preserve"> Arrow </w:t>
      </w:r>
      <w:r w:rsidR="008D3E73">
        <w:t xml:space="preserve">were to </w:t>
      </w:r>
      <w:r>
        <w:t>deprioritise</w:t>
      </w:r>
      <w:r w:rsidR="008D3E73">
        <w:t xml:space="preserve"> the</w:t>
      </w:r>
      <w:r>
        <w:t xml:space="preserve"> development of its Bowen Basin reserves, gas reserves </w:t>
      </w:r>
      <w:r w:rsidR="008D3E73">
        <w:t xml:space="preserve">owned by </w:t>
      </w:r>
      <w:r w:rsidR="006E5B82">
        <w:t>other gas producers and explorers</w:t>
      </w:r>
      <w:r w:rsidR="008D3E73">
        <w:t xml:space="preserve"> </w:t>
      </w:r>
      <w:r>
        <w:t xml:space="preserve">in the Bowen Basin </w:t>
      </w:r>
      <w:r w:rsidR="008D3E73">
        <w:t>may</w:t>
      </w:r>
      <w:r>
        <w:t xml:space="preserve"> be</w:t>
      </w:r>
      <w:r w:rsidR="008D3E73">
        <w:t>come</w:t>
      </w:r>
      <w:r>
        <w:t xml:space="preserve"> </w:t>
      </w:r>
      <w:r w:rsidR="008D3E73">
        <w:t>‘</w:t>
      </w:r>
      <w:r>
        <w:t>stranded</w:t>
      </w:r>
      <w:r w:rsidR="008D3E73">
        <w:t>’</w:t>
      </w:r>
      <w:r>
        <w:t xml:space="preserve"> </w:t>
      </w:r>
      <w:r w:rsidR="008D3E73">
        <w:t>if the development of their reserves is contingent on obtaining access to third party pipeline infrastructure</w:t>
      </w:r>
      <w:r>
        <w:t>.</w:t>
      </w:r>
    </w:p>
    <w:p w:rsidR="009C7182" w:rsidRDefault="009C7182" w:rsidP="009C7182">
      <w:pPr>
        <w:pStyle w:val="Numberedlist"/>
        <w:ind w:left="360"/>
      </w:pPr>
      <w:r>
        <w:t xml:space="preserve">However, in respect of all of the above, the ACCC is also considering </w:t>
      </w:r>
      <w:r w:rsidRPr="009C7182">
        <w:t>the</w:t>
      </w:r>
      <w:r>
        <w:t xml:space="preserve"> incentives created by the </w:t>
      </w:r>
      <w:r w:rsidRPr="009C7182">
        <w:t>Queensland Government's regulatory regime for tenure management</w:t>
      </w:r>
      <w:r>
        <w:t xml:space="preserve">. In particular, the ACCC is considering whether the legal framework </w:t>
      </w:r>
      <w:r w:rsidRPr="009C7182">
        <w:t>create</w:t>
      </w:r>
      <w:r>
        <w:t>s</w:t>
      </w:r>
      <w:r w:rsidRPr="009C7182">
        <w:t xml:space="preserve"> a</w:t>
      </w:r>
      <w:r w:rsidR="00E677F8">
        <w:t xml:space="preserve"> sufficient</w:t>
      </w:r>
      <w:r>
        <w:t xml:space="preserve"> incentive for Arrow to develop its reserves or risk consequences that could include loss of </w:t>
      </w:r>
      <w:r w:rsidR="00E677F8">
        <w:t xml:space="preserve">some </w:t>
      </w:r>
      <w:r>
        <w:t>tenure.</w:t>
      </w:r>
    </w:p>
    <w:p w:rsidR="00293431" w:rsidRPr="00293431" w:rsidRDefault="00E42AAB" w:rsidP="00FC112E">
      <w:pPr>
        <w:pStyle w:val="Heading4"/>
        <w:spacing w:after="240"/>
      </w:pPr>
      <w:r>
        <w:t>Likelihood of new entry into the domestic gas market</w:t>
      </w:r>
    </w:p>
    <w:p w:rsidR="00B3619A" w:rsidRDefault="00F159BE" w:rsidP="00471F28">
      <w:pPr>
        <w:pStyle w:val="Numberedlist"/>
        <w:ind w:left="360"/>
      </w:pPr>
      <w:r>
        <w:t xml:space="preserve">The ACCC’s preliminary view is that </w:t>
      </w:r>
      <w:r w:rsidR="00D23262">
        <w:t xml:space="preserve">significant </w:t>
      </w:r>
      <w:r w:rsidR="007A3D4D">
        <w:t xml:space="preserve">new </w:t>
      </w:r>
      <w:r>
        <w:t>entry</w:t>
      </w:r>
      <w:r w:rsidR="00D23262">
        <w:t xml:space="preserve"> into the market is unlikely in the foreseeable future</w:t>
      </w:r>
      <w:r>
        <w:t>.</w:t>
      </w:r>
    </w:p>
    <w:p w:rsidR="004A10FA" w:rsidRDefault="009D1D37" w:rsidP="00E1700F">
      <w:pPr>
        <w:pStyle w:val="Numberedlist"/>
        <w:ind w:left="360"/>
      </w:pPr>
      <w:r>
        <w:lastRenderedPageBreak/>
        <w:t>While some smaller gas suppliers have announced ambitious plans for expansion,</w:t>
      </w:r>
      <w:r w:rsidR="009A52E3">
        <w:rPr>
          <w:rStyle w:val="FootnoteReference"/>
        </w:rPr>
        <w:footnoteReference w:id="14"/>
      </w:r>
      <w:r>
        <w:t xml:space="preserve"> </w:t>
      </w:r>
      <w:r w:rsidR="00CE65A3">
        <w:t xml:space="preserve">the ACCC’s </w:t>
      </w:r>
      <w:r>
        <w:t>market inquiries suggest that g</w:t>
      </w:r>
      <w:r w:rsidRPr="00753F7F">
        <w:t xml:space="preserve">as </w:t>
      </w:r>
      <w:r w:rsidR="00041B40" w:rsidRPr="00753F7F">
        <w:t xml:space="preserve">explorers and junior gas producers face significant </w:t>
      </w:r>
      <w:r w:rsidR="00D23262">
        <w:t>barriers</w:t>
      </w:r>
      <w:r w:rsidR="0055537F">
        <w:t xml:space="preserve">—in the form of </w:t>
      </w:r>
      <w:r w:rsidR="0048460A">
        <w:t xml:space="preserve">long </w:t>
      </w:r>
      <w:r w:rsidR="0055537F">
        <w:t>lead time</w:t>
      </w:r>
      <w:r w:rsidR="0048460A">
        <w:t>s, high capital costs and</w:t>
      </w:r>
      <w:r w:rsidR="0055537F">
        <w:t xml:space="preserve"> </w:t>
      </w:r>
      <w:r w:rsidR="0048460A" w:rsidRPr="0048460A">
        <w:t>significant financial pressures in the current low oil price environment</w:t>
      </w:r>
      <w:r w:rsidR="0055537F">
        <w:t>—</w:t>
      </w:r>
      <w:r w:rsidR="00753F7F" w:rsidRPr="00753F7F">
        <w:t xml:space="preserve">to </w:t>
      </w:r>
      <w:r w:rsidR="00D078CB">
        <w:t>enter</w:t>
      </w:r>
      <w:r w:rsidR="00AC7BD7">
        <w:t>ing</w:t>
      </w:r>
      <w:r w:rsidR="00D078CB">
        <w:t xml:space="preserve"> and </w:t>
      </w:r>
      <w:r w:rsidR="00753F7F" w:rsidRPr="00753F7F">
        <w:t>achiev</w:t>
      </w:r>
      <w:r w:rsidR="00AC7BD7">
        <w:t>ing</w:t>
      </w:r>
      <w:r w:rsidR="00753F7F" w:rsidRPr="00753F7F">
        <w:t xml:space="preserve"> the scale necessary</w:t>
      </w:r>
      <w:r w:rsidR="0055537F">
        <w:t xml:space="preserve"> </w:t>
      </w:r>
      <w:r w:rsidR="007E632F">
        <w:t>to constrain suppliers with more significant reserves</w:t>
      </w:r>
      <w:r w:rsidR="00D078CB">
        <w:t xml:space="preserve"> in a timely manne</w:t>
      </w:r>
      <w:r w:rsidR="004A10FA">
        <w:t>r.</w:t>
      </w:r>
    </w:p>
    <w:p w:rsidR="00330255" w:rsidRDefault="004A10FA" w:rsidP="004B797C">
      <w:pPr>
        <w:pStyle w:val="Numberedlist"/>
        <w:ind w:left="360"/>
      </w:pPr>
      <w:r>
        <w:t xml:space="preserve">Barriers to entry are further heightened </w:t>
      </w:r>
      <w:r w:rsidR="004B723B">
        <w:t>by</w:t>
      </w:r>
      <w:r>
        <w:t xml:space="preserve"> </w:t>
      </w:r>
      <w:r w:rsidR="004B723B">
        <w:t xml:space="preserve">regulatory restrictions in </w:t>
      </w:r>
      <w:r>
        <w:t>NSW and Victoria. For instance, i</w:t>
      </w:r>
      <w:r w:rsidRPr="00E927BE">
        <w:t>n NSW, there is a moratorium on new CSG exploration licences and on CSG production in wa</w:t>
      </w:r>
      <w:r w:rsidRPr="001C42E6">
        <w:t>ter catchments. In Victoria,</w:t>
      </w:r>
      <w:r w:rsidRPr="00807720">
        <w:t xml:space="preserve"> there is a moratorium on all hydraulic fracturing and new onshore exploration licences.</w:t>
      </w:r>
      <w:r>
        <w:t xml:space="preserve"> </w:t>
      </w:r>
      <w:r w:rsidR="00AC7BD7">
        <w:t>Since</w:t>
      </w:r>
      <w:r w:rsidRPr="00E927BE">
        <w:t xml:space="preserve"> 2014, Victoria has place</w:t>
      </w:r>
      <w:r>
        <w:t>d</w:t>
      </w:r>
      <w:r w:rsidRPr="00E927BE">
        <w:t xml:space="preserve"> a</w:t>
      </w:r>
      <w:r>
        <w:t xml:space="preserve"> further</w:t>
      </w:r>
      <w:r w:rsidRPr="00E927BE">
        <w:t xml:space="preserve"> hold on all exploration drilling for existing licences</w:t>
      </w:r>
      <w:r w:rsidRPr="001C42E6">
        <w:t>.</w:t>
      </w:r>
      <w:r>
        <w:t xml:space="preserve"> </w:t>
      </w:r>
    </w:p>
    <w:p w:rsidR="00C257B7" w:rsidRDefault="00D37C88" w:rsidP="00471F28">
      <w:pPr>
        <w:pStyle w:val="Numberedlist"/>
        <w:ind w:left="360"/>
      </w:pPr>
      <w:r>
        <w:t>Market inquir</w:t>
      </w:r>
      <w:r w:rsidR="004705D6">
        <w:t>i</w:t>
      </w:r>
      <w:r>
        <w:t xml:space="preserve">es indicated that </w:t>
      </w:r>
      <w:r w:rsidR="00476336">
        <w:t xml:space="preserve">on occasion </w:t>
      </w:r>
      <w:r w:rsidRPr="00753F7F">
        <w:t>large domestic g</w:t>
      </w:r>
      <w:r>
        <w:t xml:space="preserve">as </w:t>
      </w:r>
      <w:r w:rsidR="00777DB4">
        <w:t>users</w:t>
      </w:r>
      <w:r>
        <w:t xml:space="preserve"> may</w:t>
      </w:r>
      <w:r w:rsidRPr="00753F7F">
        <w:t xml:space="preserve"> sponsor </w:t>
      </w:r>
      <w:r w:rsidR="00476336">
        <w:t xml:space="preserve">the </w:t>
      </w:r>
      <w:r w:rsidRPr="00753F7F">
        <w:t>entry</w:t>
      </w:r>
      <w:r w:rsidR="0055537F">
        <w:t xml:space="preserve"> or expansion</w:t>
      </w:r>
      <w:r>
        <w:t xml:space="preserve"> of a smaller </w:t>
      </w:r>
      <w:r w:rsidR="00C919B0">
        <w:t>supplier of natural gas</w:t>
      </w:r>
      <w:r w:rsidRPr="00753F7F">
        <w:t xml:space="preserve">. </w:t>
      </w:r>
      <w:r w:rsidR="005F675D">
        <w:t xml:space="preserve">For instance, Strike Energy </w:t>
      </w:r>
      <w:r w:rsidR="005F675D" w:rsidRPr="005F675D">
        <w:t>has</w:t>
      </w:r>
      <w:r w:rsidR="00787B3F">
        <w:t xml:space="preserve"> Gas </w:t>
      </w:r>
      <w:r w:rsidR="00DF5665">
        <w:t xml:space="preserve">Sales </w:t>
      </w:r>
      <w:r w:rsidR="00787B3F">
        <w:t>Agreements</w:t>
      </w:r>
      <w:r w:rsidR="005F675D" w:rsidRPr="005F675D">
        <w:t xml:space="preserve"> </w:t>
      </w:r>
      <w:r w:rsidR="00787B3F">
        <w:t>(</w:t>
      </w:r>
      <w:r w:rsidR="005F675D" w:rsidRPr="005F675D">
        <w:t>GSAs</w:t>
      </w:r>
      <w:r w:rsidR="00787B3F">
        <w:t>)</w:t>
      </w:r>
      <w:r w:rsidR="005F675D" w:rsidRPr="005F675D">
        <w:t xml:space="preserve"> with</w:t>
      </w:r>
      <w:r w:rsidR="005F675D">
        <w:t xml:space="preserve"> three large customers</w:t>
      </w:r>
      <w:r w:rsidR="005F675D" w:rsidRPr="005F675D">
        <w:t xml:space="preserve"> </w:t>
      </w:r>
      <w:r w:rsidR="00777DB4">
        <w:t>that</w:t>
      </w:r>
      <w:r w:rsidR="005F675D" w:rsidRPr="005F675D">
        <w:t xml:space="preserve"> have made gas pre</w:t>
      </w:r>
      <w:r w:rsidR="005F675D" w:rsidRPr="005F675D">
        <w:rPr>
          <w:rFonts w:ascii="Cambria Math" w:hAnsi="Cambria Math" w:cs="Cambria Math"/>
        </w:rPr>
        <w:t>‐</w:t>
      </w:r>
      <w:r w:rsidR="005F675D" w:rsidRPr="005F675D">
        <w:t xml:space="preserve">payments to advance </w:t>
      </w:r>
      <w:r w:rsidR="005F675D">
        <w:t>Strike Energy’s appraisal program</w:t>
      </w:r>
      <w:r w:rsidR="005F675D" w:rsidRPr="005F675D">
        <w:t>.</w:t>
      </w:r>
      <w:r w:rsidR="005F675D">
        <w:rPr>
          <w:rStyle w:val="FootnoteReference"/>
        </w:rPr>
        <w:footnoteReference w:id="15"/>
      </w:r>
      <w:r w:rsidR="005F675D">
        <w:t xml:space="preserve"> </w:t>
      </w:r>
    </w:p>
    <w:p w:rsidR="001C42C7" w:rsidRDefault="00041B40" w:rsidP="00471F28">
      <w:pPr>
        <w:pStyle w:val="Numberedlist"/>
        <w:ind w:left="360"/>
      </w:pPr>
      <w:r w:rsidRPr="00753F7F">
        <w:t>However,</w:t>
      </w:r>
      <w:r>
        <w:t xml:space="preserve"> </w:t>
      </w:r>
      <w:r w:rsidR="00242924">
        <w:t xml:space="preserve">the ACCC understands that </w:t>
      </w:r>
      <w:r>
        <w:t xml:space="preserve">such sponsorship </w:t>
      </w:r>
      <w:r w:rsidR="009F0FAE">
        <w:t>is not common</w:t>
      </w:r>
      <w:r>
        <w:t xml:space="preserve">. </w:t>
      </w:r>
      <w:r w:rsidR="00242924">
        <w:t>Market inquiries indicated that it</w:t>
      </w:r>
      <w:r>
        <w:t xml:space="preserve"> comes</w:t>
      </w:r>
      <w:r w:rsidRPr="00753F7F">
        <w:t xml:space="preserve"> at </w:t>
      </w:r>
      <w:r>
        <w:t>significant</w:t>
      </w:r>
      <w:r w:rsidRPr="00753F7F">
        <w:t xml:space="preserve"> cost and risk</w:t>
      </w:r>
      <w:r w:rsidR="00476336">
        <w:t xml:space="preserve"> for the domestic gas user</w:t>
      </w:r>
      <w:r>
        <w:t>, which many would be either unable or unwilling to bear.</w:t>
      </w:r>
      <w:r w:rsidRPr="005652D1">
        <w:t xml:space="preserve"> </w:t>
      </w:r>
      <w:r w:rsidR="00242924">
        <w:t xml:space="preserve">Sponsoring customers </w:t>
      </w:r>
      <w:r w:rsidR="00002D16">
        <w:t>often</w:t>
      </w:r>
      <w:r w:rsidR="00242924">
        <w:t xml:space="preserve"> seek to reduce their risks</w:t>
      </w:r>
      <w:r w:rsidR="00002D16">
        <w:t>—</w:t>
      </w:r>
      <w:r w:rsidRPr="005652D1">
        <w:t>Strike</w:t>
      </w:r>
      <w:r w:rsidR="00002D16">
        <w:t>’</w:t>
      </w:r>
      <w:r w:rsidRPr="005652D1">
        <w:t>s</w:t>
      </w:r>
      <w:r w:rsidR="00002D16">
        <w:t xml:space="preserve"> </w:t>
      </w:r>
      <w:r w:rsidRPr="005652D1">
        <w:t xml:space="preserve">gas supply obligations under the GSAs are conditional upon a </w:t>
      </w:r>
      <w:r>
        <w:t>final investment decision</w:t>
      </w:r>
      <w:r w:rsidRPr="005652D1">
        <w:t xml:space="preserve"> for the commercialisation of </w:t>
      </w:r>
      <w:r>
        <w:t>a particular project</w:t>
      </w:r>
      <w:r w:rsidR="00B360A8">
        <w:t>, based on the commercial and technical viability of the project</w:t>
      </w:r>
      <w:r>
        <w:t>.</w:t>
      </w:r>
      <w:r w:rsidR="00B86E00">
        <w:rPr>
          <w:rStyle w:val="FootnoteReference"/>
        </w:rPr>
        <w:footnoteReference w:id="16"/>
      </w:r>
    </w:p>
    <w:p w:rsidR="00C244F0" w:rsidRDefault="00476336" w:rsidP="00C244F0">
      <w:pPr>
        <w:pStyle w:val="Numberedlist"/>
        <w:ind w:left="360"/>
      </w:pPr>
      <w:r>
        <w:t xml:space="preserve">For these reasons, the ACCC </w:t>
      </w:r>
      <w:r w:rsidR="00E23F83">
        <w:t>considers that significant new entry into the market is unlikely in the foreseeable future.</w:t>
      </w:r>
    </w:p>
    <w:p w:rsidR="00263E2D" w:rsidRDefault="005C028F" w:rsidP="00ED7E64">
      <w:pPr>
        <w:pStyle w:val="commentbox"/>
        <w:spacing w:after="0"/>
      </w:pPr>
      <w:r w:rsidRPr="004D3271">
        <w:t xml:space="preserve">The ACCC invites comments </w:t>
      </w:r>
      <w:r w:rsidR="00263E2D">
        <w:t>on</w:t>
      </w:r>
      <w:r w:rsidR="00ED7E64">
        <w:t xml:space="preserve"> </w:t>
      </w:r>
      <w:r w:rsidR="00263E2D">
        <w:t xml:space="preserve">whether the proposed acquisition would affect the likelihood of Arrow </w:t>
      </w:r>
      <w:r w:rsidR="00827F48">
        <w:t>supplying</w:t>
      </w:r>
      <w:r w:rsidR="00263E2D">
        <w:t xml:space="preserve"> gas to domestic users, or the quantity of gas that it would </w:t>
      </w:r>
      <w:r w:rsidR="00827F48">
        <w:t xml:space="preserve">be likely to </w:t>
      </w:r>
      <w:r w:rsidR="00263E2D">
        <w:t>supply to the domestic market</w:t>
      </w:r>
      <w:r w:rsidR="00ED7E64">
        <w:t>. In particular, please comment on:</w:t>
      </w:r>
    </w:p>
    <w:p w:rsidR="00ED7E64" w:rsidRDefault="00ED7E64" w:rsidP="00B64381">
      <w:pPr>
        <w:pStyle w:val="commentbox"/>
        <w:numPr>
          <w:ilvl w:val="0"/>
          <w:numId w:val="3"/>
        </w:numPr>
      </w:pPr>
      <w:r>
        <w:t xml:space="preserve">the </w:t>
      </w:r>
      <w:r w:rsidR="009F0FAE">
        <w:t xml:space="preserve">proposition </w:t>
      </w:r>
      <w:r w:rsidR="00827F48">
        <w:t>that Arrow’s development of its reserves is contingent on obtaining</w:t>
      </w:r>
      <w:r>
        <w:t xml:space="preserve"> </w:t>
      </w:r>
      <w:r w:rsidR="00827F48">
        <w:t xml:space="preserve">large </w:t>
      </w:r>
      <w:r>
        <w:t>foundational contract</w:t>
      </w:r>
      <w:r w:rsidR="00944D31">
        <w:t>(</w:t>
      </w:r>
      <w:r>
        <w:t>s</w:t>
      </w:r>
      <w:r w:rsidR="00944D31">
        <w:t>)</w:t>
      </w:r>
      <w:r w:rsidR="00827F48">
        <w:t xml:space="preserve"> and, if so,</w:t>
      </w:r>
      <w:r>
        <w:t xml:space="preserve"> </w:t>
      </w:r>
      <w:r w:rsidR="00827F48">
        <w:t xml:space="preserve">whether </w:t>
      </w:r>
      <w:r>
        <w:t xml:space="preserve">a </w:t>
      </w:r>
      <w:r w:rsidR="00827F48">
        <w:t xml:space="preserve">sufficiently large and long-term </w:t>
      </w:r>
      <w:r>
        <w:t xml:space="preserve">foundational </w:t>
      </w:r>
      <w:r w:rsidR="00827F48">
        <w:t xml:space="preserve">contract could only be agreed with an </w:t>
      </w:r>
      <w:r>
        <w:t xml:space="preserve">LNG </w:t>
      </w:r>
      <w:r w:rsidR="00827F48">
        <w:t>plant operator</w:t>
      </w:r>
    </w:p>
    <w:p w:rsidR="008E4E24" w:rsidRDefault="008E4E24" w:rsidP="008E4E24">
      <w:pPr>
        <w:pStyle w:val="commentbox"/>
        <w:numPr>
          <w:ilvl w:val="0"/>
          <w:numId w:val="3"/>
        </w:numPr>
      </w:pPr>
      <w:r>
        <w:t xml:space="preserve">the amount of gas that Arrow </w:t>
      </w:r>
      <w:r w:rsidR="00827F48">
        <w:t>would</w:t>
      </w:r>
      <w:r>
        <w:t xml:space="preserve"> be </w:t>
      </w:r>
      <w:r w:rsidR="00827F48">
        <w:t xml:space="preserve">likely </w:t>
      </w:r>
      <w:r>
        <w:t xml:space="preserve">to supply to the domestic market </w:t>
      </w:r>
      <w:r w:rsidR="00DE4A08">
        <w:t>both in the event that the proposed acquisition does not occur and in the event that the</w:t>
      </w:r>
      <w:r>
        <w:t xml:space="preserve"> proposed acquisition</w:t>
      </w:r>
      <w:r w:rsidR="00DE4A08">
        <w:t xml:space="preserve"> does occur</w:t>
      </w:r>
      <w:r w:rsidR="00827F48">
        <w:t>, and the reasons for your view.</w:t>
      </w:r>
    </w:p>
    <w:p w:rsidR="0079504C" w:rsidRDefault="0079504C" w:rsidP="0079504C">
      <w:pPr>
        <w:pStyle w:val="commentbox"/>
      </w:pPr>
      <w:r>
        <w:t>The ACCC also invites comments on:</w:t>
      </w:r>
    </w:p>
    <w:p w:rsidR="0079504C" w:rsidRDefault="0079504C" w:rsidP="0079504C">
      <w:pPr>
        <w:pStyle w:val="commentbox"/>
        <w:numPr>
          <w:ilvl w:val="0"/>
          <w:numId w:val="3"/>
        </w:numPr>
      </w:pPr>
      <w:r>
        <w:t>whether</w:t>
      </w:r>
      <w:r w:rsidR="00827F48">
        <w:t xml:space="preserve"> and how</w:t>
      </w:r>
      <w:r>
        <w:t xml:space="preserve"> the proposed acquisition would change Arrow</w:t>
      </w:r>
      <w:r w:rsidR="00827F48">
        <w:t>’s</w:t>
      </w:r>
      <w:r>
        <w:t xml:space="preserve"> and BG’s </w:t>
      </w:r>
      <w:r w:rsidR="00827F48">
        <w:t>incentives to develop their reserves, invest in infrastructure and explore for gas in Queensland</w:t>
      </w:r>
      <w:r>
        <w:t xml:space="preserve"> </w:t>
      </w:r>
    </w:p>
    <w:p w:rsidR="005C028F" w:rsidRDefault="0079504C" w:rsidP="00B64381">
      <w:pPr>
        <w:pStyle w:val="commentbox"/>
        <w:numPr>
          <w:ilvl w:val="0"/>
          <w:numId w:val="3"/>
        </w:numPr>
      </w:pPr>
      <w:r>
        <w:lastRenderedPageBreak/>
        <w:t>whether</w:t>
      </w:r>
      <w:r w:rsidR="005C028F">
        <w:t xml:space="preserve"> the Queensland Government’s </w:t>
      </w:r>
      <w:r>
        <w:t xml:space="preserve">regulatory </w:t>
      </w:r>
      <w:r w:rsidR="00827F48">
        <w:t>regime</w:t>
      </w:r>
      <w:r>
        <w:t xml:space="preserve"> for </w:t>
      </w:r>
      <w:r w:rsidR="005C028F">
        <w:t xml:space="preserve">tenure </w:t>
      </w:r>
      <w:r>
        <w:t xml:space="preserve">management </w:t>
      </w:r>
      <w:r w:rsidR="005C028F">
        <w:t xml:space="preserve">would </w:t>
      </w:r>
      <w:r w:rsidR="00827F48">
        <w:t xml:space="preserve">create a </w:t>
      </w:r>
      <w:r w:rsidR="00C4406B">
        <w:t xml:space="preserve">sufficient </w:t>
      </w:r>
      <w:r w:rsidR="00827F48">
        <w:t>incentive for</w:t>
      </w:r>
      <w:r w:rsidR="005C028F">
        <w:t xml:space="preserve"> Arrow and BG </w:t>
      </w:r>
      <w:r w:rsidR="00827F48">
        <w:t>not to</w:t>
      </w:r>
      <w:r w:rsidR="005C028F">
        <w:t xml:space="preserve"> reduc</w:t>
      </w:r>
      <w:r w:rsidR="00827F48">
        <w:t>e</w:t>
      </w:r>
      <w:r w:rsidR="005C028F">
        <w:t xml:space="preserve"> </w:t>
      </w:r>
      <w:r w:rsidR="00827F48">
        <w:t>their</w:t>
      </w:r>
      <w:r w:rsidR="005C028F">
        <w:t xml:space="preserve"> </w:t>
      </w:r>
      <w:r w:rsidR="00827F48">
        <w:t xml:space="preserve">reserve development and gas </w:t>
      </w:r>
      <w:r w:rsidR="005C028F">
        <w:t>production</w:t>
      </w:r>
      <w:r w:rsidR="00827F48">
        <w:t xml:space="preserve"> activities</w:t>
      </w:r>
      <w:r>
        <w:t>.</w:t>
      </w:r>
      <w:r w:rsidR="005C028F">
        <w:t xml:space="preserve"> Please </w:t>
      </w:r>
      <w:r w:rsidR="00827F48">
        <w:t>give reasons</w:t>
      </w:r>
      <w:r w:rsidR="005C028F">
        <w:t xml:space="preserve"> </w:t>
      </w:r>
    </w:p>
    <w:p w:rsidR="00C244F0" w:rsidRDefault="005C028F" w:rsidP="00D53D69">
      <w:pPr>
        <w:pStyle w:val="commentbox"/>
        <w:numPr>
          <w:ilvl w:val="0"/>
          <w:numId w:val="3"/>
        </w:numPr>
      </w:pPr>
      <w:r>
        <w:t>the likelihood of new entry into the domestic gas market. If possible, please provide recent examples of successful entry or attempts to enter</w:t>
      </w:r>
      <w:r w:rsidR="0079504C">
        <w:t>.</w:t>
      </w:r>
    </w:p>
    <w:p w:rsidR="008F757E" w:rsidRDefault="008F757E" w:rsidP="008F757E">
      <w:pPr>
        <w:pStyle w:val="commentbox"/>
      </w:pPr>
      <w:r>
        <w:t>Please provide evidence to support your views.</w:t>
      </w:r>
    </w:p>
    <w:p w:rsidR="00F75426" w:rsidRDefault="00E569FA" w:rsidP="005D3A35">
      <w:pPr>
        <w:pStyle w:val="Heading3"/>
        <w:spacing w:before="240"/>
      </w:pPr>
      <w:r w:rsidRPr="00DC00C1">
        <w:t>Issue</w:t>
      </w:r>
      <w:r w:rsidR="00F75426">
        <w:t>s</w:t>
      </w:r>
      <w:r w:rsidRPr="00DC00C1">
        <w:t xml:space="preserve"> </w:t>
      </w:r>
      <w:r w:rsidR="00774AC6">
        <w:t xml:space="preserve">unlikely to </w:t>
      </w:r>
      <w:r w:rsidRPr="00DC00C1">
        <w:t xml:space="preserve">raise concerns: </w:t>
      </w:r>
      <w:r w:rsidR="00C4406B">
        <w:t>f</w:t>
      </w:r>
      <w:r w:rsidR="00771069" w:rsidRPr="00771069">
        <w:t>oreclosure of other LNG plants</w:t>
      </w:r>
    </w:p>
    <w:p w:rsidR="00823426" w:rsidRDefault="000455A4">
      <w:pPr>
        <w:pStyle w:val="Numberedlist"/>
        <w:ind w:left="360"/>
      </w:pPr>
      <w:bookmarkStart w:id="22" w:name="_Ref428438515"/>
      <w:r>
        <w:t xml:space="preserve">The ACCC </w:t>
      </w:r>
      <w:r w:rsidR="00823426">
        <w:t>has</w:t>
      </w:r>
      <w:r>
        <w:t xml:space="preserve"> consider</w:t>
      </w:r>
      <w:r w:rsidR="00823426">
        <w:t>ed</w:t>
      </w:r>
      <w:r>
        <w:t xml:space="preserve"> whether the proposed acquisition would </w:t>
      </w:r>
      <w:r w:rsidR="00D86CEB">
        <w:t xml:space="preserve">raise </w:t>
      </w:r>
      <w:r>
        <w:t xml:space="preserve">any vertical </w:t>
      </w:r>
      <w:r w:rsidR="00D86CEB">
        <w:t>competition concerns</w:t>
      </w:r>
      <w:r>
        <w:t xml:space="preserve">. In particular, the ACCC </w:t>
      </w:r>
      <w:r w:rsidR="00823426">
        <w:t>considered</w:t>
      </w:r>
      <w:r>
        <w:t xml:space="preserve"> whether</w:t>
      </w:r>
      <w:r w:rsidRPr="001C4BEF">
        <w:t xml:space="preserve"> </w:t>
      </w:r>
      <w:r>
        <w:t>the merged entity could use</w:t>
      </w:r>
      <w:r w:rsidR="00A46BFB">
        <w:t xml:space="preserve"> any market power arising from </w:t>
      </w:r>
      <w:r>
        <w:t>its large share of 2P reserves to foreclose rival LNG plants</w:t>
      </w:r>
      <w:r w:rsidR="006A28D7">
        <w:t xml:space="preserve"> from accessing gas</w:t>
      </w:r>
      <w:r>
        <w:t xml:space="preserve">. </w:t>
      </w:r>
    </w:p>
    <w:p w:rsidR="006A28D7" w:rsidRDefault="000455A4" w:rsidP="00823426">
      <w:pPr>
        <w:pStyle w:val="Numberedlist"/>
        <w:ind w:left="360"/>
      </w:pPr>
      <w:r>
        <w:t xml:space="preserve">The ACCC’s preliminary view is that the merged entity would have little incentive to pursue this strategy. </w:t>
      </w:r>
      <w:bookmarkEnd w:id="22"/>
      <w:r w:rsidR="00823426">
        <w:t xml:space="preserve">This is </w:t>
      </w:r>
      <w:bookmarkStart w:id="23" w:name="_Ref428438525"/>
      <w:r w:rsidR="005B52F5">
        <w:t>because</w:t>
      </w:r>
      <w:r w:rsidR="00F15E45">
        <w:t xml:space="preserve"> the merged entity would </w:t>
      </w:r>
      <w:r>
        <w:t xml:space="preserve">only </w:t>
      </w:r>
      <w:r w:rsidR="001F5F67">
        <w:t>su</w:t>
      </w:r>
      <w:r w:rsidR="00F15E45">
        <w:t>pply</w:t>
      </w:r>
      <w:r>
        <w:t xml:space="preserve"> a small share of the global LNG market</w:t>
      </w:r>
      <w:r w:rsidR="00823426">
        <w:t xml:space="preserve"> and </w:t>
      </w:r>
      <w:r w:rsidR="00F75426">
        <w:t>c</w:t>
      </w:r>
      <w:r w:rsidR="00F75426" w:rsidRPr="00F75426">
        <w:t xml:space="preserve">ompetition </w:t>
      </w:r>
      <w:r w:rsidR="00F75426">
        <w:t>i</w:t>
      </w:r>
      <w:r w:rsidR="00F75426" w:rsidRPr="00F75426">
        <w:t xml:space="preserve">n the </w:t>
      </w:r>
      <w:r w:rsidR="00F75426">
        <w:t>global</w:t>
      </w:r>
      <w:r w:rsidR="00F75426" w:rsidRPr="00F75426">
        <w:t xml:space="preserve"> LNG market </w:t>
      </w:r>
      <w:r w:rsidR="00F75426">
        <w:t xml:space="preserve">would </w:t>
      </w:r>
      <w:r w:rsidR="00F75426" w:rsidRPr="00F75426">
        <w:t>constrain the merged entity from being able to increase the price o</w:t>
      </w:r>
      <w:r w:rsidR="00F75426">
        <w:t>f</w:t>
      </w:r>
      <w:r w:rsidR="00F75426" w:rsidRPr="00F75426">
        <w:t xml:space="preserve"> its LNG exports.</w:t>
      </w:r>
      <w:r w:rsidR="001F5F67">
        <w:t xml:space="preserve"> </w:t>
      </w:r>
      <w:r w:rsidR="00823426" w:rsidRPr="00823426">
        <w:t>As such, this issue is unlikely to raise concerns.</w:t>
      </w:r>
    </w:p>
    <w:bookmarkEnd w:id="23"/>
    <w:p w:rsidR="00EF77BD" w:rsidRDefault="00EF77BD">
      <w:pPr>
        <w:pStyle w:val="commentbox"/>
      </w:pPr>
      <w:r w:rsidRPr="004D3271">
        <w:t>The ACCC invites comments from market participants o</w:t>
      </w:r>
      <w:r>
        <w:t>n the potential for Shell to foreclose rival LNG plants.</w:t>
      </w:r>
      <w:r w:rsidRPr="004D3271">
        <w:t xml:space="preserve"> In particular</w:t>
      </w:r>
      <w:r w:rsidR="00F75426">
        <w:t>,</w:t>
      </w:r>
      <w:r w:rsidRPr="004D3271">
        <w:t xml:space="preserve"> market participants may wish to comment on</w:t>
      </w:r>
      <w:r w:rsidR="00E11A4C">
        <w:t xml:space="preserve"> </w:t>
      </w:r>
      <w:r w:rsidR="00252B1C">
        <w:t>w</w:t>
      </w:r>
      <w:r>
        <w:t xml:space="preserve">hether the merged entity would have </w:t>
      </w:r>
      <w:r w:rsidR="00252B1C">
        <w:t>the</w:t>
      </w:r>
      <w:r>
        <w:t xml:space="preserve"> incentive or </w:t>
      </w:r>
      <w:r w:rsidR="00252B1C">
        <w:t>ability</w:t>
      </w:r>
      <w:r>
        <w:t xml:space="preserve"> to foreclose rival LNG plants to influence prices in the </w:t>
      </w:r>
      <w:r w:rsidR="00252B1C">
        <w:t xml:space="preserve">global </w:t>
      </w:r>
      <w:r>
        <w:t>market</w:t>
      </w:r>
      <w:r w:rsidR="00A43445">
        <w:t>.</w:t>
      </w:r>
      <w:r w:rsidR="00252B1C">
        <w:t xml:space="preserve"> </w:t>
      </w:r>
    </w:p>
    <w:p w:rsidR="00FB30A0" w:rsidRDefault="00FB30A0" w:rsidP="005D3A35">
      <w:pPr>
        <w:pStyle w:val="Heading3"/>
        <w:spacing w:before="240"/>
      </w:pPr>
      <w:r>
        <w:t xml:space="preserve">ACCC's </w:t>
      </w:r>
      <w:r w:rsidR="00B360A8">
        <w:t xml:space="preserve">next </w:t>
      </w:r>
      <w:r>
        <w:t>steps</w:t>
      </w:r>
    </w:p>
    <w:p w:rsidR="00FB30A0" w:rsidRDefault="00FB30A0" w:rsidP="0085002B">
      <w:pPr>
        <w:pStyle w:val="Numberedlist"/>
        <w:ind w:left="360" w:hanging="644"/>
      </w:pPr>
      <w:r>
        <w:t xml:space="preserve">The ACCC will finalise its view on this matter after it considers </w:t>
      </w:r>
      <w:r w:rsidR="001C42C7">
        <w:t>submissions</w:t>
      </w:r>
      <w:r>
        <w:t xml:space="preserve"> </w:t>
      </w:r>
      <w:r w:rsidR="00A43445">
        <w:t>provided in response to</w:t>
      </w:r>
      <w:r>
        <w:t xml:space="preserve"> this Statement of Issues.</w:t>
      </w:r>
    </w:p>
    <w:p w:rsidR="00FB30A0" w:rsidRDefault="00A43445" w:rsidP="0085002B">
      <w:pPr>
        <w:pStyle w:val="Numberedlist"/>
        <w:ind w:left="360" w:hanging="644"/>
      </w:pPr>
      <w:r>
        <w:t>T</w:t>
      </w:r>
      <w:r w:rsidR="00FB30A0">
        <w:t>he ACCC seeks submissions from market participants on each of the issues identified in this Statement of Issues and on any other issue that may be relevant to the ACCC's assessment of this matter.</w:t>
      </w:r>
      <w:r w:rsidR="00F835E1" w:rsidRPr="00F835E1">
        <w:t xml:space="preserve"> </w:t>
      </w:r>
      <w:r w:rsidR="00F835E1">
        <w:t xml:space="preserve">Submissions are to be received by the ACCC no later than </w:t>
      </w:r>
      <w:r w:rsidR="00B14465">
        <w:t xml:space="preserve">8 </w:t>
      </w:r>
      <w:r w:rsidR="00A80901">
        <w:t xml:space="preserve">October </w:t>
      </w:r>
      <w:r w:rsidR="00F835E1">
        <w:t>201</w:t>
      </w:r>
      <w:r w:rsidR="00E5078D">
        <w:t>5</w:t>
      </w:r>
      <w:r w:rsidR="00F835E1">
        <w:t xml:space="preserve"> and should be emailed to </w:t>
      </w:r>
      <w:hyperlink r:id="rId26" w:history="1">
        <w:r w:rsidR="00F835E1" w:rsidRPr="00C8672F">
          <w:rPr>
            <w:rStyle w:val="Hyperlink"/>
          </w:rPr>
          <w:t>mergers@accc.gov.au</w:t>
        </w:r>
      </w:hyperlink>
      <w:r w:rsidR="00F835E1">
        <w:t>.</w:t>
      </w:r>
    </w:p>
    <w:p w:rsidR="002314C6" w:rsidRDefault="00FB30A0" w:rsidP="0085002B">
      <w:pPr>
        <w:pStyle w:val="Numberedlist"/>
        <w:ind w:left="360" w:hanging="644"/>
      </w:pPr>
      <w:r>
        <w:t xml:space="preserve">The ACCC intends to publicly announce its final view by </w:t>
      </w:r>
      <w:r w:rsidR="002F5AE6">
        <w:t xml:space="preserve">12 </w:t>
      </w:r>
      <w:r w:rsidR="00B14465">
        <w:t>November</w:t>
      </w:r>
      <w:r w:rsidR="00E5078D">
        <w:t xml:space="preserve"> 2015</w:t>
      </w:r>
      <w:r>
        <w:t xml:space="preserve">. However the anticipated timeline may change in line with the </w:t>
      </w:r>
      <w:r w:rsidRPr="007F75F1">
        <w:t>Merger Review Process Guidelines</w:t>
      </w:r>
      <w:r>
        <w:t xml:space="preserve">. A </w:t>
      </w:r>
      <w:r w:rsidR="005F1F0B">
        <w:t>P</w:t>
      </w:r>
      <w:r>
        <w:t>ublic Competition Assessment for the purpose of explaining the ACCC's final view may be published following the ACCC's public announcement.</w:t>
      </w:r>
    </w:p>
    <w:sectPr w:rsidR="002314C6">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1A77" w:rsidRDefault="003D1A77">
      <w:r>
        <w:separator/>
      </w:r>
    </w:p>
    <w:p w:rsidR="003D1A77" w:rsidRDefault="003D1A77"/>
  </w:endnote>
  <w:endnote w:type="continuationSeparator" w:id="0">
    <w:p w:rsidR="003D1A77" w:rsidRDefault="003D1A77">
      <w:r>
        <w:continuationSeparator/>
      </w:r>
    </w:p>
    <w:p w:rsidR="003D1A77" w:rsidRDefault="003D1A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A77" w:rsidRDefault="003D1A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D1A77" w:rsidRDefault="003D1A77">
    <w:pPr>
      <w:pStyle w:val="Footer"/>
    </w:pPr>
  </w:p>
  <w:p w:rsidR="003D1A77" w:rsidRDefault="003D1A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A77" w:rsidRPr="00E23669" w:rsidRDefault="003D1A77"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6F14DF">
      <w:rPr>
        <w:rFonts w:ascii="Arial" w:hAnsi="Arial" w:cs="Arial"/>
        <w:b/>
        <w:noProof/>
        <w:sz w:val="22"/>
        <w:szCs w:val="22"/>
      </w:rPr>
      <w:t>22</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6F14DF">
      <w:rPr>
        <w:rFonts w:ascii="Arial" w:hAnsi="Arial" w:cs="Arial"/>
        <w:b/>
        <w:noProof/>
        <w:sz w:val="22"/>
        <w:szCs w:val="22"/>
      </w:rPr>
      <w:t>22</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A77" w:rsidRPr="00497688" w:rsidRDefault="003D1A77">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6F14DF">
      <w:rPr>
        <w:rFonts w:ascii="Arial" w:hAnsi="Arial" w:cs="Arial"/>
        <w:b/>
        <w:noProof/>
        <w:sz w:val="22"/>
        <w:szCs w:val="22"/>
      </w:rPr>
      <w:t>16</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6F14DF">
      <w:rPr>
        <w:rFonts w:ascii="Arial" w:hAnsi="Arial" w:cs="Arial"/>
        <w:b/>
        <w:noProof/>
        <w:sz w:val="22"/>
        <w:szCs w:val="22"/>
      </w:rPr>
      <w:t>22</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1A77" w:rsidRDefault="003D1A77">
      <w:r>
        <w:separator/>
      </w:r>
    </w:p>
    <w:p w:rsidR="003D1A77" w:rsidRDefault="003D1A77"/>
  </w:footnote>
  <w:footnote w:type="continuationSeparator" w:id="0">
    <w:p w:rsidR="003D1A77" w:rsidRDefault="003D1A77">
      <w:r>
        <w:continuationSeparator/>
      </w:r>
    </w:p>
    <w:p w:rsidR="003D1A77" w:rsidRDefault="003D1A77"/>
  </w:footnote>
  <w:footnote w:id="1">
    <w:p w:rsidR="003D1A77" w:rsidRDefault="003D1A77" w:rsidP="008A0543">
      <w:r>
        <w:rPr>
          <w:rStyle w:val="FootnoteReference"/>
        </w:rPr>
        <w:footnoteRef/>
      </w:r>
      <w:r>
        <w:t xml:space="preserve"> </w:t>
      </w:r>
      <w:r w:rsidRPr="008A0543">
        <w:rPr>
          <w:sz w:val="20"/>
          <w:szCs w:val="20"/>
        </w:rPr>
        <w:t xml:space="preserve">SMH, Moranbah gas supply problems to hit Incitec Pivot profit, 8 July 2015, </w:t>
      </w:r>
      <w:hyperlink r:id="rId1" w:history="1">
        <w:r w:rsidRPr="00710985">
          <w:rPr>
            <w:rStyle w:val="Hyperlink"/>
            <w:sz w:val="20"/>
            <w:szCs w:val="20"/>
          </w:rPr>
          <w:t>http://www.smh.com.au/business/moranbah-gas-supply-problems-to-hit-incitec-pivot-profit-20150707-gi7dxf.html</w:t>
        </w:r>
      </w:hyperlink>
      <w:r>
        <w:rPr>
          <w:sz w:val="20"/>
          <w:szCs w:val="20"/>
        </w:rPr>
        <w:t xml:space="preserve"> </w:t>
      </w:r>
    </w:p>
  </w:footnote>
  <w:footnote w:id="2">
    <w:p w:rsidR="003D1A77" w:rsidRDefault="003D1A77" w:rsidP="0051193C">
      <w:pPr>
        <w:pStyle w:val="FootnoteText"/>
        <w:jc w:val="left"/>
      </w:pPr>
      <w:r>
        <w:rPr>
          <w:rStyle w:val="FootnoteReference"/>
        </w:rPr>
        <w:footnoteRef/>
      </w:r>
      <w:r>
        <w:t xml:space="preserve">AGL, ASX &amp; Media Release, 11 February 2015, </w:t>
      </w:r>
      <w:hyperlink r:id="rId2" w:history="1">
        <w:r w:rsidRPr="00710985">
          <w:rPr>
            <w:rStyle w:val="Hyperlink"/>
          </w:rPr>
          <w:t>http://www.agl.com.au/~/media/AGL/About%20AGL/Documents/Investor%20Centre/2015/150211_REsults_Presentation.pdf</w:t>
        </w:r>
      </w:hyperlink>
      <w:r>
        <w:t xml:space="preserve"> </w:t>
      </w:r>
    </w:p>
  </w:footnote>
  <w:footnote w:id="3">
    <w:p w:rsidR="003D1A77" w:rsidRDefault="003D1A77" w:rsidP="0051193C">
      <w:pPr>
        <w:pStyle w:val="FootnoteText"/>
        <w:jc w:val="left"/>
      </w:pPr>
      <w:r>
        <w:rPr>
          <w:rStyle w:val="FootnoteReference"/>
        </w:rPr>
        <w:footnoteRef/>
      </w:r>
      <w:r w:rsidRPr="00824DBD">
        <w:t xml:space="preserve"> Arrow, Arrow Bowen Gas Project EIS, p. 3. </w:t>
      </w:r>
      <w:hyperlink r:id="rId3" w:history="1">
        <w:r>
          <w:rPr>
            <w:rStyle w:val="Hyperlink"/>
          </w:rPr>
          <w:t>https://www.arrowenergy.com.au/__data/assets/pdf_file/0017/3824/Section_01-Introduction.pdf</w:t>
        </w:r>
      </w:hyperlink>
    </w:p>
  </w:footnote>
  <w:footnote w:id="4">
    <w:p w:rsidR="003D1A77" w:rsidRDefault="003D1A77">
      <w:pPr>
        <w:pStyle w:val="FootnoteText"/>
      </w:pPr>
      <w:r>
        <w:rPr>
          <w:rStyle w:val="FootnoteReference"/>
        </w:rPr>
        <w:footnoteRef/>
      </w:r>
      <w:r>
        <w:t xml:space="preserve"> Arrow, Our operations</w:t>
      </w:r>
      <w:r w:rsidRPr="008D60F2">
        <w:t xml:space="preserve">,  </w:t>
      </w:r>
      <w:hyperlink r:id="rId4" w:history="1">
        <w:r w:rsidRPr="00710985">
          <w:rPr>
            <w:rStyle w:val="Hyperlink"/>
          </w:rPr>
          <w:t>https://www.arrowenergy.com.au/our-company/our-projects</w:t>
        </w:r>
      </w:hyperlink>
    </w:p>
  </w:footnote>
  <w:footnote w:id="5">
    <w:p w:rsidR="003D1A77" w:rsidRDefault="003D1A77">
      <w:pPr>
        <w:pStyle w:val="FootnoteText"/>
      </w:pPr>
      <w:r>
        <w:rPr>
          <w:rStyle w:val="FootnoteReference"/>
        </w:rPr>
        <w:footnoteRef/>
      </w:r>
      <w:r>
        <w:t xml:space="preserve"> Ibid</w:t>
      </w:r>
    </w:p>
  </w:footnote>
  <w:footnote w:id="6">
    <w:p w:rsidR="003D1A77" w:rsidRDefault="003D1A77">
      <w:pPr>
        <w:pStyle w:val="FootnoteText"/>
      </w:pPr>
      <w:r>
        <w:rPr>
          <w:rStyle w:val="FootnoteReference"/>
        </w:rPr>
        <w:footnoteRef/>
      </w:r>
      <w:r>
        <w:t xml:space="preserve"> Ibid</w:t>
      </w:r>
    </w:p>
  </w:footnote>
  <w:footnote w:id="7">
    <w:p w:rsidR="003D1A77" w:rsidRDefault="003D1A77">
      <w:pPr>
        <w:pStyle w:val="FootnoteText"/>
      </w:pPr>
      <w:r>
        <w:rPr>
          <w:rStyle w:val="FootnoteReference"/>
        </w:rPr>
        <w:footnoteRef/>
      </w:r>
      <w:r>
        <w:t xml:space="preserve"> Ibid</w:t>
      </w:r>
    </w:p>
  </w:footnote>
  <w:footnote w:id="8">
    <w:p w:rsidR="003D1A77" w:rsidRPr="00636EB8" w:rsidRDefault="003D1A77" w:rsidP="00636EB8">
      <w:pPr>
        <w:pStyle w:val="FootnoteText"/>
        <w:ind w:left="159" w:hanging="159"/>
        <w:rPr>
          <w:rFonts w:ascii="Arial" w:hAnsi="Arial" w:cs="Arial"/>
          <w:sz w:val="18"/>
          <w:szCs w:val="18"/>
        </w:rPr>
      </w:pPr>
      <w:r>
        <w:rPr>
          <w:rStyle w:val="FootnoteReference"/>
        </w:rPr>
        <w:footnoteRef/>
      </w:r>
      <w:r>
        <w:t xml:space="preserve"> </w:t>
      </w:r>
      <w:r w:rsidRPr="00636EB8">
        <w:rPr>
          <w:rFonts w:ascii="Arial" w:hAnsi="Arial" w:cs="Arial"/>
          <w:sz w:val="18"/>
          <w:szCs w:val="18"/>
        </w:rPr>
        <w:t xml:space="preserve">Tight gas is natural gas produced from reservoir rocks with such low permeability that hydraulic fracturing is necessary to produce the well at economic rates.  </w:t>
      </w:r>
    </w:p>
  </w:footnote>
  <w:footnote w:id="9">
    <w:p w:rsidR="003D1A77" w:rsidRDefault="003D1A77">
      <w:pPr>
        <w:pStyle w:val="FootnoteText"/>
      </w:pPr>
      <w:r w:rsidRPr="00E62D6C">
        <w:rPr>
          <w:rStyle w:val="FootnoteReference"/>
          <w:rFonts w:ascii="Arial" w:hAnsi="Arial" w:cs="Arial"/>
          <w:sz w:val="14"/>
        </w:rPr>
        <w:footnoteRef/>
      </w:r>
      <w:r>
        <w:t xml:space="preserve"> </w:t>
      </w:r>
      <w:r w:rsidRPr="00227D30">
        <w:rPr>
          <w:rFonts w:ascii="Arial" w:hAnsi="Arial" w:cs="Arial"/>
          <w:sz w:val="18"/>
        </w:rPr>
        <w:t xml:space="preserve">ACCC East Coast Gas Inquiry, </w:t>
      </w:r>
      <w:r w:rsidRPr="00227D30">
        <w:rPr>
          <w:rFonts w:ascii="Arial" w:hAnsi="Arial" w:cs="Arial"/>
          <w:i/>
          <w:sz w:val="18"/>
        </w:rPr>
        <w:t>Issues Paper</w:t>
      </w:r>
      <w:r w:rsidRPr="00227D30">
        <w:rPr>
          <w:rFonts w:ascii="Arial" w:hAnsi="Arial" w:cs="Arial"/>
          <w:sz w:val="18"/>
        </w:rPr>
        <w:t xml:space="preserve">, p. </w:t>
      </w:r>
      <w:r>
        <w:rPr>
          <w:rFonts w:ascii="Arial" w:hAnsi="Arial" w:cs="Arial"/>
          <w:sz w:val="18"/>
        </w:rPr>
        <w:t>3</w:t>
      </w:r>
      <w:r w:rsidRPr="00227D30">
        <w:rPr>
          <w:rFonts w:ascii="Arial" w:hAnsi="Arial" w:cs="Arial"/>
          <w:sz w:val="18"/>
        </w:rPr>
        <w:t>.</w:t>
      </w:r>
    </w:p>
  </w:footnote>
  <w:footnote w:id="10">
    <w:p w:rsidR="003D1A77" w:rsidRDefault="003D1A77" w:rsidP="00CD425D">
      <w:pPr>
        <w:pStyle w:val="FootnoteText"/>
        <w:ind w:left="142" w:hanging="142"/>
      </w:pPr>
      <w:r w:rsidRPr="00E62D6C">
        <w:rPr>
          <w:rStyle w:val="FootnoteReference"/>
          <w:rFonts w:ascii="Arial" w:hAnsi="Arial" w:cs="Arial"/>
          <w:sz w:val="14"/>
        </w:rPr>
        <w:footnoteRef/>
      </w:r>
      <w:r w:rsidRPr="00E62D6C">
        <w:rPr>
          <w:rFonts w:ascii="Arial" w:hAnsi="Arial" w:cs="Arial"/>
          <w:sz w:val="18"/>
        </w:rPr>
        <w:t xml:space="preserve"> In testing whether one product is a close substitute for another, it is common practice to ask whether substitution would occur in response to a sustained small but significant price increase (say 5–10%).</w:t>
      </w:r>
    </w:p>
  </w:footnote>
  <w:footnote w:id="11">
    <w:p w:rsidR="003D1A77" w:rsidRDefault="003D1A77">
      <w:pPr>
        <w:pStyle w:val="FootnoteText"/>
      </w:pPr>
      <w:r>
        <w:rPr>
          <w:rStyle w:val="FootnoteReference"/>
        </w:rPr>
        <w:footnoteRef/>
      </w:r>
      <w:r>
        <w:t xml:space="preserve"> </w:t>
      </w:r>
      <w:r w:rsidRPr="00227D30">
        <w:rPr>
          <w:rFonts w:ascii="Arial" w:hAnsi="Arial" w:cs="Arial"/>
          <w:sz w:val="18"/>
        </w:rPr>
        <w:t xml:space="preserve">ACCC East Coast Gas Inquiry, </w:t>
      </w:r>
      <w:r w:rsidRPr="00227D30">
        <w:rPr>
          <w:rFonts w:ascii="Arial" w:hAnsi="Arial" w:cs="Arial"/>
          <w:i/>
          <w:sz w:val="18"/>
        </w:rPr>
        <w:t>Issues Paper</w:t>
      </w:r>
      <w:r w:rsidRPr="00227D30">
        <w:rPr>
          <w:rFonts w:ascii="Arial" w:hAnsi="Arial" w:cs="Arial"/>
          <w:sz w:val="18"/>
        </w:rPr>
        <w:t xml:space="preserve">, p. </w:t>
      </w:r>
      <w:r>
        <w:rPr>
          <w:rFonts w:ascii="Arial" w:hAnsi="Arial" w:cs="Arial"/>
          <w:sz w:val="18"/>
        </w:rPr>
        <w:t>19</w:t>
      </w:r>
      <w:r w:rsidRPr="00227D30">
        <w:rPr>
          <w:rFonts w:ascii="Arial" w:hAnsi="Arial" w:cs="Arial"/>
          <w:sz w:val="18"/>
        </w:rPr>
        <w:t>.</w:t>
      </w:r>
    </w:p>
  </w:footnote>
  <w:footnote w:id="12">
    <w:p w:rsidR="003D1A77" w:rsidRPr="00002D16" w:rsidRDefault="003D1A77" w:rsidP="00771069">
      <w:pPr>
        <w:pStyle w:val="FootnoteText"/>
        <w:ind w:left="153" w:hanging="153"/>
        <w:rPr>
          <w:rFonts w:ascii="Arial" w:hAnsi="Arial" w:cs="Arial"/>
          <w:sz w:val="18"/>
          <w:szCs w:val="18"/>
        </w:rPr>
      </w:pPr>
      <w:r>
        <w:rPr>
          <w:rStyle w:val="FootnoteReference"/>
        </w:rPr>
        <w:footnoteRef/>
      </w:r>
      <w:r>
        <w:t xml:space="preserve"> </w:t>
      </w:r>
      <w:r w:rsidRPr="00002D16">
        <w:rPr>
          <w:rFonts w:ascii="Arial" w:hAnsi="Arial" w:cs="Arial"/>
          <w:sz w:val="18"/>
          <w:szCs w:val="18"/>
        </w:rPr>
        <w:t xml:space="preserve">QGC, ‘Export and Domestic Markets’, </w:t>
      </w:r>
      <w:hyperlink r:id="rId5" w:history="1">
        <w:r w:rsidRPr="00002D16">
          <w:rPr>
            <w:rStyle w:val="Hyperlink"/>
            <w:rFonts w:ascii="Arial" w:hAnsi="Arial" w:cs="Arial"/>
            <w:sz w:val="18"/>
            <w:szCs w:val="18"/>
          </w:rPr>
          <w:t>www.qgc.com.au/qclng-project/export-domestic-markets.aspx</w:t>
        </w:r>
      </w:hyperlink>
      <w:r w:rsidRPr="00002D16">
        <w:rPr>
          <w:rFonts w:ascii="Arial" w:hAnsi="Arial" w:cs="Arial"/>
          <w:sz w:val="18"/>
          <w:szCs w:val="18"/>
        </w:rPr>
        <w:t>, September 2015.</w:t>
      </w:r>
    </w:p>
  </w:footnote>
  <w:footnote w:id="13">
    <w:p w:rsidR="003D1A77" w:rsidRDefault="003D1A77" w:rsidP="002F6FC3">
      <w:pPr>
        <w:pStyle w:val="FootnoteText"/>
        <w:ind w:left="142" w:hanging="142"/>
      </w:pPr>
      <w:r>
        <w:rPr>
          <w:rStyle w:val="FootnoteReference"/>
        </w:rPr>
        <w:footnoteRef/>
      </w:r>
      <w:r>
        <w:t xml:space="preserve"> </w:t>
      </w:r>
      <w:r w:rsidRPr="00DD2424">
        <w:rPr>
          <w:rFonts w:ascii="Arial" w:hAnsi="Arial" w:cs="Arial"/>
          <w:sz w:val="18"/>
          <w:szCs w:val="18"/>
        </w:rPr>
        <w:t>See Arrow Energy, ‘</w:t>
      </w:r>
      <w:r w:rsidRPr="00DD2424">
        <w:rPr>
          <w:rFonts w:ascii="Arial" w:hAnsi="Arial" w:cs="Arial"/>
          <w:sz w:val="18"/>
          <w:szCs w:val="18"/>
          <w:lang w:val="en"/>
        </w:rPr>
        <w:t>Arrow Bowen Pipeline’</w:t>
      </w:r>
      <w:r w:rsidRPr="00DD2424">
        <w:rPr>
          <w:rFonts w:ascii="Arial" w:hAnsi="Arial" w:cs="Arial"/>
          <w:sz w:val="18"/>
          <w:szCs w:val="18"/>
        </w:rPr>
        <w:t xml:space="preserve">, </w:t>
      </w:r>
      <w:hyperlink r:id="rId6" w:history="1">
        <w:r w:rsidRPr="00DD2424">
          <w:rPr>
            <w:rStyle w:val="Hyperlink"/>
            <w:rFonts w:ascii="Arial" w:hAnsi="Arial" w:cs="Arial"/>
            <w:sz w:val="18"/>
            <w:szCs w:val="18"/>
          </w:rPr>
          <w:t>www.arrowenergy.com.au/projects/arrow-bowen-pipeline</w:t>
        </w:r>
      </w:hyperlink>
      <w:r w:rsidRPr="00DD2424">
        <w:rPr>
          <w:rFonts w:ascii="Arial" w:hAnsi="Arial" w:cs="Arial"/>
          <w:sz w:val="18"/>
          <w:szCs w:val="18"/>
        </w:rPr>
        <w:t>, April 2015.</w:t>
      </w:r>
    </w:p>
  </w:footnote>
  <w:footnote w:id="14">
    <w:p w:rsidR="003D1A77" w:rsidRDefault="003D1A77" w:rsidP="002F6FC3">
      <w:pPr>
        <w:pStyle w:val="FootnoteText"/>
        <w:ind w:left="142" w:hanging="142"/>
      </w:pPr>
      <w:r w:rsidRPr="00E62D6C">
        <w:rPr>
          <w:rStyle w:val="FootnoteReference"/>
          <w:rFonts w:ascii="Arial" w:hAnsi="Arial" w:cs="Arial"/>
          <w:sz w:val="14"/>
        </w:rPr>
        <w:footnoteRef/>
      </w:r>
      <w:r>
        <w:t xml:space="preserve"> </w:t>
      </w:r>
      <w:r w:rsidRPr="00E62D6C">
        <w:rPr>
          <w:rFonts w:ascii="Arial" w:hAnsi="Arial" w:cs="Arial"/>
          <w:sz w:val="18"/>
          <w:szCs w:val="18"/>
        </w:rPr>
        <w:t xml:space="preserve">See for example Beach Energy’s Strategy Review of 12 August 2015, available at </w:t>
      </w:r>
      <w:hyperlink r:id="rId7" w:history="1">
        <w:r w:rsidRPr="00E62D6C">
          <w:rPr>
            <w:rStyle w:val="Hyperlink"/>
            <w:rFonts w:ascii="Arial" w:hAnsi="Arial" w:cs="Arial"/>
            <w:sz w:val="18"/>
            <w:szCs w:val="18"/>
          </w:rPr>
          <w:t>http://www.beachenergy.com.au/IRM/Company/ShowPage.aspx/PDFs/4293-10000000/StrategyReview</w:t>
        </w:r>
      </w:hyperlink>
      <w:r w:rsidRPr="00E62D6C">
        <w:rPr>
          <w:rFonts w:ascii="Arial" w:hAnsi="Arial" w:cs="Arial"/>
          <w:sz w:val="18"/>
          <w:szCs w:val="18"/>
        </w:rPr>
        <w:t xml:space="preserve"> and Strike Energy’s announcements on their Southern Cooper Basin Project available at </w:t>
      </w:r>
      <w:hyperlink r:id="rId8" w:history="1">
        <w:r w:rsidRPr="00E62D6C">
          <w:rPr>
            <w:rStyle w:val="Hyperlink"/>
            <w:rFonts w:ascii="Arial" w:hAnsi="Arial" w:cs="Arial"/>
            <w:sz w:val="18"/>
            <w:szCs w:val="18"/>
          </w:rPr>
          <w:t>http://www.strikeenergy.com.au/</w:t>
        </w:r>
      </w:hyperlink>
      <w:r w:rsidRPr="00E62D6C">
        <w:rPr>
          <w:rFonts w:ascii="Arial" w:hAnsi="Arial" w:cs="Arial"/>
          <w:sz w:val="18"/>
          <w:szCs w:val="18"/>
        </w:rPr>
        <w:t>.</w:t>
      </w:r>
    </w:p>
  </w:footnote>
  <w:footnote w:id="15">
    <w:p w:rsidR="003D1A77" w:rsidRPr="00AE3AC1" w:rsidRDefault="003D1A77" w:rsidP="002F6FC3">
      <w:pPr>
        <w:pStyle w:val="FootnoteText"/>
        <w:ind w:left="142" w:hanging="142"/>
        <w:jc w:val="left"/>
        <w:rPr>
          <w:rFonts w:ascii="Arial" w:hAnsi="Arial" w:cs="Arial"/>
          <w:sz w:val="18"/>
        </w:rPr>
      </w:pPr>
      <w:r w:rsidRPr="00E62D6C">
        <w:rPr>
          <w:rStyle w:val="FootnoteReference"/>
          <w:rFonts w:ascii="Arial" w:hAnsi="Arial" w:cs="Arial"/>
          <w:sz w:val="14"/>
        </w:rPr>
        <w:footnoteRef/>
      </w:r>
      <w:r w:rsidRPr="00E62D6C">
        <w:rPr>
          <w:rFonts w:ascii="Arial" w:hAnsi="Arial" w:cs="Arial"/>
          <w:sz w:val="18"/>
        </w:rPr>
        <w:t xml:space="preserve"> </w:t>
      </w:r>
      <w:r w:rsidRPr="003364A1">
        <w:rPr>
          <w:rFonts w:ascii="Arial" w:hAnsi="Arial" w:cs="Arial"/>
          <w:sz w:val="18"/>
        </w:rPr>
        <w:t xml:space="preserve">Strike Energy, </w:t>
      </w:r>
      <w:r w:rsidRPr="003364A1">
        <w:rPr>
          <w:rFonts w:ascii="Arial" w:hAnsi="Arial" w:cs="Arial"/>
          <w:i/>
          <w:sz w:val="18"/>
        </w:rPr>
        <w:t>Public submission to ACCC re: East Coast Gas Inquiry</w:t>
      </w:r>
      <w:r w:rsidRPr="003364A1">
        <w:rPr>
          <w:rFonts w:ascii="Arial" w:hAnsi="Arial" w:cs="Arial"/>
          <w:sz w:val="18"/>
        </w:rPr>
        <w:t>, 2 July 2015</w:t>
      </w:r>
      <w:r>
        <w:rPr>
          <w:rFonts w:ascii="Arial" w:hAnsi="Arial" w:cs="Arial"/>
          <w:sz w:val="18"/>
        </w:rPr>
        <w:t xml:space="preserve">, </w:t>
      </w:r>
      <w:r w:rsidRPr="003364A1">
        <w:rPr>
          <w:rFonts w:ascii="Arial" w:hAnsi="Arial" w:cs="Arial"/>
          <w:sz w:val="18"/>
        </w:rPr>
        <w:t>p. 2.</w:t>
      </w:r>
    </w:p>
  </w:footnote>
  <w:footnote w:id="16">
    <w:p w:rsidR="003D1A77" w:rsidRPr="00AE3AC1" w:rsidRDefault="003D1A77" w:rsidP="00B86E00">
      <w:pPr>
        <w:pStyle w:val="FootnoteText"/>
        <w:ind w:left="142" w:hanging="142"/>
        <w:jc w:val="left"/>
        <w:rPr>
          <w:rFonts w:ascii="Arial" w:hAnsi="Arial" w:cs="Arial"/>
          <w:sz w:val="18"/>
        </w:rPr>
      </w:pPr>
      <w:r w:rsidRPr="00E62D6C">
        <w:rPr>
          <w:rStyle w:val="FootnoteReference"/>
          <w:rFonts w:ascii="Arial" w:hAnsi="Arial" w:cs="Arial"/>
          <w:sz w:val="14"/>
        </w:rPr>
        <w:footnoteRef/>
      </w:r>
      <w:r w:rsidRPr="00E62D6C">
        <w:rPr>
          <w:rFonts w:ascii="Arial" w:hAnsi="Arial" w:cs="Arial"/>
          <w:sz w:val="18"/>
        </w:rPr>
        <w:t xml:space="preserve"> </w:t>
      </w:r>
      <w:r w:rsidRPr="003364A1">
        <w:rPr>
          <w:rFonts w:ascii="Arial" w:hAnsi="Arial" w:cs="Arial"/>
          <w:sz w:val="18"/>
        </w:rPr>
        <w:t xml:space="preserve">Strike Energy, </w:t>
      </w:r>
      <w:r w:rsidRPr="003364A1">
        <w:rPr>
          <w:rFonts w:ascii="Arial" w:hAnsi="Arial" w:cs="Arial"/>
          <w:i/>
          <w:sz w:val="18"/>
        </w:rPr>
        <w:t>Public submission to ACCC re: East Coast Gas Inquiry</w:t>
      </w:r>
      <w:r w:rsidRPr="003364A1">
        <w:rPr>
          <w:rFonts w:ascii="Arial" w:hAnsi="Arial" w:cs="Arial"/>
          <w:sz w:val="18"/>
        </w:rPr>
        <w:t>, 2 July 2015</w:t>
      </w:r>
      <w:r>
        <w:rPr>
          <w:rFonts w:ascii="Arial" w:hAnsi="Arial" w:cs="Arial"/>
          <w:sz w:val="18"/>
        </w:rPr>
        <w:t xml:space="preserve">, </w:t>
      </w:r>
      <w:r w:rsidRPr="003364A1">
        <w:rPr>
          <w:rFonts w:ascii="Arial" w:hAnsi="Arial" w:cs="Arial"/>
          <w:sz w:val="18"/>
        </w:rPr>
        <w:t>p.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02B" w:rsidRDefault="008500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A77" w:rsidRPr="00C94D55" w:rsidRDefault="003D1A77">
    <w:pPr>
      <w:pStyle w:val="Header"/>
      <w:jc w:val="right"/>
      <w:rPr>
        <w:rFonts w:ascii="Arial" w:hAnsi="Arial" w:cs="Arial"/>
        <w:color w:val="000000" w:themeColor="text1"/>
        <w:sz w:val="22"/>
        <w:szCs w:val="22"/>
      </w:rPr>
    </w:pPr>
    <w:r>
      <w:rPr>
        <w:rFonts w:ascii="Arial" w:hAnsi="Arial" w:cs="Arial"/>
        <w:color w:val="000000" w:themeColor="text1"/>
        <w:sz w:val="22"/>
        <w:szCs w:val="22"/>
      </w:rPr>
      <w:t>Royal Dutch Shell plc – proposed acquisition of BG Group plc</w:t>
    </w:r>
  </w:p>
  <w:p w:rsidR="003D1A77" w:rsidRDefault="003D1A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02B" w:rsidRDefault="008500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3E73B6"/>
    <w:multiLevelType w:val="hybridMultilevel"/>
    <w:tmpl w:val="CD04C2CA"/>
    <w:lvl w:ilvl="0" w:tplc="3A146F6A">
      <w:start w:val="1"/>
      <w:numFmt w:val="decimal"/>
      <w:pStyle w:val="Numberedlist"/>
      <w:lvlText w:val="%1."/>
      <w:lvlJc w:val="left"/>
      <w:pPr>
        <w:ind w:left="6314" w:hanging="360"/>
      </w:pPr>
      <w:rPr>
        <w:rFonts w:hint="default"/>
        <w:b w:val="0"/>
        <w:i w:val="0"/>
      </w:rPr>
    </w:lvl>
    <w:lvl w:ilvl="1" w:tplc="A5728FDE">
      <w:start w:val="1"/>
      <w:numFmt w:val="bullet"/>
      <w:lvlText w:val="o"/>
      <w:lvlJc w:val="left"/>
      <w:pPr>
        <w:ind w:left="2520" w:hanging="360"/>
      </w:pPr>
      <w:rPr>
        <w:rFonts w:ascii="Courier New" w:hAnsi="Courier New" w:cs="Courier New" w:hint="default"/>
      </w:rPr>
    </w:lvl>
    <w:lvl w:ilvl="2" w:tplc="B6B8266A">
      <w:start w:val="1"/>
      <w:numFmt w:val="bullet"/>
      <w:lvlText w:val=""/>
      <w:lvlJc w:val="left"/>
      <w:pPr>
        <w:ind w:left="3240" w:hanging="360"/>
      </w:pPr>
      <w:rPr>
        <w:rFonts w:ascii="Wingdings" w:hAnsi="Wingdings" w:hint="default"/>
      </w:rPr>
    </w:lvl>
    <w:lvl w:ilvl="3" w:tplc="0E067E3E">
      <w:start w:val="1"/>
      <w:numFmt w:val="bullet"/>
      <w:lvlText w:val=""/>
      <w:lvlJc w:val="left"/>
      <w:pPr>
        <w:ind w:left="3960" w:hanging="360"/>
      </w:pPr>
      <w:rPr>
        <w:rFonts w:ascii="Symbol" w:hAnsi="Symbol" w:hint="default"/>
      </w:rPr>
    </w:lvl>
    <w:lvl w:ilvl="4" w:tplc="9D8444DE">
      <w:start w:val="1"/>
      <w:numFmt w:val="bullet"/>
      <w:lvlText w:val="o"/>
      <w:lvlJc w:val="left"/>
      <w:pPr>
        <w:ind w:left="4680" w:hanging="360"/>
      </w:pPr>
      <w:rPr>
        <w:rFonts w:ascii="Courier New" w:hAnsi="Courier New" w:cs="Courier New" w:hint="default"/>
      </w:rPr>
    </w:lvl>
    <w:lvl w:ilvl="5" w:tplc="47DE7D34">
      <w:start w:val="1"/>
      <w:numFmt w:val="bullet"/>
      <w:lvlText w:val=""/>
      <w:lvlJc w:val="left"/>
      <w:pPr>
        <w:ind w:left="5400" w:hanging="360"/>
      </w:pPr>
      <w:rPr>
        <w:rFonts w:ascii="Wingdings" w:hAnsi="Wingdings" w:hint="default"/>
      </w:rPr>
    </w:lvl>
    <w:lvl w:ilvl="6" w:tplc="9D0AFFEA">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2">
    <w:nsid w:val="37724402"/>
    <w:multiLevelType w:val="hybridMultilevel"/>
    <w:tmpl w:val="972A8E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3BE509FD"/>
    <w:multiLevelType w:val="hybridMultilevel"/>
    <w:tmpl w:val="2DA43CD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5265390F"/>
    <w:multiLevelType w:val="hybridMultilevel"/>
    <w:tmpl w:val="78ACCB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nsid w:val="64170279"/>
    <w:multiLevelType w:val="hybridMultilevel"/>
    <w:tmpl w:val="32F8C49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72E6243B"/>
    <w:multiLevelType w:val="hybridMultilevel"/>
    <w:tmpl w:val="598E2A6E"/>
    <w:lvl w:ilvl="0" w:tplc="0C090001">
      <w:start w:val="1"/>
      <w:numFmt w:val="bullet"/>
      <w:lvlText w:val=""/>
      <w:lvlJc w:val="left"/>
      <w:pPr>
        <w:ind w:left="720" w:hanging="360"/>
      </w:pPr>
      <w:rPr>
        <w:rFonts w:ascii="Symbol" w:hAnsi="Symbol" w:hint="default"/>
      </w:rPr>
    </w:lvl>
    <w:lvl w:ilvl="1" w:tplc="8CBED2B8">
      <w:numFmt w:val="bullet"/>
      <w:lvlText w:val=""/>
      <w:lvlJc w:val="left"/>
      <w:pPr>
        <w:ind w:left="1440" w:hanging="360"/>
      </w:pPr>
      <w:rPr>
        <w:rFonts w:ascii="Symbol" w:eastAsiaTheme="minorHAnsi" w:hAnsi="Symbol" w:cstheme="minorBid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7B857E07"/>
    <w:multiLevelType w:val="hybridMultilevel"/>
    <w:tmpl w:val="35E0609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8">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9">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8"/>
  </w:num>
  <w:num w:numId="3">
    <w:abstractNumId w:val="3"/>
  </w:num>
  <w:num w:numId="4">
    <w:abstractNumId w:val="7"/>
  </w:num>
  <w:num w:numId="5">
    <w:abstractNumId w:val="1"/>
  </w:num>
  <w:num w:numId="6">
    <w:abstractNumId w:val="9"/>
  </w:num>
  <w:num w:numId="7">
    <w:abstractNumId w:val="4"/>
  </w:num>
  <w:num w:numId="8">
    <w:abstractNumId w:val="5"/>
  </w:num>
  <w:num w:numId="9">
    <w:abstractNumId w:val="2"/>
  </w:num>
  <w:num w:numId="10">
    <w:abstractNumId w:val="6"/>
  </w:num>
  <w:num w:numId="11">
    <w:abstractNumId w:val="1"/>
  </w:num>
  <w:num w:numId="1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45465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H:\trimdata\TRIM\TEMP\HPTRIM.5972\MER15 9624  Shell BG - SOI (final clean version) - 16 September 2015.DOCX"/>
  </w:docVars>
  <w:rsids>
    <w:rsidRoot w:val="002A6DE2"/>
    <w:rsid w:val="00000309"/>
    <w:rsid w:val="00001D24"/>
    <w:rsid w:val="00001EAE"/>
    <w:rsid w:val="000028A1"/>
    <w:rsid w:val="00002D16"/>
    <w:rsid w:val="000049B2"/>
    <w:rsid w:val="0000563E"/>
    <w:rsid w:val="00007BC4"/>
    <w:rsid w:val="00010025"/>
    <w:rsid w:val="000107A1"/>
    <w:rsid w:val="000113A1"/>
    <w:rsid w:val="000113EC"/>
    <w:rsid w:val="00011816"/>
    <w:rsid w:val="000127ED"/>
    <w:rsid w:val="00014605"/>
    <w:rsid w:val="000149A5"/>
    <w:rsid w:val="00016892"/>
    <w:rsid w:val="00016EF5"/>
    <w:rsid w:val="00017731"/>
    <w:rsid w:val="00017CC7"/>
    <w:rsid w:val="00021752"/>
    <w:rsid w:val="000225F4"/>
    <w:rsid w:val="00023A2A"/>
    <w:rsid w:val="00024126"/>
    <w:rsid w:val="0002412F"/>
    <w:rsid w:val="00024AFF"/>
    <w:rsid w:val="00024FCD"/>
    <w:rsid w:val="00025BE6"/>
    <w:rsid w:val="000262C5"/>
    <w:rsid w:val="00026C0E"/>
    <w:rsid w:val="00032421"/>
    <w:rsid w:val="00033890"/>
    <w:rsid w:val="00033C3A"/>
    <w:rsid w:val="0003421B"/>
    <w:rsid w:val="00034A18"/>
    <w:rsid w:val="00034CAE"/>
    <w:rsid w:val="000367AE"/>
    <w:rsid w:val="00040941"/>
    <w:rsid w:val="00041514"/>
    <w:rsid w:val="00041B40"/>
    <w:rsid w:val="00042501"/>
    <w:rsid w:val="00042570"/>
    <w:rsid w:val="0004284B"/>
    <w:rsid w:val="00043384"/>
    <w:rsid w:val="00043EFD"/>
    <w:rsid w:val="000442BF"/>
    <w:rsid w:val="00044C07"/>
    <w:rsid w:val="00044C94"/>
    <w:rsid w:val="000455A4"/>
    <w:rsid w:val="00047026"/>
    <w:rsid w:val="0004756E"/>
    <w:rsid w:val="00047B6E"/>
    <w:rsid w:val="000510D4"/>
    <w:rsid w:val="000527D5"/>
    <w:rsid w:val="00055850"/>
    <w:rsid w:val="000565DE"/>
    <w:rsid w:val="00056933"/>
    <w:rsid w:val="00056C0D"/>
    <w:rsid w:val="000570AF"/>
    <w:rsid w:val="00057984"/>
    <w:rsid w:val="00061804"/>
    <w:rsid w:val="000657BB"/>
    <w:rsid w:val="00065BEF"/>
    <w:rsid w:val="00065F9F"/>
    <w:rsid w:val="000668AD"/>
    <w:rsid w:val="000676C0"/>
    <w:rsid w:val="00070549"/>
    <w:rsid w:val="00072E29"/>
    <w:rsid w:val="00074BF8"/>
    <w:rsid w:val="000761BD"/>
    <w:rsid w:val="0007658B"/>
    <w:rsid w:val="00076DE5"/>
    <w:rsid w:val="00076EFE"/>
    <w:rsid w:val="00080970"/>
    <w:rsid w:val="00081A7F"/>
    <w:rsid w:val="00082249"/>
    <w:rsid w:val="00082573"/>
    <w:rsid w:val="00084011"/>
    <w:rsid w:val="0008445B"/>
    <w:rsid w:val="00086937"/>
    <w:rsid w:val="00086CD5"/>
    <w:rsid w:val="00086CDB"/>
    <w:rsid w:val="0008756F"/>
    <w:rsid w:val="00092379"/>
    <w:rsid w:val="00092BCD"/>
    <w:rsid w:val="000945B7"/>
    <w:rsid w:val="000A0B65"/>
    <w:rsid w:val="000A5C5C"/>
    <w:rsid w:val="000B06EA"/>
    <w:rsid w:val="000B3833"/>
    <w:rsid w:val="000B4B1A"/>
    <w:rsid w:val="000B5C35"/>
    <w:rsid w:val="000B6588"/>
    <w:rsid w:val="000B7065"/>
    <w:rsid w:val="000B712C"/>
    <w:rsid w:val="000B7B7D"/>
    <w:rsid w:val="000C02CC"/>
    <w:rsid w:val="000C047F"/>
    <w:rsid w:val="000C1F9F"/>
    <w:rsid w:val="000C2248"/>
    <w:rsid w:val="000C2955"/>
    <w:rsid w:val="000C35CA"/>
    <w:rsid w:val="000C36CD"/>
    <w:rsid w:val="000C41B5"/>
    <w:rsid w:val="000C440A"/>
    <w:rsid w:val="000C5170"/>
    <w:rsid w:val="000C729F"/>
    <w:rsid w:val="000C79D5"/>
    <w:rsid w:val="000D35DA"/>
    <w:rsid w:val="000D4901"/>
    <w:rsid w:val="000D49E3"/>
    <w:rsid w:val="000D595A"/>
    <w:rsid w:val="000D796D"/>
    <w:rsid w:val="000D7F27"/>
    <w:rsid w:val="000E02DF"/>
    <w:rsid w:val="000E0735"/>
    <w:rsid w:val="000E14B9"/>
    <w:rsid w:val="000E47D2"/>
    <w:rsid w:val="000E5011"/>
    <w:rsid w:val="000E58C8"/>
    <w:rsid w:val="000E7373"/>
    <w:rsid w:val="000F02D7"/>
    <w:rsid w:val="000F09D5"/>
    <w:rsid w:val="000F1353"/>
    <w:rsid w:val="000F207C"/>
    <w:rsid w:val="000F24E8"/>
    <w:rsid w:val="000F2CD2"/>
    <w:rsid w:val="000F3130"/>
    <w:rsid w:val="000F535C"/>
    <w:rsid w:val="000F63B5"/>
    <w:rsid w:val="000F6D42"/>
    <w:rsid w:val="000F6F3A"/>
    <w:rsid w:val="0010127A"/>
    <w:rsid w:val="0010173C"/>
    <w:rsid w:val="0010213B"/>
    <w:rsid w:val="001023BA"/>
    <w:rsid w:val="00103DB7"/>
    <w:rsid w:val="001040A1"/>
    <w:rsid w:val="0010536D"/>
    <w:rsid w:val="001057BD"/>
    <w:rsid w:val="00105DD0"/>
    <w:rsid w:val="001060AD"/>
    <w:rsid w:val="00106536"/>
    <w:rsid w:val="0010745D"/>
    <w:rsid w:val="00107BAC"/>
    <w:rsid w:val="0011107D"/>
    <w:rsid w:val="00112FED"/>
    <w:rsid w:val="0011391C"/>
    <w:rsid w:val="00115492"/>
    <w:rsid w:val="00116B66"/>
    <w:rsid w:val="00116F9F"/>
    <w:rsid w:val="0012035A"/>
    <w:rsid w:val="001207B0"/>
    <w:rsid w:val="00120873"/>
    <w:rsid w:val="001211A9"/>
    <w:rsid w:val="001219C2"/>
    <w:rsid w:val="00122279"/>
    <w:rsid w:val="00124158"/>
    <w:rsid w:val="00124664"/>
    <w:rsid w:val="00124D4C"/>
    <w:rsid w:val="00124F04"/>
    <w:rsid w:val="00124F74"/>
    <w:rsid w:val="00125ADB"/>
    <w:rsid w:val="001315C5"/>
    <w:rsid w:val="00132A55"/>
    <w:rsid w:val="001337BB"/>
    <w:rsid w:val="00133EF8"/>
    <w:rsid w:val="0013421F"/>
    <w:rsid w:val="00134AD5"/>
    <w:rsid w:val="00134E04"/>
    <w:rsid w:val="00135D2B"/>
    <w:rsid w:val="00136A56"/>
    <w:rsid w:val="001373B3"/>
    <w:rsid w:val="00141827"/>
    <w:rsid w:val="00142A98"/>
    <w:rsid w:val="00144622"/>
    <w:rsid w:val="00144AA2"/>
    <w:rsid w:val="00144CF0"/>
    <w:rsid w:val="00145076"/>
    <w:rsid w:val="001452ED"/>
    <w:rsid w:val="001461A7"/>
    <w:rsid w:val="0015014F"/>
    <w:rsid w:val="001502A5"/>
    <w:rsid w:val="00150670"/>
    <w:rsid w:val="00150E91"/>
    <w:rsid w:val="0015178D"/>
    <w:rsid w:val="00152741"/>
    <w:rsid w:val="00153098"/>
    <w:rsid w:val="00155C43"/>
    <w:rsid w:val="00156061"/>
    <w:rsid w:val="0015611F"/>
    <w:rsid w:val="00157040"/>
    <w:rsid w:val="00157A0A"/>
    <w:rsid w:val="00157D10"/>
    <w:rsid w:val="001603DA"/>
    <w:rsid w:val="00160B71"/>
    <w:rsid w:val="00161285"/>
    <w:rsid w:val="001641B5"/>
    <w:rsid w:val="00165CA3"/>
    <w:rsid w:val="0017017D"/>
    <w:rsid w:val="00170CE0"/>
    <w:rsid w:val="00170E7F"/>
    <w:rsid w:val="00170ECD"/>
    <w:rsid w:val="001720D8"/>
    <w:rsid w:val="001729F0"/>
    <w:rsid w:val="00172AB2"/>
    <w:rsid w:val="00172F08"/>
    <w:rsid w:val="001736AB"/>
    <w:rsid w:val="001759CD"/>
    <w:rsid w:val="00175B1F"/>
    <w:rsid w:val="00175B59"/>
    <w:rsid w:val="001773A6"/>
    <w:rsid w:val="00177F6B"/>
    <w:rsid w:val="0018030F"/>
    <w:rsid w:val="00181995"/>
    <w:rsid w:val="0018455C"/>
    <w:rsid w:val="00184913"/>
    <w:rsid w:val="0018549F"/>
    <w:rsid w:val="0019013F"/>
    <w:rsid w:val="00192B43"/>
    <w:rsid w:val="001931AF"/>
    <w:rsid w:val="00193EA2"/>
    <w:rsid w:val="001940BC"/>
    <w:rsid w:val="00194391"/>
    <w:rsid w:val="00194633"/>
    <w:rsid w:val="00194B34"/>
    <w:rsid w:val="00194D5D"/>
    <w:rsid w:val="00194EFF"/>
    <w:rsid w:val="001A0758"/>
    <w:rsid w:val="001A0BF6"/>
    <w:rsid w:val="001A2B35"/>
    <w:rsid w:val="001A2C01"/>
    <w:rsid w:val="001A2DCF"/>
    <w:rsid w:val="001A41E5"/>
    <w:rsid w:val="001A4761"/>
    <w:rsid w:val="001A4C29"/>
    <w:rsid w:val="001A68F4"/>
    <w:rsid w:val="001B0A1E"/>
    <w:rsid w:val="001B0B69"/>
    <w:rsid w:val="001B3433"/>
    <w:rsid w:val="001B3C94"/>
    <w:rsid w:val="001B4418"/>
    <w:rsid w:val="001C0D35"/>
    <w:rsid w:val="001C123E"/>
    <w:rsid w:val="001C1695"/>
    <w:rsid w:val="001C35CA"/>
    <w:rsid w:val="001C42C7"/>
    <w:rsid w:val="001C42E6"/>
    <w:rsid w:val="001C45A0"/>
    <w:rsid w:val="001C4BEF"/>
    <w:rsid w:val="001C4E35"/>
    <w:rsid w:val="001C5523"/>
    <w:rsid w:val="001C5826"/>
    <w:rsid w:val="001C59F8"/>
    <w:rsid w:val="001C6DB4"/>
    <w:rsid w:val="001C733F"/>
    <w:rsid w:val="001C756E"/>
    <w:rsid w:val="001D16D1"/>
    <w:rsid w:val="001D3C1D"/>
    <w:rsid w:val="001D49BB"/>
    <w:rsid w:val="001D69C8"/>
    <w:rsid w:val="001D71D1"/>
    <w:rsid w:val="001D7279"/>
    <w:rsid w:val="001D7687"/>
    <w:rsid w:val="001D7BFD"/>
    <w:rsid w:val="001D7E5D"/>
    <w:rsid w:val="001E0C9C"/>
    <w:rsid w:val="001E2C38"/>
    <w:rsid w:val="001E3650"/>
    <w:rsid w:val="001E4F21"/>
    <w:rsid w:val="001E5318"/>
    <w:rsid w:val="001E54B7"/>
    <w:rsid w:val="001E5C7A"/>
    <w:rsid w:val="001E654E"/>
    <w:rsid w:val="001E69CC"/>
    <w:rsid w:val="001E7CB1"/>
    <w:rsid w:val="001F0E9B"/>
    <w:rsid w:val="001F3B09"/>
    <w:rsid w:val="001F4AC0"/>
    <w:rsid w:val="001F4BEB"/>
    <w:rsid w:val="001F5F67"/>
    <w:rsid w:val="001F7558"/>
    <w:rsid w:val="001F7AED"/>
    <w:rsid w:val="001F7CB0"/>
    <w:rsid w:val="00200870"/>
    <w:rsid w:val="00200B52"/>
    <w:rsid w:val="002022B8"/>
    <w:rsid w:val="002029A7"/>
    <w:rsid w:val="00204F62"/>
    <w:rsid w:val="002052DD"/>
    <w:rsid w:val="0020658C"/>
    <w:rsid w:val="00206986"/>
    <w:rsid w:val="0020741A"/>
    <w:rsid w:val="00207425"/>
    <w:rsid w:val="0021005E"/>
    <w:rsid w:val="00210704"/>
    <w:rsid w:val="00211D1D"/>
    <w:rsid w:val="002128D7"/>
    <w:rsid w:val="002133DE"/>
    <w:rsid w:val="002147D5"/>
    <w:rsid w:val="00214DE9"/>
    <w:rsid w:val="00215BA2"/>
    <w:rsid w:val="00216A2E"/>
    <w:rsid w:val="002207B1"/>
    <w:rsid w:val="00220950"/>
    <w:rsid w:val="00220AF6"/>
    <w:rsid w:val="00221E71"/>
    <w:rsid w:val="0022220A"/>
    <w:rsid w:val="00222DCF"/>
    <w:rsid w:val="00223F55"/>
    <w:rsid w:val="00224310"/>
    <w:rsid w:val="00224AB3"/>
    <w:rsid w:val="002253BF"/>
    <w:rsid w:val="002263FB"/>
    <w:rsid w:val="00227D30"/>
    <w:rsid w:val="0023098C"/>
    <w:rsid w:val="00231036"/>
    <w:rsid w:val="00231095"/>
    <w:rsid w:val="002314C6"/>
    <w:rsid w:val="002321D7"/>
    <w:rsid w:val="00232372"/>
    <w:rsid w:val="00233BAA"/>
    <w:rsid w:val="00234484"/>
    <w:rsid w:val="0023451F"/>
    <w:rsid w:val="00240637"/>
    <w:rsid w:val="00240975"/>
    <w:rsid w:val="00240DAA"/>
    <w:rsid w:val="00241AB6"/>
    <w:rsid w:val="00242060"/>
    <w:rsid w:val="00242613"/>
    <w:rsid w:val="002428D8"/>
    <w:rsid w:val="00242924"/>
    <w:rsid w:val="002444EF"/>
    <w:rsid w:val="00245B49"/>
    <w:rsid w:val="00245E8B"/>
    <w:rsid w:val="002469F1"/>
    <w:rsid w:val="00250FBB"/>
    <w:rsid w:val="00251203"/>
    <w:rsid w:val="00252B1C"/>
    <w:rsid w:val="002534F6"/>
    <w:rsid w:val="00253660"/>
    <w:rsid w:val="002536BF"/>
    <w:rsid w:val="00253955"/>
    <w:rsid w:val="00254517"/>
    <w:rsid w:val="00255930"/>
    <w:rsid w:val="00255AFE"/>
    <w:rsid w:val="002563E9"/>
    <w:rsid w:val="00257B33"/>
    <w:rsid w:val="00260A1D"/>
    <w:rsid w:val="0026181C"/>
    <w:rsid w:val="0026243D"/>
    <w:rsid w:val="0026260F"/>
    <w:rsid w:val="00262E27"/>
    <w:rsid w:val="002630FA"/>
    <w:rsid w:val="00263B05"/>
    <w:rsid w:val="00263E2D"/>
    <w:rsid w:val="002641FE"/>
    <w:rsid w:val="00264850"/>
    <w:rsid w:val="00270946"/>
    <w:rsid w:val="00270B18"/>
    <w:rsid w:val="00270BF1"/>
    <w:rsid w:val="002714C5"/>
    <w:rsid w:val="00273670"/>
    <w:rsid w:val="00275036"/>
    <w:rsid w:val="00276444"/>
    <w:rsid w:val="00276E57"/>
    <w:rsid w:val="00280935"/>
    <w:rsid w:val="00281FBA"/>
    <w:rsid w:val="002859AD"/>
    <w:rsid w:val="00287F05"/>
    <w:rsid w:val="00290E0F"/>
    <w:rsid w:val="00292100"/>
    <w:rsid w:val="00292D52"/>
    <w:rsid w:val="00293431"/>
    <w:rsid w:val="00293FE7"/>
    <w:rsid w:val="002949D3"/>
    <w:rsid w:val="00294EA4"/>
    <w:rsid w:val="002958C8"/>
    <w:rsid w:val="00296943"/>
    <w:rsid w:val="0029754D"/>
    <w:rsid w:val="002A056F"/>
    <w:rsid w:val="002A181F"/>
    <w:rsid w:val="002A1B54"/>
    <w:rsid w:val="002A1EB3"/>
    <w:rsid w:val="002A2ABF"/>
    <w:rsid w:val="002A3206"/>
    <w:rsid w:val="002A3699"/>
    <w:rsid w:val="002A3AF5"/>
    <w:rsid w:val="002A3C3A"/>
    <w:rsid w:val="002A3CB1"/>
    <w:rsid w:val="002A3F9F"/>
    <w:rsid w:val="002A40A3"/>
    <w:rsid w:val="002A6B4D"/>
    <w:rsid w:val="002A6DE2"/>
    <w:rsid w:val="002A729B"/>
    <w:rsid w:val="002A7C44"/>
    <w:rsid w:val="002B33D8"/>
    <w:rsid w:val="002B4523"/>
    <w:rsid w:val="002B5B21"/>
    <w:rsid w:val="002B61E7"/>
    <w:rsid w:val="002B7B7F"/>
    <w:rsid w:val="002C0071"/>
    <w:rsid w:val="002C0DF1"/>
    <w:rsid w:val="002C1157"/>
    <w:rsid w:val="002C1921"/>
    <w:rsid w:val="002C1D0D"/>
    <w:rsid w:val="002C3031"/>
    <w:rsid w:val="002C4AB7"/>
    <w:rsid w:val="002C55A1"/>
    <w:rsid w:val="002C7733"/>
    <w:rsid w:val="002D054C"/>
    <w:rsid w:val="002D40D4"/>
    <w:rsid w:val="002D7724"/>
    <w:rsid w:val="002E1103"/>
    <w:rsid w:val="002E153A"/>
    <w:rsid w:val="002E2C47"/>
    <w:rsid w:val="002E3259"/>
    <w:rsid w:val="002E51BA"/>
    <w:rsid w:val="002E5550"/>
    <w:rsid w:val="002E621D"/>
    <w:rsid w:val="002E7E9C"/>
    <w:rsid w:val="002F0B5C"/>
    <w:rsid w:val="002F0E33"/>
    <w:rsid w:val="002F1C9B"/>
    <w:rsid w:val="002F5190"/>
    <w:rsid w:val="002F5AE6"/>
    <w:rsid w:val="002F6FC3"/>
    <w:rsid w:val="00300458"/>
    <w:rsid w:val="003009AF"/>
    <w:rsid w:val="00300D59"/>
    <w:rsid w:val="00300F4F"/>
    <w:rsid w:val="00301695"/>
    <w:rsid w:val="00302D57"/>
    <w:rsid w:val="00302F81"/>
    <w:rsid w:val="00304689"/>
    <w:rsid w:val="00306451"/>
    <w:rsid w:val="003064BB"/>
    <w:rsid w:val="00306B6A"/>
    <w:rsid w:val="003076C3"/>
    <w:rsid w:val="0031050D"/>
    <w:rsid w:val="00313BCE"/>
    <w:rsid w:val="00313C88"/>
    <w:rsid w:val="00313F22"/>
    <w:rsid w:val="00314424"/>
    <w:rsid w:val="003148F9"/>
    <w:rsid w:val="00315BA0"/>
    <w:rsid w:val="00315CFE"/>
    <w:rsid w:val="00316395"/>
    <w:rsid w:val="00316FD8"/>
    <w:rsid w:val="003207AF"/>
    <w:rsid w:val="00321B3C"/>
    <w:rsid w:val="00321ED9"/>
    <w:rsid w:val="00323C56"/>
    <w:rsid w:val="003243B2"/>
    <w:rsid w:val="00325694"/>
    <w:rsid w:val="00325815"/>
    <w:rsid w:val="0032702A"/>
    <w:rsid w:val="00330255"/>
    <w:rsid w:val="00330D2D"/>
    <w:rsid w:val="003312E6"/>
    <w:rsid w:val="00331918"/>
    <w:rsid w:val="00334112"/>
    <w:rsid w:val="00335EFA"/>
    <w:rsid w:val="0033648E"/>
    <w:rsid w:val="003364A1"/>
    <w:rsid w:val="00337D6F"/>
    <w:rsid w:val="003411E7"/>
    <w:rsid w:val="003413D6"/>
    <w:rsid w:val="00342D4A"/>
    <w:rsid w:val="00343A57"/>
    <w:rsid w:val="00345C34"/>
    <w:rsid w:val="00346285"/>
    <w:rsid w:val="00346461"/>
    <w:rsid w:val="00346D08"/>
    <w:rsid w:val="00347BAF"/>
    <w:rsid w:val="003501B4"/>
    <w:rsid w:val="0035083C"/>
    <w:rsid w:val="00351C4B"/>
    <w:rsid w:val="00355E2B"/>
    <w:rsid w:val="00355FFB"/>
    <w:rsid w:val="00360563"/>
    <w:rsid w:val="0036254D"/>
    <w:rsid w:val="00362945"/>
    <w:rsid w:val="00365228"/>
    <w:rsid w:val="00366AA6"/>
    <w:rsid w:val="00367ED4"/>
    <w:rsid w:val="00370C20"/>
    <w:rsid w:val="00370F96"/>
    <w:rsid w:val="0037184F"/>
    <w:rsid w:val="00371EEA"/>
    <w:rsid w:val="003736C1"/>
    <w:rsid w:val="00373725"/>
    <w:rsid w:val="00373C9F"/>
    <w:rsid w:val="0037401E"/>
    <w:rsid w:val="00374A1A"/>
    <w:rsid w:val="0037569D"/>
    <w:rsid w:val="00375B92"/>
    <w:rsid w:val="00376B78"/>
    <w:rsid w:val="003778DA"/>
    <w:rsid w:val="00377EFB"/>
    <w:rsid w:val="00382889"/>
    <w:rsid w:val="003840A8"/>
    <w:rsid w:val="00385133"/>
    <w:rsid w:val="0038546C"/>
    <w:rsid w:val="00385910"/>
    <w:rsid w:val="0038753A"/>
    <w:rsid w:val="00393DD8"/>
    <w:rsid w:val="00394A98"/>
    <w:rsid w:val="003950EE"/>
    <w:rsid w:val="00395D6A"/>
    <w:rsid w:val="00395F49"/>
    <w:rsid w:val="003974C4"/>
    <w:rsid w:val="00397A7C"/>
    <w:rsid w:val="00397BB4"/>
    <w:rsid w:val="003A05ED"/>
    <w:rsid w:val="003A217B"/>
    <w:rsid w:val="003A27EC"/>
    <w:rsid w:val="003A287C"/>
    <w:rsid w:val="003A2DA5"/>
    <w:rsid w:val="003A4A16"/>
    <w:rsid w:val="003A680B"/>
    <w:rsid w:val="003A6A43"/>
    <w:rsid w:val="003A6B23"/>
    <w:rsid w:val="003A6CEE"/>
    <w:rsid w:val="003B16E5"/>
    <w:rsid w:val="003B2AAE"/>
    <w:rsid w:val="003B3DCA"/>
    <w:rsid w:val="003B420C"/>
    <w:rsid w:val="003B55C8"/>
    <w:rsid w:val="003B7B33"/>
    <w:rsid w:val="003C0252"/>
    <w:rsid w:val="003C1133"/>
    <w:rsid w:val="003C1A7A"/>
    <w:rsid w:val="003C25D2"/>
    <w:rsid w:val="003C40AF"/>
    <w:rsid w:val="003C4A55"/>
    <w:rsid w:val="003C5C4F"/>
    <w:rsid w:val="003C5DDA"/>
    <w:rsid w:val="003C6139"/>
    <w:rsid w:val="003C7B17"/>
    <w:rsid w:val="003D0A9E"/>
    <w:rsid w:val="003D17C7"/>
    <w:rsid w:val="003D1A77"/>
    <w:rsid w:val="003D3B36"/>
    <w:rsid w:val="003D4DF0"/>
    <w:rsid w:val="003D5149"/>
    <w:rsid w:val="003D625C"/>
    <w:rsid w:val="003E0C2B"/>
    <w:rsid w:val="003E2A93"/>
    <w:rsid w:val="003E2AD3"/>
    <w:rsid w:val="003E2C0A"/>
    <w:rsid w:val="003E2C54"/>
    <w:rsid w:val="003E3939"/>
    <w:rsid w:val="003E517C"/>
    <w:rsid w:val="003E5336"/>
    <w:rsid w:val="003E5700"/>
    <w:rsid w:val="003E6724"/>
    <w:rsid w:val="003E7A35"/>
    <w:rsid w:val="003E7B55"/>
    <w:rsid w:val="003E7E59"/>
    <w:rsid w:val="003F3ADD"/>
    <w:rsid w:val="003F6360"/>
    <w:rsid w:val="003F78F4"/>
    <w:rsid w:val="00400837"/>
    <w:rsid w:val="00401000"/>
    <w:rsid w:val="004016E7"/>
    <w:rsid w:val="00401AC3"/>
    <w:rsid w:val="00402870"/>
    <w:rsid w:val="00404458"/>
    <w:rsid w:val="0040551C"/>
    <w:rsid w:val="00406F40"/>
    <w:rsid w:val="00413BED"/>
    <w:rsid w:val="00413CDA"/>
    <w:rsid w:val="004150DC"/>
    <w:rsid w:val="00415A17"/>
    <w:rsid w:val="00420BDB"/>
    <w:rsid w:val="0042146A"/>
    <w:rsid w:val="00421DBC"/>
    <w:rsid w:val="00424FDD"/>
    <w:rsid w:val="00426B24"/>
    <w:rsid w:val="00431761"/>
    <w:rsid w:val="00431CD6"/>
    <w:rsid w:val="00432F8E"/>
    <w:rsid w:val="00433F91"/>
    <w:rsid w:val="004344DC"/>
    <w:rsid w:val="00435A15"/>
    <w:rsid w:val="00435D8B"/>
    <w:rsid w:val="004368E6"/>
    <w:rsid w:val="0043708D"/>
    <w:rsid w:val="00440338"/>
    <w:rsid w:val="00440936"/>
    <w:rsid w:val="00441ABC"/>
    <w:rsid w:val="00443658"/>
    <w:rsid w:val="00444A1C"/>
    <w:rsid w:val="00445BB5"/>
    <w:rsid w:val="004464FB"/>
    <w:rsid w:val="00447C6F"/>
    <w:rsid w:val="00450BCC"/>
    <w:rsid w:val="00452CA9"/>
    <w:rsid w:val="00453030"/>
    <w:rsid w:val="00455554"/>
    <w:rsid w:val="0045603B"/>
    <w:rsid w:val="004577BB"/>
    <w:rsid w:val="004609BD"/>
    <w:rsid w:val="004618DD"/>
    <w:rsid w:val="0046213B"/>
    <w:rsid w:val="004638DE"/>
    <w:rsid w:val="004647AC"/>
    <w:rsid w:val="004705D6"/>
    <w:rsid w:val="004719DC"/>
    <w:rsid w:val="00471F28"/>
    <w:rsid w:val="0047263C"/>
    <w:rsid w:val="00474DCF"/>
    <w:rsid w:val="00475811"/>
    <w:rsid w:val="00475D50"/>
    <w:rsid w:val="00475D60"/>
    <w:rsid w:val="00476336"/>
    <w:rsid w:val="004773E0"/>
    <w:rsid w:val="00481D7B"/>
    <w:rsid w:val="0048460A"/>
    <w:rsid w:val="00485F7C"/>
    <w:rsid w:val="00490D08"/>
    <w:rsid w:val="00491672"/>
    <w:rsid w:val="00491E4B"/>
    <w:rsid w:val="0049582F"/>
    <w:rsid w:val="00497688"/>
    <w:rsid w:val="004979AC"/>
    <w:rsid w:val="004A0007"/>
    <w:rsid w:val="004A06D6"/>
    <w:rsid w:val="004A096A"/>
    <w:rsid w:val="004A10FA"/>
    <w:rsid w:val="004A2428"/>
    <w:rsid w:val="004A450B"/>
    <w:rsid w:val="004A4E29"/>
    <w:rsid w:val="004A4EE1"/>
    <w:rsid w:val="004A532B"/>
    <w:rsid w:val="004A5BC6"/>
    <w:rsid w:val="004A6BC4"/>
    <w:rsid w:val="004B0044"/>
    <w:rsid w:val="004B1554"/>
    <w:rsid w:val="004B173E"/>
    <w:rsid w:val="004B1DAE"/>
    <w:rsid w:val="004B436E"/>
    <w:rsid w:val="004B4A33"/>
    <w:rsid w:val="004B5955"/>
    <w:rsid w:val="004B723B"/>
    <w:rsid w:val="004B797C"/>
    <w:rsid w:val="004B7A98"/>
    <w:rsid w:val="004C08AB"/>
    <w:rsid w:val="004C296E"/>
    <w:rsid w:val="004C2CA3"/>
    <w:rsid w:val="004C44CF"/>
    <w:rsid w:val="004C4739"/>
    <w:rsid w:val="004C4AAF"/>
    <w:rsid w:val="004C4CD8"/>
    <w:rsid w:val="004C6B2F"/>
    <w:rsid w:val="004C6F55"/>
    <w:rsid w:val="004D2288"/>
    <w:rsid w:val="004D314D"/>
    <w:rsid w:val="004D3271"/>
    <w:rsid w:val="004D364B"/>
    <w:rsid w:val="004D38AD"/>
    <w:rsid w:val="004D3C22"/>
    <w:rsid w:val="004D425B"/>
    <w:rsid w:val="004D43D1"/>
    <w:rsid w:val="004D466E"/>
    <w:rsid w:val="004E0C9A"/>
    <w:rsid w:val="004E0FD8"/>
    <w:rsid w:val="004E1FF6"/>
    <w:rsid w:val="004E2AFE"/>
    <w:rsid w:val="004E34C1"/>
    <w:rsid w:val="004E457B"/>
    <w:rsid w:val="004E646A"/>
    <w:rsid w:val="004F0AC2"/>
    <w:rsid w:val="004F141E"/>
    <w:rsid w:val="004F1EEA"/>
    <w:rsid w:val="004F26D2"/>
    <w:rsid w:val="004F4C4F"/>
    <w:rsid w:val="004F5334"/>
    <w:rsid w:val="004F5690"/>
    <w:rsid w:val="004F5D91"/>
    <w:rsid w:val="004F60E4"/>
    <w:rsid w:val="004F6F14"/>
    <w:rsid w:val="004F6F68"/>
    <w:rsid w:val="004F715A"/>
    <w:rsid w:val="004F7AFB"/>
    <w:rsid w:val="00501306"/>
    <w:rsid w:val="005028EE"/>
    <w:rsid w:val="00502E5B"/>
    <w:rsid w:val="00502E9D"/>
    <w:rsid w:val="00503F86"/>
    <w:rsid w:val="005059ED"/>
    <w:rsid w:val="0051193C"/>
    <w:rsid w:val="00511CFB"/>
    <w:rsid w:val="00512361"/>
    <w:rsid w:val="00512819"/>
    <w:rsid w:val="00512C11"/>
    <w:rsid w:val="005134CC"/>
    <w:rsid w:val="005143B8"/>
    <w:rsid w:val="0051476D"/>
    <w:rsid w:val="0051617E"/>
    <w:rsid w:val="00520C3A"/>
    <w:rsid w:val="0052265F"/>
    <w:rsid w:val="0052293A"/>
    <w:rsid w:val="00523637"/>
    <w:rsid w:val="005238AA"/>
    <w:rsid w:val="00523EF0"/>
    <w:rsid w:val="0052459F"/>
    <w:rsid w:val="00526A01"/>
    <w:rsid w:val="00530F02"/>
    <w:rsid w:val="00532E22"/>
    <w:rsid w:val="0053425B"/>
    <w:rsid w:val="005343C6"/>
    <w:rsid w:val="00540783"/>
    <w:rsid w:val="0054080D"/>
    <w:rsid w:val="005414C7"/>
    <w:rsid w:val="00542181"/>
    <w:rsid w:val="005425D7"/>
    <w:rsid w:val="005429D4"/>
    <w:rsid w:val="00545512"/>
    <w:rsid w:val="0054720F"/>
    <w:rsid w:val="00550798"/>
    <w:rsid w:val="00550FC8"/>
    <w:rsid w:val="005520A0"/>
    <w:rsid w:val="005536D4"/>
    <w:rsid w:val="005550F7"/>
    <w:rsid w:val="0055537F"/>
    <w:rsid w:val="0055673D"/>
    <w:rsid w:val="00556797"/>
    <w:rsid w:val="00556F05"/>
    <w:rsid w:val="00557256"/>
    <w:rsid w:val="005608C1"/>
    <w:rsid w:val="00560D7F"/>
    <w:rsid w:val="00561387"/>
    <w:rsid w:val="005618AE"/>
    <w:rsid w:val="005639E5"/>
    <w:rsid w:val="0056474D"/>
    <w:rsid w:val="005652D1"/>
    <w:rsid w:val="00567DA8"/>
    <w:rsid w:val="00570ABC"/>
    <w:rsid w:val="00570BBB"/>
    <w:rsid w:val="00571A42"/>
    <w:rsid w:val="00573288"/>
    <w:rsid w:val="00574AD7"/>
    <w:rsid w:val="00574D21"/>
    <w:rsid w:val="00576090"/>
    <w:rsid w:val="0057707C"/>
    <w:rsid w:val="00577845"/>
    <w:rsid w:val="00582432"/>
    <w:rsid w:val="00585307"/>
    <w:rsid w:val="0058603E"/>
    <w:rsid w:val="00591D45"/>
    <w:rsid w:val="00591F29"/>
    <w:rsid w:val="00592491"/>
    <w:rsid w:val="00592BF1"/>
    <w:rsid w:val="00592CB4"/>
    <w:rsid w:val="00592D4A"/>
    <w:rsid w:val="00592D73"/>
    <w:rsid w:val="005932F0"/>
    <w:rsid w:val="00595551"/>
    <w:rsid w:val="0059690A"/>
    <w:rsid w:val="00596CCF"/>
    <w:rsid w:val="005A01B8"/>
    <w:rsid w:val="005A2616"/>
    <w:rsid w:val="005A2657"/>
    <w:rsid w:val="005A29C4"/>
    <w:rsid w:val="005A33B9"/>
    <w:rsid w:val="005A3D63"/>
    <w:rsid w:val="005A5ECD"/>
    <w:rsid w:val="005A7779"/>
    <w:rsid w:val="005B080E"/>
    <w:rsid w:val="005B15CA"/>
    <w:rsid w:val="005B1BB2"/>
    <w:rsid w:val="005B1C9F"/>
    <w:rsid w:val="005B324F"/>
    <w:rsid w:val="005B35D6"/>
    <w:rsid w:val="005B4C84"/>
    <w:rsid w:val="005B4D25"/>
    <w:rsid w:val="005B4E3F"/>
    <w:rsid w:val="005B52F5"/>
    <w:rsid w:val="005B6A56"/>
    <w:rsid w:val="005B729C"/>
    <w:rsid w:val="005C028F"/>
    <w:rsid w:val="005C1AC4"/>
    <w:rsid w:val="005C1C13"/>
    <w:rsid w:val="005C2A3B"/>
    <w:rsid w:val="005C3706"/>
    <w:rsid w:val="005C4DDF"/>
    <w:rsid w:val="005C6539"/>
    <w:rsid w:val="005C6A67"/>
    <w:rsid w:val="005C7F04"/>
    <w:rsid w:val="005D0F0F"/>
    <w:rsid w:val="005D1FAA"/>
    <w:rsid w:val="005D2142"/>
    <w:rsid w:val="005D2FC3"/>
    <w:rsid w:val="005D336B"/>
    <w:rsid w:val="005D3A35"/>
    <w:rsid w:val="005D3EB2"/>
    <w:rsid w:val="005D4D8D"/>
    <w:rsid w:val="005D55BF"/>
    <w:rsid w:val="005D56F3"/>
    <w:rsid w:val="005D73F1"/>
    <w:rsid w:val="005E206C"/>
    <w:rsid w:val="005E3403"/>
    <w:rsid w:val="005E3EFA"/>
    <w:rsid w:val="005E42DF"/>
    <w:rsid w:val="005E54F9"/>
    <w:rsid w:val="005E69D6"/>
    <w:rsid w:val="005E6EDF"/>
    <w:rsid w:val="005E6EEB"/>
    <w:rsid w:val="005F1F0B"/>
    <w:rsid w:val="005F4029"/>
    <w:rsid w:val="005F52CB"/>
    <w:rsid w:val="005F5B1A"/>
    <w:rsid w:val="005F675D"/>
    <w:rsid w:val="005F79D0"/>
    <w:rsid w:val="0060154E"/>
    <w:rsid w:val="0060206C"/>
    <w:rsid w:val="00603D16"/>
    <w:rsid w:val="00604B40"/>
    <w:rsid w:val="00604DD2"/>
    <w:rsid w:val="0060507D"/>
    <w:rsid w:val="0060589D"/>
    <w:rsid w:val="00610ACB"/>
    <w:rsid w:val="0061326E"/>
    <w:rsid w:val="006134B8"/>
    <w:rsid w:val="00613F78"/>
    <w:rsid w:val="00614301"/>
    <w:rsid w:val="006153D4"/>
    <w:rsid w:val="00617689"/>
    <w:rsid w:val="00620184"/>
    <w:rsid w:val="00623C4B"/>
    <w:rsid w:val="00624B5C"/>
    <w:rsid w:val="00626226"/>
    <w:rsid w:val="00626BD1"/>
    <w:rsid w:val="006278A3"/>
    <w:rsid w:val="00627FA4"/>
    <w:rsid w:val="00630F1F"/>
    <w:rsid w:val="00631DF2"/>
    <w:rsid w:val="00632A54"/>
    <w:rsid w:val="00632E81"/>
    <w:rsid w:val="006355BE"/>
    <w:rsid w:val="00636038"/>
    <w:rsid w:val="00636EB8"/>
    <w:rsid w:val="00641DAB"/>
    <w:rsid w:val="0064335F"/>
    <w:rsid w:val="0064459E"/>
    <w:rsid w:val="00645F4F"/>
    <w:rsid w:val="00646ACA"/>
    <w:rsid w:val="006474CF"/>
    <w:rsid w:val="006514AC"/>
    <w:rsid w:val="00651AB9"/>
    <w:rsid w:val="006527B1"/>
    <w:rsid w:val="00656472"/>
    <w:rsid w:val="00657C82"/>
    <w:rsid w:val="006617D6"/>
    <w:rsid w:val="00662D17"/>
    <w:rsid w:val="00663453"/>
    <w:rsid w:val="00663D57"/>
    <w:rsid w:val="006647A8"/>
    <w:rsid w:val="00664E51"/>
    <w:rsid w:val="00665B2E"/>
    <w:rsid w:val="00671B02"/>
    <w:rsid w:val="0067262C"/>
    <w:rsid w:val="00673BC1"/>
    <w:rsid w:val="006755F1"/>
    <w:rsid w:val="00676330"/>
    <w:rsid w:val="00676A86"/>
    <w:rsid w:val="0068060E"/>
    <w:rsid w:val="006806DE"/>
    <w:rsid w:val="006808A9"/>
    <w:rsid w:val="00680FBA"/>
    <w:rsid w:val="00682171"/>
    <w:rsid w:val="00682B39"/>
    <w:rsid w:val="006836A2"/>
    <w:rsid w:val="00684BF4"/>
    <w:rsid w:val="00685DB0"/>
    <w:rsid w:val="00686218"/>
    <w:rsid w:val="006866B9"/>
    <w:rsid w:val="00692971"/>
    <w:rsid w:val="00692C62"/>
    <w:rsid w:val="00693B98"/>
    <w:rsid w:val="00694BF6"/>
    <w:rsid w:val="00694C0D"/>
    <w:rsid w:val="00694EFE"/>
    <w:rsid w:val="006959C9"/>
    <w:rsid w:val="00696331"/>
    <w:rsid w:val="00696F2E"/>
    <w:rsid w:val="006973B3"/>
    <w:rsid w:val="00697EFE"/>
    <w:rsid w:val="00697F9D"/>
    <w:rsid w:val="006A1715"/>
    <w:rsid w:val="006A2184"/>
    <w:rsid w:val="006A28D7"/>
    <w:rsid w:val="006A4F31"/>
    <w:rsid w:val="006A5CFA"/>
    <w:rsid w:val="006A65BB"/>
    <w:rsid w:val="006A6EA3"/>
    <w:rsid w:val="006B042B"/>
    <w:rsid w:val="006B0621"/>
    <w:rsid w:val="006B0815"/>
    <w:rsid w:val="006B0DCE"/>
    <w:rsid w:val="006B12D5"/>
    <w:rsid w:val="006B40A3"/>
    <w:rsid w:val="006B4500"/>
    <w:rsid w:val="006B4693"/>
    <w:rsid w:val="006B4BF6"/>
    <w:rsid w:val="006B764F"/>
    <w:rsid w:val="006C18A9"/>
    <w:rsid w:val="006C4041"/>
    <w:rsid w:val="006C57EC"/>
    <w:rsid w:val="006C5ED3"/>
    <w:rsid w:val="006C5F4C"/>
    <w:rsid w:val="006D01F7"/>
    <w:rsid w:val="006D5AE2"/>
    <w:rsid w:val="006D75C6"/>
    <w:rsid w:val="006E20B8"/>
    <w:rsid w:val="006E28A3"/>
    <w:rsid w:val="006E43A2"/>
    <w:rsid w:val="006E4663"/>
    <w:rsid w:val="006E46DF"/>
    <w:rsid w:val="006E5B82"/>
    <w:rsid w:val="006E634C"/>
    <w:rsid w:val="006E699A"/>
    <w:rsid w:val="006E6C5E"/>
    <w:rsid w:val="006E6F8E"/>
    <w:rsid w:val="006E7DDB"/>
    <w:rsid w:val="006E7F43"/>
    <w:rsid w:val="006F12CE"/>
    <w:rsid w:val="006F14DF"/>
    <w:rsid w:val="006F2F4E"/>
    <w:rsid w:val="006F51F0"/>
    <w:rsid w:val="006F5619"/>
    <w:rsid w:val="006F662E"/>
    <w:rsid w:val="006F6935"/>
    <w:rsid w:val="006F6D77"/>
    <w:rsid w:val="00700150"/>
    <w:rsid w:val="00701348"/>
    <w:rsid w:val="0070194D"/>
    <w:rsid w:val="007022FF"/>
    <w:rsid w:val="00702332"/>
    <w:rsid w:val="00703BD1"/>
    <w:rsid w:val="00704AA0"/>
    <w:rsid w:val="00704CD2"/>
    <w:rsid w:val="00704DC4"/>
    <w:rsid w:val="007067EB"/>
    <w:rsid w:val="00712320"/>
    <w:rsid w:val="00712CC9"/>
    <w:rsid w:val="00713C35"/>
    <w:rsid w:val="00714722"/>
    <w:rsid w:val="00716452"/>
    <w:rsid w:val="007214B5"/>
    <w:rsid w:val="00721A5B"/>
    <w:rsid w:val="007224B7"/>
    <w:rsid w:val="00723C3B"/>
    <w:rsid w:val="0072482E"/>
    <w:rsid w:val="00725599"/>
    <w:rsid w:val="00725DE2"/>
    <w:rsid w:val="00726D49"/>
    <w:rsid w:val="0072759E"/>
    <w:rsid w:val="0073026A"/>
    <w:rsid w:val="00730CB5"/>
    <w:rsid w:val="007321A8"/>
    <w:rsid w:val="00732766"/>
    <w:rsid w:val="00736BFB"/>
    <w:rsid w:val="00737326"/>
    <w:rsid w:val="00740872"/>
    <w:rsid w:val="00742098"/>
    <w:rsid w:val="007435D2"/>
    <w:rsid w:val="00743A24"/>
    <w:rsid w:val="007448B6"/>
    <w:rsid w:val="0074686C"/>
    <w:rsid w:val="00746AD1"/>
    <w:rsid w:val="00747341"/>
    <w:rsid w:val="00747B24"/>
    <w:rsid w:val="00747FB7"/>
    <w:rsid w:val="007506B3"/>
    <w:rsid w:val="00750909"/>
    <w:rsid w:val="0075159E"/>
    <w:rsid w:val="007534D2"/>
    <w:rsid w:val="00753F7F"/>
    <w:rsid w:val="00754145"/>
    <w:rsid w:val="0075416E"/>
    <w:rsid w:val="00754E30"/>
    <w:rsid w:val="00754E5C"/>
    <w:rsid w:val="00755579"/>
    <w:rsid w:val="00755B91"/>
    <w:rsid w:val="00757047"/>
    <w:rsid w:val="00757190"/>
    <w:rsid w:val="007571C8"/>
    <w:rsid w:val="00757283"/>
    <w:rsid w:val="007609E9"/>
    <w:rsid w:val="007624B8"/>
    <w:rsid w:val="0076323A"/>
    <w:rsid w:val="00763CD1"/>
    <w:rsid w:val="00764260"/>
    <w:rsid w:val="00767D5E"/>
    <w:rsid w:val="00771069"/>
    <w:rsid w:val="00771624"/>
    <w:rsid w:val="007733AC"/>
    <w:rsid w:val="00773ACA"/>
    <w:rsid w:val="00774AC6"/>
    <w:rsid w:val="00774B2D"/>
    <w:rsid w:val="00774DA4"/>
    <w:rsid w:val="00775BD2"/>
    <w:rsid w:val="00775DA2"/>
    <w:rsid w:val="00776475"/>
    <w:rsid w:val="00776616"/>
    <w:rsid w:val="00777040"/>
    <w:rsid w:val="007779CF"/>
    <w:rsid w:val="00777B57"/>
    <w:rsid w:val="00777DB4"/>
    <w:rsid w:val="0078139B"/>
    <w:rsid w:val="007837DE"/>
    <w:rsid w:val="00783F87"/>
    <w:rsid w:val="00784046"/>
    <w:rsid w:val="007842DB"/>
    <w:rsid w:val="007847D7"/>
    <w:rsid w:val="00785383"/>
    <w:rsid w:val="00785941"/>
    <w:rsid w:val="00787B3F"/>
    <w:rsid w:val="007900C7"/>
    <w:rsid w:val="0079504C"/>
    <w:rsid w:val="00796057"/>
    <w:rsid w:val="007960F2"/>
    <w:rsid w:val="00797BA5"/>
    <w:rsid w:val="00797C9D"/>
    <w:rsid w:val="007A02B2"/>
    <w:rsid w:val="007A3D4D"/>
    <w:rsid w:val="007A4512"/>
    <w:rsid w:val="007A4C1D"/>
    <w:rsid w:val="007A5568"/>
    <w:rsid w:val="007A642A"/>
    <w:rsid w:val="007A73E3"/>
    <w:rsid w:val="007A750C"/>
    <w:rsid w:val="007A7FB9"/>
    <w:rsid w:val="007B07BC"/>
    <w:rsid w:val="007B1C2A"/>
    <w:rsid w:val="007B5965"/>
    <w:rsid w:val="007B5A30"/>
    <w:rsid w:val="007B7B69"/>
    <w:rsid w:val="007C1152"/>
    <w:rsid w:val="007C1A9F"/>
    <w:rsid w:val="007C4D9B"/>
    <w:rsid w:val="007C68D8"/>
    <w:rsid w:val="007C7207"/>
    <w:rsid w:val="007C7CC9"/>
    <w:rsid w:val="007D0606"/>
    <w:rsid w:val="007D2865"/>
    <w:rsid w:val="007D28EA"/>
    <w:rsid w:val="007D306F"/>
    <w:rsid w:val="007D42CF"/>
    <w:rsid w:val="007D7260"/>
    <w:rsid w:val="007D753E"/>
    <w:rsid w:val="007D7D1B"/>
    <w:rsid w:val="007E209A"/>
    <w:rsid w:val="007E225C"/>
    <w:rsid w:val="007E460B"/>
    <w:rsid w:val="007E632F"/>
    <w:rsid w:val="007E7213"/>
    <w:rsid w:val="007F358A"/>
    <w:rsid w:val="007F3F44"/>
    <w:rsid w:val="007F4B6D"/>
    <w:rsid w:val="007F563D"/>
    <w:rsid w:val="007F6104"/>
    <w:rsid w:val="007F6385"/>
    <w:rsid w:val="007F7034"/>
    <w:rsid w:val="007F75F1"/>
    <w:rsid w:val="007F7C9C"/>
    <w:rsid w:val="00801C32"/>
    <w:rsid w:val="008036BA"/>
    <w:rsid w:val="00803869"/>
    <w:rsid w:val="00803AB1"/>
    <w:rsid w:val="00803F86"/>
    <w:rsid w:val="0080429B"/>
    <w:rsid w:val="008042A5"/>
    <w:rsid w:val="008046A5"/>
    <w:rsid w:val="00805186"/>
    <w:rsid w:val="0080520E"/>
    <w:rsid w:val="00807720"/>
    <w:rsid w:val="0081112E"/>
    <w:rsid w:val="008122EF"/>
    <w:rsid w:val="008134DB"/>
    <w:rsid w:val="00814C22"/>
    <w:rsid w:val="00815339"/>
    <w:rsid w:val="0081739B"/>
    <w:rsid w:val="00821B59"/>
    <w:rsid w:val="008220F5"/>
    <w:rsid w:val="008226F9"/>
    <w:rsid w:val="008227FA"/>
    <w:rsid w:val="00822838"/>
    <w:rsid w:val="00823426"/>
    <w:rsid w:val="0082426A"/>
    <w:rsid w:val="00824884"/>
    <w:rsid w:val="00824DBD"/>
    <w:rsid w:val="00824E4F"/>
    <w:rsid w:val="00824E62"/>
    <w:rsid w:val="008257CF"/>
    <w:rsid w:val="00827D6B"/>
    <w:rsid w:val="00827F48"/>
    <w:rsid w:val="00830410"/>
    <w:rsid w:val="0083177E"/>
    <w:rsid w:val="008318DD"/>
    <w:rsid w:val="00831A9A"/>
    <w:rsid w:val="008327E7"/>
    <w:rsid w:val="00833B8E"/>
    <w:rsid w:val="0083473B"/>
    <w:rsid w:val="00835498"/>
    <w:rsid w:val="00837088"/>
    <w:rsid w:val="00841816"/>
    <w:rsid w:val="00842E15"/>
    <w:rsid w:val="008430A6"/>
    <w:rsid w:val="00843AD1"/>
    <w:rsid w:val="00843DF4"/>
    <w:rsid w:val="00844F61"/>
    <w:rsid w:val="00845318"/>
    <w:rsid w:val="00845457"/>
    <w:rsid w:val="008457BB"/>
    <w:rsid w:val="0085002B"/>
    <w:rsid w:val="00853FD7"/>
    <w:rsid w:val="00855653"/>
    <w:rsid w:val="00857A23"/>
    <w:rsid w:val="00860831"/>
    <w:rsid w:val="00860CE2"/>
    <w:rsid w:val="00860EC4"/>
    <w:rsid w:val="00860FC5"/>
    <w:rsid w:val="008618FC"/>
    <w:rsid w:val="00864760"/>
    <w:rsid w:val="00865097"/>
    <w:rsid w:val="008656F3"/>
    <w:rsid w:val="00865EFE"/>
    <w:rsid w:val="00866103"/>
    <w:rsid w:val="00867F6B"/>
    <w:rsid w:val="00871A1B"/>
    <w:rsid w:val="00872C2D"/>
    <w:rsid w:val="0087339D"/>
    <w:rsid w:val="00873E23"/>
    <w:rsid w:val="00874823"/>
    <w:rsid w:val="00874AFC"/>
    <w:rsid w:val="008762EC"/>
    <w:rsid w:val="00876337"/>
    <w:rsid w:val="00877DEB"/>
    <w:rsid w:val="008802BF"/>
    <w:rsid w:val="00880B14"/>
    <w:rsid w:val="008813AD"/>
    <w:rsid w:val="00881F6C"/>
    <w:rsid w:val="008825A1"/>
    <w:rsid w:val="00884560"/>
    <w:rsid w:val="008865A0"/>
    <w:rsid w:val="00887969"/>
    <w:rsid w:val="00890416"/>
    <w:rsid w:val="00890B7C"/>
    <w:rsid w:val="008915D3"/>
    <w:rsid w:val="00892BA8"/>
    <w:rsid w:val="008935C0"/>
    <w:rsid w:val="00895594"/>
    <w:rsid w:val="00895866"/>
    <w:rsid w:val="008958FB"/>
    <w:rsid w:val="008961B6"/>
    <w:rsid w:val="008974FD"/>
    <w:rsid w:val="008977A9"/>
    <w:rsid w:val="00897A7A"/>
    <w:rsid w:val="008A0543"/>
    <w:rsid w:val="008A2A4D"/>
    <w:rsid w:val="008A2E86"/>
    <w:rsid w:val="008A502F"/>
    <w:rsid w:val="008A5458"/>
    <w:rsid w:val="008A71D1"/>
    <w:rsid w:val="008A770B"/>
    <w:rsid w:val="008A7A2E"/>
    <w:rsid w:val="008B17E5"/>
    <w:rsid w:val="008B183B"/>
    <w:rsid w:val="008B1F8E"/>
    <w:rsid w:val="008B3317"/>
    <w:rsid w:val="008B333C"/>
    <w:rsid w:val="008B5054"/>
    <w:rsid w:val="008B58DB"/>
    <w:rsid w:val="008B59BD"/>
    <w:rsid w:val="008C22AA"/>
    <w:rsid w:val="008C2868"/>
    <w:rsid w:val="008C2B10"/>
    <w:rsid w:val="008C3C13"/>
    <w:rsid w:val="008C596A"/>
    <w:rsid w:val="008C6BEA"/>
    <w:rsid w:val="008C73D3"/>
    <w:rsid w:val="008C7576"/>
    <w:rsid w:val="008C77B1"/>
    <w:rsid w:val="008C7B27"/>
    <w:rsid w:val="008D1E88"/>
    <w:rsid w:val="008D2862"/>
    <w:rsid w:val="008D3E73"/>
    <w:rsid w:val="008D42F2"/>
    <w:rsid w:val="008D4C98"/>
    <w:rsid w:val="008D5EA8"/>
    <w:rsid w:val="008D60F2"/>
    <w:rsid w:val="008D6D5C"/>
    <w:rsid w:val="008D7C6D"/>
    <w:rsid w:val="008E0780"/>
    <w:rsid w:val="008E1D44"/>
    <w:rsid w:val="008E1EA6"/>
    <w:rsid w:val="008E34E4"/>
    <w:rsid w:val="008E366B"/>
    <w:rsid w:val="008E403B"/>
    <w:rsid w:val="008E4E24"/>
    <w:rsid w:val="008E5894"/>
    <w:rsid w:val="008F2B03"/>
    <w:rsid w:val="008F42B7"/>
    <w:rsid w:val="008F45CC"/>
    <w:rsid w:val="008F65A9"/>
    <w:rsid w:val="008F6990"/>
    <w:rsid w:val="008F757E"/>
    <w:rsid w:val="00900346"/>
    <w:rsid w:val="00902FE3"/>
    <w:rsid w:val="009030B4"/>
    <w:rsid w:val="00903F61"/>
    <w:rsid w:val="00903FC9"/>
    <w:rsid w:val="009057A6"/>
    <w:rsid w:val="009059C0"/>
    <w:rsid w:val="00905F96"/>
    <w:rsid w:val="009077DD"/>
    <w:rsid w:val="00907890"/>
    <w:rsid w:val="00910003"/>
    <w:rsid w:val="009102BC"/>
    <w:rsid w:val="0091171A"/>
    <w:rsid w:val="0091311C"/>
    <w:rsid w:val="0091340B"/>
    <w:rsid w:val="009136B8"/>
    <w:rsid w:val="0091403D"/>
    <w:rsid w:val="0091404B"/>
    <w:rsid w:val="0091488C"/>
    <w:rsid w:val="00915AAE"/>
    <w:rsid w:val="009163D8"/>
    <w:rsid w:val="009170B7"/>
    <w:rsid w:val="00917640"/>
    <w:rsid w:val="00921002"/>
    <w:rsid w:val="00921CB4"/>
    <w:rsid w:val="009221D1"/>
    <w:rsid w:val="00922F6D"/>
    <w:rsid w:val="009230A1"/>
    <w:rsid w:val="009231FC"/>
    <w:rsid w:val="00923497"/>
    <w:rsid w:val="00923C34"/>
    <w:rsid w:val="00924D34"/>
    <w:rsid w:val="0092565F"/>
    <w:rsid w:val="009259E9"/>
    <w:rsid w:val="00925E3F"/>
    <w:rsid w:val="00927151"/>
    <w:rsid w:val="00930B50"/>
    <w:rsid w:val="00932BEF"/>
    <w:rsid w:val="009331B8"/>
    <w:rsid w:val="009335E0"/>
    <w:rsid w:val="0093446A"/>
    <w:rsid w:val="0093490C"/>
    <w:rsid w:val="00934A56"/>
    <w:rsid w:val="00935118"/>
    <w:rsid w:val="00935BB4"/>
    <w:rsid w:val="009368E6"/>
    <w:rsid w:val="00936B8C"/>
    <w:rsid w:val="00942AAA"/>
    <w:rsid w:val="0094343F"/>
    <w:rsid w:val="00944D31"/>
    <w:rsid w:val="0094524B"/>
    <w:rsid w:val="00946734"/>
    <w:rsid w:val="009474EB"/>
    <w:rsid w:val="00951B21"/>
    <w:rsid w:val="009552F5"/>
    <w:rsid w:val="009555A4"/>
    <w:rsid w:val="009555BC"/>
    <w:rsid w:val="00955698"/>
    <w:rsid w:val="00955CB3"/>
    <w:rsid w:val="00956E15"/>
    <w:rsid w:val="00957D14"/>
    <w:rsid w:val="0096275B"/>
    <w:rsid w:val="00962D0E"/>
    <w:rsid w:val="00965B9E"/>
    <w:rsid w:val="00965DC5"/>
    <w:rsid w:val="00965E43"/>
    <w:rsid w:val="009666FD"/>
    <w:rsid w:val="00970FC1"/>
    <w:rsid w:val="0097428E"/>
    <w:rsid w:val="0097536C"/>
    <w:rsid w:val="00976F97"/>
    <w:rsid w:val="0097730C"/>
    <w:rsid w:val="00980AC8"/>
    <w:rsid w:val="00981F41"/>
    <w:rsid w:val="009862E0"/>
    <w:rsid w:val="00987BCF"/>
    <w:rsid w:val="009900A5"/>
    <w:rsid w:val="009903AE"/>
    <w:rsid w:val="009903D8"/>
    <w:rsid w:val="00990ED8"/>
    <w:rsid w:val="009919EB"/>
    <w:rsid w:val="00993230"/>
    <w:rsid w:val="00995150"/>
    <w:rsid w:val="00995B70"/>
    <w:rsid w:val="0099715A"/>
    <w:rsid w:val="00997AF9"/>
    <w:rsid w:val="00997CCB"/>
    <w:rsid w:val="00997E21"/>
    <w:rsid w:val="009A18FF"/>
    <w:rsid w:val="009A197D"/>
    <w:rsid w:val="009A200B"/>
    <w:rsid w:val="009A52E3"/>
    <w:rsid w:val="009A57E6"/>
    <w:rsid w:val="009A77A6"/>
    <w:rsid w:val="009B0D8F"/>
    <w:rsid w:val="009B569C"/>
    <w:rsid w:val="009B6AF8"/>
    <w:rsid w:val="009C0658"/>
    <w:rsid w:val="009C186A"/>
    <w:rsid w:val="009C19CD"/>
    <w:rsid w:val="009C1D2E"/>
    <w:rsid w:val="009C2B8A"/>
    <w:rsid w:val="009C424C"/>
    <w:rsid w:val="009C5DEA"/>
    <w:rsid w:val="009C6AA1"/>
    <w:rsid w:val="009C7021"/>
    <w:rsid w:val="009C7182"/>
    <w:rsid w:val="009C72FA"/>
    <w:rsid w:val="009C7B5B"/>
    <w:rsid w:val="009D0AD3"/>
    <w:rsid w:val="009D1890"/>
    <w:rsid w:val="009D1B2F"/>
    <w:rsid w:val="009D1D37"/>
    <w:rsid w:val="009D39FB"/>
    <w:rsid w:val="009D4023"/>
    <w:rsid w:val="009D54FD"/>
    <w:rsid w:val="009D57E7"/>
    <w:rsid w:val="009D59E0"/>
    <w:rsid w:val="009D79CB"/>
    <w:rsid w:val="009E077E"/>
    <w:rsid w:val="009E288F"/>
    <w:rsid w:val="009E2CD1"/>
    <w:rsid w:val="009E383B"/>
    <w:rsid w:val="009E39DE"/>
    <w:rsid w:val="009E3E7C"/>
    <w:rsid w:val="009E4F6F"/>
    <w:rsid w:val="009F0753"/>
    <w:rsid w:val="009F0FAE"/>
    <w:rsid w:val="009F2642"/>
    <w:rsid w:val="009F3626"/>
    <w:rsid w:val="009F3FA7"/>
    <w:rsid w:val="009F5901"/>
    <w:rsid w:val="00A01351"/>
    <w:rsid w:val="00A01DDD"/>
    <w:rsid w:val="00A01EB8"/>
    <w:rsid w:val="00A02053"/>
    <w:rsid w:val="00A026A9"/>
    <w:rsid w:val="00A02E02"/>
    <w:rsid w:val="00A041B9"/>
    <w:rsid w:val="00A04A9B"/>
    <w:rsid w:val="00A0661F"/>
    <w:rsid w:val="00A13640"/>
    <w:rsid w:val="00A137DC"/>
    <w:rsid w:val="00A16A3A"/>
    <w:rsid w:val="00A172D9"/>
    <w:rsid w:val="00A1731C"/>
    <w:rsid w:val="00A1736A"/>
    <w:rsid w:val="00A17E5E"/>
    <w:rsid w:val="00A20811"/>
    <w:rsid w:val="00A20F97"/>
    <w:rsid w:val="00A215C3"/>
    <w:rsid w:val="00A21AC2"/>
    <w:rsid w:val="00A21FA2"/>
    <w:rsid w:val="00A25B41"/>
    <w:rsid w:val="00A2698D"/>
    <w:rsid w:val="00A26C2D"/>
    <w:rsid w:val="00A27468"/>
    <w:rsid w:val="00A33912"/>
    <w:rsid w:val="00A34A01"/>
    <w:rsid w:val="00A37A4D"/>
    <w:rsid w:val="00A40AAA"/>
    <w:rsid w:val="00A40FF8"/>
    <w:rsid w:val="00A42D93"/>
    <w:rsid w:val="00A43445"/>
    <w:rsid w:val="00A446F3"/>
    <w:rsid w:val="00A46BFB"/>
    <w:rsid w:val="00A477DE"/>
    <w:rsid w:val="00A47B9A"/>
    <w:rsid w:val="00A5035F"/>
    <w:rsid w:val="00A503D9"/>
    <w:rsid w:val="00A5050D"/>
    <w:rsid w:val="00A50C67"/>
    <w:rsid w:val="00A54682"/>
    <w:rsid w:val="00A55787"/>
    <w:rsid w:val="00A609CF"/>
    <w:rsid w:val="00A62475"/>
    <w:rsid w:val="00A6265B"/>
    <w:rsid w:val="00A62E9B"/>
    <w:rsid w:val="00A6397F"/>
    <w:rsid w:val="00A642AA"/>
    <w:rsid w:val="00A67D5F"/>
    <w:rsid w:val="00A7337B"/>
    <w:rsid w:val="00A73C0E"/>
    <w:rsid w:val="00A77FCD"/>
    <w:rsid w:val="00A80901"/>
    <w:rsid w:val="00A81C24"/>
    <w:rsid w:val="00A82E95"/>
    <w:rsid w:val="00A84B7D"/>
    <w:rsid w:val="00A85773"/>
    <w:rsid w:val="00A86F41"/>
    <w:rsid w:val="00A904F6"/>
    <w:rsid w:val="00A90835"/>
    <w:rsid w:val="00A910D9"/>
    <w:rsid w:val="00A92595"/>
    <w:rsid w:val="00A93CE3"/>
    <w:rsid w:val="00A9528E"/>
    <w:rsid w:val="00A95FF1"/>
    <w:rsid w:val="00A97A15"/>
    <w:rsid w:val="00AA0233"/>
    <w:rsid w:val="00AA07D4"/>
    <w:rsid w:val="00AA0FE7"/>
    <w:rsid w:val="00AA13EC"/>
    <w:rsid w:val="00AA17E7"/>
    <w:rsid w:val="00AA455E"/>
    <w:rsid w:val="00AA4BC4"/>
    <w:rsid w:val="00AA4F46"/>
    <w:rsid w:val="00AA53B5"/>
    <w:rsid w:val="00AA6999"/>
    <w:rsid w:val="00AA7126"/>
    <w:rsid w:val="00AA7CED"/>
    <w:rsid w:val="00AB1058"/>
    <w:rsid w:val="00AB1AE2"/>
    <w:rsid w:val="00AB1B33"/>
    <w:rsid w:val="00AB1BF4"/>
    <w:rsid w:val="00AB1E53"/>
    <w:rsid w:val="00AB2A8C"/>
    <w:rsid w:val="00AB2CDF"/>
    <w:rsid w:val="00AB3236"/>
    <w:rsid w:val="00AB44C2"/>
    <w:rsid w:val="00AB4BE2"/>
    <w:rsid w:val="00AB615C"/>
    <w:rsid w:val="00AB6D69"/>
    <w:rsid w:val="00AB7FE7"/>
    <w:rsid w:val="00AC0E10"/>
    <w:rsid w:val="00AC21A9"/>
    <w:rsid w:val="00AC3A92"/>
    <w:rsid w:val="00AC44FC"/>
    <w:rsid w:val="00AC6BB7"/>
    <w:rsid w:val="00AC6FEE"/>
    <w:rsid w:val="00AC73E5"/>
    <w:rsid w:val="00AC7BD7"/>
    <w:rsid w:val="00AD02DA"/>
    <w:rsid w:val="00AD047E"/>
    <w:rsid w:val="00AD05CA"/>
    <w:rsid w:val="00AD120D"/>
    <w:rsid w:val="00AD213C"/>
    <w:rsid w:val="00AD370B"/>
    <w:rsid w:val="00AD45BB"/>
    <w:rsid w:val="00AD45BC"/>
    <w:rsid w:val="00AD4DD7"/>
    <w:rsid w:val="00AD5A36"/>
    <w:rsid w:val="00AE09F6"/>
    <w:rsid w:val="00AE0DD6"/>
    <w:rsid w:val="00AE2A6F"/>
    <w:rsid w:val="00AE3AC1"/>
    <w:rsid w:val="00AE44F2"/>
    <w:rsid w:val="00AE54E2"/>
    <w:rsid w:val="00AE5A84"/>
    <w:rsid w:val="00AE5DC8"/>
    <w:rsid w:val="00AE78CB"/>
    <w:rsid w:val="00AF02B4"/>
    <w:rsid w:val="00AF2490"/>
    <w:rsid w:val="00AF342C"/>
    <w:rsid w:val="00AF4092"/>
    <w:rsid w:val="00AF5699"/>
    <w:rsid w:val="00AF6DA5"/>
    <w:rsid w:val="00AF7F45"/>
    <w:rsid w:val="00B00289"/>
    <w:rsid w:val="00B01213"/>
    <w:rsid w:val="00B0155E"/>
    <w:rsid w:val="00B035EF"/>
    <w:rsid w:val="00B03812"/>
    <w:rsid w:val="00B061FC"/>
    <w:rsid w:val="00B07E45"/>
    <w:rsid w:val="00B101B7"/>
    <w:rsid w:val="00B103B5"/>
    <w:rsid w:val="00B12ECE"/>
    <w:rsid w:val="00B1363F"/>
    <w:rsid w:val="00B14465"/>
    <w:rsid w:val="00B14F3B"/>
    <w:rsid w:val="00B15613"/>
    <w:rsid w:val="00B16AF3"/>
    <w:rsid w:val="00B16DD1"/>
    <w:rsid w:val="00B24BC3"/>
    <w:rsid w:val="00B25AD3"/>
    <w:rsid w:val="00B302A6"/>
    <w:rsid w:val="00B334E5"/>
    <w:rsid w:val="00B360A8"/>
    <w:rsid w:val="00B3619A"/>
    <w:rsid w:val="00B362DA"/>
    <w:rsid w:val="00B3679E"/>
    <w:rsid w:val="00B41D9F"/>
    <w:rsid w:val="00B4209A"/>
    <w:rsid w:val="00B428E6"/>
    <w:rsid w:val="00B4318F"/>
    <w:rsid w:val="00B43572"/>
    <w:rsid w:val="00B437D0"/>
    <w:rsid w:val="00B44128"/>
    <w:rsid w:val="00B4646D"/>
    <w:rsid w:val="00B4683C"/>
    <w:rsid w:val="00B46B76"/>
    <w:rsid w:val="00B4747C"/>
    <w:rsid w:val="00B47979"/>
    <w:rsid w:val="00B50BF9"/>
    <w:rsid w:val="00B51374"/>
    <w:rsid w:val="00B521E4"/>
    <w:rsid w:val="00B531FE"/>
    <w:rsid w:val="00B533EA"/>
    <w:rsid w:val="00B53C65"/>
    <w:rsid w:val="00B54332"/>
    <w:rsid w:val="00B5451A"/>
    <w:rsid w:val="00B563A9"/>
    <w:rsid w:val="00B568FE"/>
    <w:rsid w:val="00B57C91"/>
    <w:rsid w:val="00B609FF"/>
    <w:rsid w:val="00B60FC5"/>
    <w:rsid w:val="00B61F9F"/>
    <w:rsid w:val="00B63508"/>
    <w:rsid w:val="00B64381"/>
    <w:rsid w:val="00B66C3E"/>
    <w:rsid w:val="00B66D18"/>
    <w:rsid w:val="00B67888"/>
    <w:rsid w:val="00B67B9F"/>
    <w:rsid w:val="00B720A8"/>
    <w:rsid w:val="00B74026"/>
    <w:rsid w:val="00B74037"/>
    <w:rsid w:val="00B75FA8"/>
    <w:rsid w:val="00B765B4"/>
    <w:rsid w:val="00B775C5"/>
    <w:rsid w:val="00B77B27"/>
    <w:rsid w:val="00B822D9"/>
    <w:rsid w:val="00B831C1"/>
    <w:rsid w:val="00B83921"/>
    <w:rsid w:val="00B84933"/>
    <w:rsid w:val="00B86D7F"/>
    <w:rsid w:val="00B86E00"/>
    <w:rsid w:val="00B86EF3"/>
    <w:rsid w:val="00B87E8B"/>
    <w:rsid w:val="00B907A6"/>
    <w:rsid w:val="00B90C0E"/>
    <w:rsid w:val="00B91635"/>
    <w:rsid w:val="00B916E0"/>
    <w:rsid w:val="00B92501"/>
    <w:rsid w:val="00B93FD3"/>
    <w:rsid w:val="00B942DF"/>
    <w:rsid w:val="00B963E8"/>
    <w:rsid w:val="00B96925"/>
    <w:rsid w:val="00BA1141"/>
    <w:rsid w:val="00BA2C59"/>
    <w:rsid w:val="00BA3280"/>
    <w:rsid w:val="00BA5753"/>
    <w:rsid w:val="00BA5EE5"/>
    <w:rsid w:val="00BA6F81"/>
    <w:rsid w:val="00BB090E"/>
    <w:rsid w:val="00BB0D88"/>
    <w:rsid w:val="00BB1573"/>
    <w:rsid w:val="00BB2D01"/>
    <w:rsid w:val="00BB31B7"/>
    <w:rsid w:val="00BB40CE"/>
    <w:rsid w:val="00BB4430"/>
    <w:rsid w:val="00BB477A"/>
    <w:rsid w:val="00BB4BDB"/>
    <w:rsid w:val="00BB51DD"/>
    <w:rsid w:val="00BB52B5"/>
    <w:rsid w:val="00BB63A9"/>
    <w:rsid w:val="00BB764A"/>
    <w:rsid w:val="00BC0AF6"/>
    <w:rsid w:val="00BC17B7"/>
    <w:rsid w:val="00BC19AC"/>
    <w:rsid w:val="00BC27B0"/>
    <w:rsid w:val="00BC2ACB"/>
    <w:rsid w:val="00BC2B01"/>
    <w:rsid w:val="00BC3005"/>
    <w:rsid w:val="00BC6EED"/>
    <w:rsid w:val="00BC76A8"/>
    <w:rsid w:val="00BC7EFA"/>
    <w:rsid w:val="00BD0554"/>
    <w:rsid w:val="00BD1F31"/>
    <w:rsid w:val="00BD3624"/>
    <w:rsid w:val="00BD3D59"/>
    <w:rsid w:val="00BD463A"/>
    <w:rsid w:val="00BD4DCF"/>
    <w:rsid w:val="00BD68BB"/>
    <w:rsid w:val="00BD6AD0"/>
    <w:rsid w:val="00BD7B78"/>
    <w:rsid w:val="00BE54E4"/>
    <w:rsid w:val="00BE5E7B"/>
    <w:rsid w:val="00BF0B1F"/>
    <w:rsid w:val="00BF0E58"/>
    <w:rsid w:val="00BF33B8"/>
    <w:rsid w:val="00BF42AB"/>
    <w:rsid w:val="00BF4331"/>
    <w:rsid w:val="00BF480B"/>
    <w:rsid w:val="00BF74E9"/>
    <w:rsid w:val="00C000A8"/>
    <w:rsid w:val="00C004FE"/>
    <w:rsid w:val="00C0139B"/>
    <w:rsid w:val="00C01BA2"/>
    <w:rsid w:val="00C0242A"/>
    <w:rsid w:val="00C0289C"/>
    <w:rsid w:val="00C02A10"/>
    <w:rsid w:val="00C031A8"/>
    <w:rsid w:val="00C03231"/>
    <w:rsid w:val="00C0358C"/>
    <w:rsid w:val="00C04ED1"/>
    <w:rsid w:val="00C066E1"/>
    <w:rsid w:val="00C07415"/>
    <w:rsid w:val="00C077A0"/>
    <w:rsid w:val="00C11458"/>
    <w:rsid w:val="00C13147"/>
    <w:rsid w:val="00C135E1"/>
    <w:rsid w:val="00C14237"/>
    <w:rsid w:val="00C14C41"/>
    <w:rsid w:val="00C16E46"/>
    <w:rsid w:val="00C16E56"/>
    <w:rsid w:val="00C17E8C"/>
    <w:rsid w:val="00C20850"/>
    <w:rsid w:val="00C237FD"/>
    <w:rsid w:val="00C244F0"/>
    <w:rsid w:val="00C24876"/>
    <w:rsid w:val="00C257B7"/>
    <w:rsid w:val="00C2585C"/>
    <w:rsid w:val="00C26789"/>
    <w:rsid w:val="00C30360"/>
    <w:rsid w:val="00C30BEB"/>
    <w:rsid w:val="00C33DA6"/>
    <w:rsid w:val="00C34209"/>
    <w:rsid w:val="00C345CD"/>
    <w:rsid w:val="00C34984"/>
    <w:rsid w:val="00C34C62"/>
    <w:rsid w:val="00C36CB7"/>
    <w:rsid w:val="00C37923"/>
    <w:rsid w:val="00C37D4C"/>
    <w:rsid w:val="00C408AE"/>
    <w:rsid w:val="00C408F9"/>
    <w:rsid w:val="00C41261"/>
    <w:rsid w:val="00C412D2"/>
    <w:rsid w:val="00C41591"/>
    <w:rsid w:val="00C427E4"/>
    <w:rsid w:val="00C437F5"/>
    <w:rsid w:val="00C43AFF"/>
    <w:rsid w:val="00C44067"/>
    <w:rsid w:val="00C4406B"/>
    <w:rsid w:val="00C443AF"/>
    <w:rsid w:val="00C4487C"/>
    <w:rsid w:val="00C46D2C"/>
    <w:rsid w:val="00C47899"/>
    <w:rsid w:val="00C47E35"/>
    <w:rsid w:val="00C50CFC"/>
    <w:rsid w:val="00C50DB4"/>
    <w:rsid w:val="00C510DD"/>
    <w:rsid w:val="00C52921"/>
    <w:rsid w:val="00C55D2B"/>
    <w:rsid w:val="00C55D9C"/>
    <w:rsid w:val="00C56D9D"/>
    <w:rsid w:val="00C57F08"/>
    <w:rsid w:val="00C60361"/>
    <w:rsid w:val="00C60F27"/>
    <w:rsid w:val="00C623ED"/>
    <w:rsid w:val="00C63096"/>
    <w:rsid w:val="00C63133"/>
    <w:rsid w:val="00C64CE0"/>
    <w:rsid w:val="00C657D2"/>
    <w:rsid w:val="00C6638C"/>
    <w:rsid w:val="00C66D18"/>
    <w:rsid w:val="00C70A64"/>
    <w:rsid w:val="00C71D1C"/>
    <w:rsid w:val="00C72AAE"/>
    <w:rsid w:val="00C72D96"/>
    <w:rsid w:val="00C73C84"/>
    <w:rsid w:val="00C74B60"/>
    <w:rsid w:val="00C76DAE"/>
    <w:rsid w:val="00C80745"/>
    <w:rsid w:val="00C80C87"/>
    <w:rsid w:val="00C810F6"/>
    <w:rsid w:val="00C81DF6"/>
    <w:rsid w:val="00C830E1"/>
    <w:rsid w:val="00C83957"/>
    <w:rsid w:val="00C84011"/>
    <w:rsid w:val="00C843DA"/>
    <w:rsid w:val="00C84B7D"/>
    <w:rsid w:val="00C85D69"/>
    <w:rsid w:val="00C86C71"/>
    <w:rsid w:val="00C87EBE"/>
    <w:rsid w:val="00C909C5"/>
    <w:rsid w:val="00C9125F"/>
    <w:rsid w:val="00C919B0"/>
    <w:rsid w:val="00C938BD"/>
    <w:rsid w:val="00C94772"/>
    <w:rsid w:val="00C94D55"/>
    <w:rsid w:val="00C95802"/>
    <w:rsid w:val="00C9666A"/>
    <w:rsid w:val="00C96FD3"/>
    <w:rsid w:val="00CA18D0"/>
    <w:rsid w:val="00CA1994"/>
    <w:rsid w:val="00CA2970"/>
    <w:rsid w:val="00CA3219"/>
    <w:rsid w:val="00CA3790"/>
    <w:rsid w:val="00CA3877"/>
    <w:rsid w:val="00CB06DC"/>
    <w:rsid w:val="00CB0E1E"/>
    <w:rsid w:val="00CB190E"/>
    <w:rsid w:val="00CB2501"/>
    <w:rsid w:val="00CB37CD"/>
    <w:rsid w:val="00CB4E12"/>
    <w:rsid w:val="00CB57CF"/>
    <w:rsid w:val="00CB59F1"/>
    <w:rsid w:val="00CB5CA5"/>
    <w:rsid w:val="00CB7767"/>
    <w:rsid w:val="00CB7DFF"/>
    <w:rsid w:val="00CC0045"/>
    <w:rsid w:val="00CC1152"/>
    <w:rsid w:val="00CC1BE7"/>
    <w:rsid w:val="00CC3C70"/>
    <w:rsid w:val="00CC477A"/>
    <w:rsid w:val="00CC51D8"/>
    <w:rsid w:val="00CC5369"/>
    <w:rsid w:val="00CD0F53"/>
    <w:rsid w:val="00CD2141"/>
    <w:rsid w:val="00CD24FD"/>
    <w:rsid w:val="00CD38A8"/>
    <w:rsid w:val="00CD425D"/>
    <w:rsid w:val="00CD665C"/>
    <w:rsid w:val="00CE126B"/>
    <w:rsid w:val="00CE2041"/>
    <w:rsid w:val="00CE259D"/>
    <w:rsid w:val="00CE456D"/>
    <w:rsid w:val="00CE50F3"/>
    <w:rsid w:val="00CE5542"/>
    <w:rsid w:val="00CE65A3"/>
    <w:rsid w:val="00CE65F0"/>
    <w:rsid w:val="00CE6ACD"/>
    <w:rsid w:val="00CF0BF8"/>
    <w:rsid w:val="00CF60B3"/>
    <w:rsid w:val="00D00668"/>
    <w:rsid w:val="00D0091A"/>
    <w:rsid w:val="00D00B11"/>
    <w:rsid w:val="00D01537"/>
    <w:rsid w:val="00D044AA"/>
    <w:rsid w:val="00D044D7"/>
    <w:rsid w:val="00D04873"/>
    <w:rsid w:val="00D06627"/>
    <w:rsid w:val="00D06D87"/>
    <w:rsid w:val="00D078CB"/>
    <w:rsid w:val="00D07B00"/>
    <w:rsid w:val="00D10728"/>
    <w:rsid w:val="00D10B8F"/>
    <w:rsid w:val="00D128ED"/>
    <w:rsid w:val="00D14710"/>
    <w:rsid w:val="00D170FC"/>
    <w:rsid w:val="00D205AC"/>
    <w:rsid w:val="00D23262"/>
    <w:rsid w:val="00D24332"/>
    <w:rsid w:val="00D25E0C"/>
    <w:rsid w:val="00D26C5A"/>
    <w:rsid w:val="00D27238"/>
    <w:rsid w:val="00D27365"/>
    <w:rsid w:val="00D27BFB"/>
    <w:rsid w:val="00D31B48"/>
    <w:rsid w:val="00D31E9C"/>
    <w:rsid w:val="00D322D6"/>
    <w:rsid w:val="00D33485"/>
    <w:rsid w:val="00D34AAF"/>
    <w:rsid w:val="00D35BB5"/>
    <w:rsid w:val="00D361B9"/>
    <w:rsid w:val="00D36384"/>
    <w:rsid w:val="00D37C88"/>
    <w:rsid w:val="00D37C8B"/>
    <w:rsid w:val="00D41BC8"/>
    <w:rsid w:val="00D41FD0"/>
    <w:rsid w:val="00D42350"/>
    <w:rsid w:val="00D45740"/>
    <w:rsid w:val="00D46387"/>
    <w:rsid w:val="00D47E96"/>
    <w:rsid w:val="00D50133"/>
    <w:rsid w:val="00D503E9"/>
    <w:rsid w:val="00D53441"/>
    <w:rsid w:val="00D53D69"/>
    <w:rsid w:val="00D546DF"/>
    <w:rsid w:val="00D55437"/>
    <w:rsid w:val="00D555D8"/>
    <w:rsid w:val="00D623C9"/>
    <w:rsid w:val="00D62766"/>
    <w:rsid w:val="00D62BAC"/>
    <w:rsid w:val="00D62FA5"/>
    <w:rsid w:val="00D64FEC"/>
    <w:rsid w:val="00D67AF7"/>
    <w:rsid w:val="00D741A5"/>
    <w:rsid w:val="00D74DB8"/>
    <w:rsid w:val="00D76BEF"/>
    <w:rsid w:val="00D77351"/>
    <w:rsid w:val="00D77C15"/>
    <w:rsid w:val="00D803D7"/>
    <w:rsid w:val="00D824A7"/>
    <w:rsid w:val="00D840ED"/>
    <w:rsid w:val="00D850DB"/>
    <w:rsid w:val="00D85E01"/>
    <w:rsid w:val="00D8665A"/>
    <w:rsid w:val="00D86CEB"/>
    <w:rsid w:val="00D873B2"/>
    <w:rsid w:val="00D87CFD"/>
    <w:rsid w:val="00D90D78"/>
    <w:rsid w:val="00D937A2"/>
    <w:rsid w:val="00D94EAE"/>
    <w:rsid w:val="00D9738D"/>
    <w:rsid w:val="00D973F4"/>
    <w:rsid w:val="00D97752"/>
    <w:rsid w:val="00DA0B6E"/>
    <w:rsid w:val="00DA10D4"/>
    <w:rsid w:val="00DA4ED2"/>
    <w:rsid w:val="00DA582A"/>
    <w:rsid w:val="00DB10BE"/>
    <w:rsid w:val="00DB1163"/>
    <w:rsid w:val="00DB4B44"/>
    <w:rsid w:val="00DB5228"/>
    <w:rsid w:val="00DB6E55"/>
    <w:rsid w:val="00DC00C1"/>
    <w:rsid w:val="00DC061F"/>
    <w:rsid w:val="00DC078E"/>
    <w:rsid w:val="00DC28F1"/>
    <w:rsid w:val="00DC2ACC"/>
    <w:rsid w:val="00DC2F2F"/>
    <w:rsid w:val="00DD0607"/>
    <w:rsid w:val="00DD06D9"/>
    <w:rsid w:val="00DD2424"/>
    <w:rsid w:val="00DD39FC"/>
    <w:rsid w:val="00DD3D80"/>
    <w:rsid w:val="00DE151A"/>
    <w:rsid w:val="00DE1CD8"/>
    <w:rsid w:val="00DE3009"/>
    <w:rsid w:val="00DE336F"/>
    <w:rsid w:val="00DE35AB"/>
    <w:rsid w:val="00DE4A08"/>
    <w:rsid w:val="00DE6F82"/>
    <w:rsid w:val="00DF2A60"/>
    <w:rsid w:val="00DF5665"/>
    <w:rsid w:val="00DF677F"/>
    <w:rsid w:val="00DF7878"/>
    <w:rsid w:val="00E01FE4"/>
    <w:rsid w:val="00E0289F"/>
    <w:rsid w:val="00E037E5"/>
    <w:rsid w:val="00E04267"/>
    <w:rsid w:val="00E044DD"/>
    <w:rsid w:val="00E05604"/>
    <w:rsid w:val="00E06B62"/>
    <w:rsid w:val="00E108B6"/>
    <w:rsid w:val="00E10CB1"/>
    <w:rsid w:val="00E10FC8"/>
    <w:rsid w:val="00E1124D"/>
    <w:rsid w:val="00E1129D"/>
    <w:rsid w:val="00E11A4C"/>
    <w:rsid w:val="00E12965"/>
    <w:rsid w:val="00E13261"/>
    <w:rsid w:val="00E13520"/>
    <w:rsid w:val="00E13D5F"/>
    <w:rsid w:val="00E14A1E"/>
    <w:rsid w:val="00E154EB"/>
    <w:rsid w:val="00E15660"/>
    <w:rsid w:val="00E15D68"/>
    <w:rsid w:val="00E1638E"/>
    <w:rsid w:val="00E16E22"/>
    <w:rsid w:val="00E1700F"/>
    <w:rsid w:val="00E174CD"/>
    <w:rsid w:val="00E177A3"/>
    <w:rsid w:val="00E20C04"/>
    <w:rsid w:val="00E230EA"/>
    <w:rsid w:val="00E2328D"/>
    <w:rsid w:val="00E23669"/>
    <w:rsid w:val="00E23F83"/>
    <w:rsid w:val="00E24CAE"/>
    <w:rsid w:val="00E24D3C"/>
    <w:rsid w:val="00E25AD6"/>
    <w:rsid w:val="00E266F0"/>
    <w:rsid w:val="00E27D44"/>
    <w:rsid w:val="00E30B86"/>
    <w:rsid w:val="00E31F39"/>
    <w:rsid w:val="00E3505A"/>
    <w:rsid w:val="00E369A0"/>
    <w:rsid w:val="00E3747D"/>
    <w:rsid w:val="00E37496"/>
    <w:rsid w:val="00E414AA"/>
    <w:rsid w:val="00E424F0"/>
    <w:rsid w:val="00E427CD"/>
    <w:rsid w:val="00E42AAB"/>
    <w:rsid w:val="00E438AB"/>
    <w:rsid w:val="00E43B4F"/>
    <w:rsid w:val="00E44A40"/>
    <w:rsid w:val="00E47033"/>
    <w:rsid w:val="00E47103"/>
    <w:rsid w:val="00E47281"/>
    <w:rsid w:val="00E47F36"/>
    <w:rsid w:val="00E5078D"/>
    <w:rsid w:val="00E509C8"/>
    <w:rsid w:val="00E50A22"/>
    <w:rsid w:val="00E53089"/>
    <w:rsid w:val="00E532BE"/>
    <w:rsid w:val="00E53CBF"/>
    <w:rsid w:val="00E549F4"/>
    <w:rsid w:val="00E5564E"/>
    <w:rsid w:val="00E558AD"/>
    <w:rsid w:val="00E5632B"/>
    <w:rsid w:val="00E569FA"/>
    <w:rsid w:val="00E56C5F"/>
    <w:rsid w:val="00E56F04"/>
    <w:rsid w:val="00E571EE"/>
    <w:rsid w:val="00E60A27"/>
    <w:rsid w:val="00E61188"/>
    <w:rsid w:val="00E62D6C"/>
    <w:rsid w:val="00E675F8"/>
    <w:rsid w:val="00E677F8"/>
    <w:rsid w:val="00E7016A"/>
    <w:rsid w:val="00E70F41"/>
    <w:rsid w:val="00E71BCF"/>
    <w:rsid w:val="00E71F0B"/>
    <w:rsid w:val="00E734BE"/>
    <w:rsid w:val="00E7350D"/>
    <w:rsid w:val="00E743AB"/>
    <w:rsid w:val="00E7537F"/>
    <w:rsid w:val="00E76B49"/>
    <w:rsid w:val="00E80344"/>
    <w:rsid w:val="00E80486"/>
    <w:rsid w:val="00E8056A"/>
    <w:rsid w:val="00E813AE"/>
    <w:rsid w:val="00E83839"/>
    <w:rsid w:val="00E84949"/>
    <w:rsid w:val="00E85347"/>
    <w:rsid w:val="00E85D99"/>
    <w:rsid w:val="00E85DA0"/>
    <w:rsid w:val="00E85FEB"/>
    <w:rsid w:val="00E865F0"/>
    <w:rsid w:val="00E86F23"/>
    <w:rsid w:val="00E90522"/>
    <w:rsid w:val="00E9245C"/>
    <w:rsid w:val="00E927BE"/>
    <w:rsid w:val="00E93F8C"/>
    <w:rsid w:val="00E94283"/>
    <w:rsid w:val="00E94F46"/>
    <w:rsid w:val="00E95F5E"/>
    <w:rsid w:val="00E96DEB"/>
    <w:rsid w:val="00EA12E0"/>
    <w:rsid w:val="00EA36A3"/>
    <w:rsid w:val="00EA375F"/>
    <w:rsid w:val="00EA5514"/>
    <w:rsid w:val="00EA64C7"/>
    <w:rsid w:val="00EA677B"/>
    <w:rsid w:val="00EA7250"/>
    <w:rsid w:val="00EA72B0"/>
    <w:rsid w:val="00EB1C23"/>
    <w:rsid w:val="00EB1DB3"/>
    <w:rsid w:val="00EB2608"/>
    <w:rsid w:val="00EB7143"/>
    <w:rsid w:val="00EC0E55"/>
    <w:rsid w:val="00EC1617"/>
    <w:rsid w:val="00EC2665"/>
    <w:rsid w:val="00EC2870"/>
    <w:rsid w:val="00EC2AB6"/>
    <w:rsid w:val="00EC4283"/>
    <w:rsid w:val="00EC672F"/>
    <w:rsid w:val="00EC6978"/>
    <w:rsid w:val="00EC69F9"/>
    <w:rsid w:val="00EC6CB6"/>
    <w:rsid w:val="00EC7A8F"/>
    <w:rsid w:val="00EC7E7B"/>
    <w:rsid w:val="00ED0A35"/>
    <w:rsid w:val="00ED1899"/>
    <w:rsid w:val="00ED4348"/>
    <w:rsid w:val="00ED4E4E"/>
    <w:rsid w:val="00ED54FA"/>
    <w:rsid w:val="00ED7E64"/>
    <w:rsid w:val="00EE09D0"/>
    <w:rsid w:val="00EE0A16"/>
    <w:rsid w:val="00EE19BA"/>
    <w:rsid w:val="00EE2167"/>
    <w:rsid w:val="00EE28A9"/>
    <w:rsid w:val="00EE36A0"/>
    <w:rsid w:val="00EE3D3E"/>
    <w:rsid w:val="00EE3EEE"/>
    <w:rsid w:val="00EE3F40"/>
    <w:rsid w:val="00EE44BF"/>
    <w:rsid w:val="00EE5191"/>
    <w:rsid w:val="00EE550D"/>
    <w:rsid w:val="00EE612C"/>
    <w:rsid w:val="00EF0503"/>
    <w:rsid w:val="00EF18A7"/>
    <w:rsid w:val="00EF56D8"/>
    <w:rsid w:val="00EF678D"/>
    <w:rsid w:val="00EF77BD"/>
    <w:rsid w:val="00F04FEB"/>
    <w:rsid w:val="00F05DBB"/>
    <w:rsid w:val="00F078C9"/>
    <w:rsid w:val="00F10747"/>
    <w:rsid w:val="00F108BE"/>
    <w:rsid w:val="00F12BB2"/>
    <w:rsid w:val="00F1312B"/>
    <w:rsid w:val="00F1333E"/>
    <w:rsid w:val="00F136C9"/>
    <w:rsid w:val="00F13B73"/>
    <w:rsid w:val="00F15494"/>
    <w:rsid w:val="00F159BE"/>
    <w:rsid w:val="00F15E45"/>
    <w:rsid w:val="00F161E8"/>
    <w:rsid w:val="00F22373"/>
    <w:rsid w:val="00F24115"/>
    <w:rsid w:val="00F24FF2"/>
    <w:rsid w:val="00F25F60"/>
    <w:rsid w:val="00F26E75"/>
    <w:rsid w:val="00F32386"/>
    <w:rsid w:val="00F346E2"/>
    <w:rsid w:val="00F354C2"/>
    <w:rsid w:val="00F361DE"/>
    <w:rsid w:val="00F40704"/>
    <w:rsid w:val="00F4082F"/>
    <w:rsid w:val="00F42F74"/>
    <w:rsid w:val="00F4310C"/>
    <w:rsid w:val="00F45753"/>
    <w:rsid w:val="00F45C69"/>
    <w:rsid w:val="00F5178F"/>
    <w:rsid w:val="00F5422A"/>
    <w:rsid w:val="00F577CC"/>
    <w:rsid w:val="00F60388"/>
    <w:rsid w:val="00F60CF0"/>
    <w:rsid w:val="00F619B9"/>
    <w:rsid w:val="00F62CC7"/>
    <w:rsid w:val="00F62E20"/>
    <w:rsid w:val="00F637D4"/>
    <w:rsid w:val="00F6573F"/>
    <w:rsid w:val="00F66762"/>
    <w:rsid w:val="00F674A9"/>
    <w:rsid w:val="00F67EBB"/>
    <w:rsid w:val="00F7131E"/>
    <w:rsid w:val="00F71490"/>
    <w:rsid w:val="00F717F7"/>
    <w:rsid w:val="00F71E74"/>
    <w:rsid w:val="00F74E2B"/>
    <w:rsid w:val="00F74FD5"/>
    <w:rsid w:val="00F7510E"/>
    <w:rsid w:val="00F75426"/>
    <w:rsid w:val="00F75CB1"/>
    <w:rsid w:val="00F80511"/>
    <w:rsid w:val="00F8161E"/>
    <w:rsid w:val="00F82553"/>
    <w:rsid w:val="00F82DE5"/>
    <w:rsid w:val="00F82E3B"/>
    <w:rsid w:val="00F835E1"/>
    <w:rsid w:val="00F8376B"/>
    <w:rsid w:val="00F87E23"/>
    <w:rsid w:val="00F90569"/>
    <w:rsid w:val="00F905B0"/>
    <w:rsid w:val="00F907EC"/>
    <w:rsid w:val="00F91BB3"/>
    <w:rsid w:val="00F91F52"/>
    <w:rsid w:val="00F92C17"/>
    <w:rsid w:val="00F93CC4"/>
    <w:rsid w:val="00F972B0"/>
    <w:rsid w:val="00F97528"/>
    <w:rsid w:val="00FA0812"/>
    <w:rsid w:val="00FA09B4"/>
    <w:rsid w:val="00FA09C4"/>
    <w:rsid w:val="00FA2845"/>
    <w:rsid w:val="00FA449C"/>
    <w:rsid w:val="00FA5D54"/>
    <w:rsid w:val="00FA6F23"/>
    <w:rsid w:val="00FA70CC"/>
    <w:rsid w:val="00FA7229"/>
    <w:rsid w:val="00FA72A7"/>
    <w:rsid w:val="00FB0F65"/>
    <w:rsid w:val="00FB18B1"/>
    <w:rsid w:val="00FB27F6"/>
    <w:rsid w:val="00FB30A0"/>
    <w:rsid w:val="00FB5426"/>
    <w:rsid w:val="00FB568A"/>
    <w:rsid w:val="00FB6961"/>
    <w:rsid w:val="00FC112E"/>
    <w:rsid w:val="00FC1C5E"/>
    <w:rsid w:val="00FC1F79"/>
    <w:rsid w:val="00FC231D"/>
    <w:rsid w:val="00FC2646"/>
    <w:rsid w:val="00FC2990"/>
    <w:rsid w:val="00FC31BD"/>
    <w:rsid w:val="00FC375F"/>
    <w:rsid w:val="00FC3DCF"/>
    <w:rsid w:val="00FC4AB7"/>
    <w:rsid w:val="00FC4EA3"/>
    <w:rsid w:val="00FC5FDC"/>
    <w:rsid w:val="00FC6F97"/>
    <w:rsid w:val="00FC71BE"/>
    <w:rsid w:val="00FC744C"/>
    <w:rsid w:val="00FD03DD"/>
    <w:rsid w:val="00FD10D3"/>
    <w:rsid w:val="00FD368A"/>
    <w:rsid w:val="00FD3736"/>
    <w:rsid w:val="00FD4D6A"/>
    <w:rsid w:val="00FE07C7"/>
    <w:rsid w:val="00FE0972"/>
    <w:rsid w:val="00FE09D9"/>
    <w:rsid w:val="00FE0D78"/>
    <w:rsid w:val="00FE1353"/>
    <w:rsid w:val="00FE2EF0"/>
    <w:rsid w:val="00FE3B83"/>
    <w:rsid w:val="00FE703E"/>
    <w:rsid w:val="00FE70B9"/>
    <w:rsid w:val="00FF11B9"/>
    <w:rsid w:val="00FF2AB2"/>
    <w:rsid w:val="00FF4327"/>
    <w:rsid w:val="00FF4C7E"/>
    <w:rsid w:val="00FF50CD"/>
    <w:rsid w:val="00FF5AAC"/>
    <w:rsid w:val="00FF601C"/>
    <w:rsid w:val="00FF6C22"/>
    <w:rsid w:val="00FF6C6B"/>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46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semiHidden="1" w:unhideWhenUsed="1" w:qFormat="1"/>
    <w:lsdException w:name="annotation reference" w:uiPriority="99"/>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0455A4"/>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7B5965"/>
    <w:pPr>
      <w:keepNext/>
      <w:spacing w:before="240"/>
      <w:outlineLvl w:val="3"/>
    </w:pPr>
    <w:rPr>
      <w:b/>
    </w:rPr>
  </w:style>
  <w:style w:type="paragraph" w:styleId="Heading5">
    <w:name w:val="heading 5"/>
    <w:basedOn w:val="Numbered"/>
    <w:next w:val="Normal"/>
    <w:link w:val="Heading5Char"/>
    <w:qFormat/>
    <w:rsid w:val="004D425B"/>
    <w:pPr>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B63508"/>
    <w:pPr>
      <w:spacing w:before="120" w:after="12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7B5965"/>
    <w:rPr>
      <w:rFonts w:ascii="Arial" w:hAnsi="Arial" w:cs="Arial"/>
      <w:b/>
      <w:sz w:val="22"/>
      <w:szCs w:val="22"/>
      <w:lang w:eastAsia="en-US"/>
    </w:rPr>
  </w:style>
  <w:style w:type="paragraph" w:customStyle="1" w:styleId="NormalParagraph">
    <w:name w:val="Normal Paragraph"/>
    <w:basedOn w:val="Numbered"/>
    <w:qFormat/>
    <w:rsid w:val="00987BCF"/>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shd w:val="clear" w:color="auto" w:fill="D9D9D9"/>
      <w:spacing w:before="240" w:after="240"/>
    </w:pPr>
  </w:style>
  <w:style w:type="paragraph" w:customStyle="1" w:styleId="ABCList">
    <w:name w:val="ABC List"/>
    <w:qFormat/>
    <w:rsid w:val="002314C6"/>
    <w:pPr>
      <w:numPr>
        <w:numId w:val="2"/>
      </w:numPr>
      <w:spacing w:after="120"/>
      <w:ind w:left="992" w:hanging="425"/>
    </w:pPr>
    <w:rPr>
      <w:rFonts w:ascii="Arial" w:hAnsi="Arial"/>
      <w:sz w:val="22"/>
      <w:szCs w:val="24"/>
      <w:lang w:eastAsia="en-US"/>
    </w:rPr>
  </w:style>
  <w:style w:type="character" w:styleId="CommentReference">
    <w:name w:val="annotation reference"/>
    <w:basedOn w:val="DefaultParagraphFont"/>
    <w:uiPriority w:val="99"/>
    <w:rsid w:val="00C50CFC"/>
    <w:rPr>
      <w:sz w:val="16"/>
      <w:szCs w:val="16"/>
    </w:rPr>
  </w:style>
  <w:style w:type="paragraph" w:styleId="CommentText">
    <w:name w:val="annotation text"/>
    <w:basedOn w:val="Normal"/>
    <w:link w:val="CommentTextChar"/>
    <w:uiPriority w:val="99"/>
    <w:rsid w:val="00C50CFC"/>
    <w:rPr>
      <w:sz w:val="20"/>
      <w:szCs w:val="20"/>
    </w:rPr>
  </w:style>
  <w:style w:type="character" w:customStyle="1" w:styleId="CommentTextChar">
    <w:name w:val="Comment Text Char"/>
    <w:basedOn w:val="DefaultParagraphFont"/>
    <w:link w:val="CommentText"/>
    <w:uiPriority w:val="99"/>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basedOn w:val="CommentText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aliases w:val="(NECG) Footnote Reference,(NECG) Footnote Reference1,(NECG) Footnote Reference2,(NECG) Footnote Reference3,(NECG) Footnote Reference4,(NECG) Footnote Reference5,(NECG) Footnote Reference6,(NECG) Footnote Reference7,o,Style 3,Style 12"/>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6"/>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5"/>
      </w:numPr>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MediumShading1">
    <w:name w:val="Medium Shading 1"/>
    <w:basedOn w:val="TableNormal"/>
    <w:uiPriority w:val="63"/>
    <w:rsid w:val="00696F2E"/>
    <w:rPr>
      <w:rFonts w:ascii="Arial" w:eastAsia="Arial" w:hAnsi="Arial"/>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Tabletext">
    <w:name w:val="Table text"/>
    <w:basedOn w:val="Normal"/>
    <w:link w:val="TabletextChar"/>
    <w:uiPriority w:val="1"/>
    <w:qFormat/>
    <w:rsid w:val="00696F2E"/>
    <w:pPr>
      <w:widowControl w:val="0"/>
      <w:spacing w:before="120" w:after="60" w:line="240" w:lineRule="atLeast"/>
    </w:pPr>
    <w:rPr>
      <w:rFonts w:ascii="Arial" w:eastAsia="Arial" w:hAnsi="Arial" w:cs="Arial"/>
      <w:color w:val="000000"/>
      <w:sz w:val="20"/>
    </w:rPr>
  </w:style>
  <w:style w:type="character" w:customStyle="1" w:styleId="TabletextChar">
    <w:name w:val="Table text Char"/>
    <w:link w:val="Tabletext"/>
    <w:uiPriority w:val="1"/>
    <w:rsid w:val="00696F2E"/>
    <w:rPr>
      <w:rFonts w:ascii="Arial" w:eastAsia="Arial" w:hAnsi="Arial" w:cs="Arial"/>
      <w:color w:val="000000"/>
      <w:szCs w:val="24"/>
      <w:lang w:eastAsia="en-US"/>
    </w:rPr>
  </w:style>
  <w:style w:type="paragraph" w:customStyle="1" w:styleId="TableHeading">
    <w:name w:val="Table Heading"/>
    <w:basedOn w:val="Tabletext"/>
    <w:link w:val="TableHeadingChar"/>
    <w:qFormat/>
    <w:rsid w:val="00696F2E"/>
    <w:pPr>
      <w:spacing w:before="60"/>
    </w:pPr>
    <w:rPr>
      <w:b/>
      <w:color w:val="FFFFFF"/>
      <w:sz w:val="22"/>
    </w:rPr>
  </w:style>
  <w:style w:type="character" w:customStyle="1" w:styleId="TableHeadingChar">
    <w:name w:val="Table Heading Char"/>
    <w:link w:val="TableHeading"/>
    <w:rsid w:val="00696F2E"/>
    <w:rPr>
      <w:rFonts w:ascii="Arial" w:eastAsia="Arial" w:hAnsi="Arial" w:cs="Arial"/>
      <w:b/>
      <w:color w:val="FFFFFF"/>
      <w:sz w:val="22"/>
      <w:szCs w:val="24"/>
      <w:lang w:eastAsia="en-US"/>
    </w:rPr>
  </w:style>
  <w:style w:type="paragraph" w:styleId="Caption">
    <w:name w:val="caption"/>
    <w:basedOn w:val="Normal"/>
    <w:next w:val="Normal"/>
    <w:unhideWhenUsed/>
    <w:qFormat/>
    <w:rsid w:val="000113EC"/>
    <w:rPr>
      <w:b/>
      <w:bCs/>
      <w:sz w:val="20"/>
      <w:szCs w:val="20"/>
    </w:rPr>
  </w:style>
  <w:style w:type="table" w:styleId="LightList">
    <w:name w:val="Light List"/>
    <w:basedOn w:val="TableNormal"/>
    <w:uiPriority w:val="61"/>
    <w:rsid w:val="00347BA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1">
    <w:name w:val="Table Grid 1"/>
    <w:basedOn w:val="TableNormal"/>
    <w:rsid w:val="00347BA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Professional">
    <w:name w:val="Table Professional"/>
    <w:basedOn w:val="TableNormal"/>
    <w:rsid w:val="00347BA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MediumShading2">
    <w:name w:val="Medium Shading 2"/>
    <w:basedOn w:val="TableNormal"/>
    <w:uiPriority w:val="64"/>
    <w:rsid w:val="00E9428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ource">
    <w:name w:val="Source"/>
    <w:basedOn w:val="Numbered"/>
    <w:link w:val="SourceChar"/>
    <w:qFormat/>
    <w:rsid w:val="00B103B5"/>
    <w:rPr>
      <w:sz w:val="18"/>
      <w:szCs w:val="18"/>
    </w:rPr>
  </w:style>
  <w:style w:type="character" w:customStyle="1" w:styleId="NumberedChar">
    <w:name w:val="Numbered Char"/>
    <w:basedOn w:val="DefaultParagraphFont"/>
    <w:link w:val="Numbered"/>
    <w:rsid w:val="00B63508"/>
    <w:rPr>
      <w:rFonts w:ascii="Arial" w:hAnsi="Arial" w:cs="Arial"/>
      <w:sz w:val="22"/>
      <w:szCs w:val="22"/>
      <w:lang w:eastAsia="en-US"/>
    </w:rPr>
  </w:style>
  <w:style w:type="character" w:customStyle="1" w:styleId="SourceChar">
    <w:name w:val="Source Char"/>
    <w:basedOn w:val="NumberedChar"/>
    <w:link w:val="Source"/>
    <w:rsid w:val="00B103B5"/>
    <w:rPr>
      <w:rFonts w:ascii="Arial" w:hAnsi="Arial" w:cs="Arial"/>
      <w:sz w:val="18"/>
      <w:szCs w:val="18"/>
      <w:lang w:eastAsia="en-US"/>
    </w:rPr>
  </w:style>
  <w:style w:type="paragraph" w:customStyle="1" w:styleId="Tableheadingtext">
    <w:name w:val="Table heading text"/>
    <w:basedOn w:val="Normal"/>
    <w:link w:val="TableheadingtextChar"/>
    <w:qFormat/>
    <w:rsid w:val="00325815"/>
    <w:pPr>
      <w:keepNext/>
      <w:spacing w:before="240" w:after="240"/>
    </w:pPr>
    <w:rPr>
      <w:rFonts w:ascii="Arial" w:eastAsia="Calibri" w:hAnsi="Arial"/>
      <w:b/>
      <w:color w:val="000000"/>
      <w:sz w:val="22"/>
      <w:szCs w:val="22"/>
    </w:rPr>
  </w:style>
  <w:style w:type="character" w:customStyle="1" w:styleId="TableheadingtextChar">
    <w:name w:val="Table heading text Char"/>
    <w:link w:val="Tableheadingtext"/>
    <w:rsid w:val="00325815"/>
    <w:rPr>
      <w:rFonts w:ascii="Arial" w:eastAsia="Calibri" w:hAnsi="Arial"/>
      <w:b/>
      <w:color w:val="000000"/>
      <w:sz w:val="22"/>
      <w:szCs w:val="22"/>
      <w:lang w:eastAsia="en-US"/>
    </w:rPr>
  </w:style>
  <w:style w:type="paragraph" w:styleId="NormalWeb">
    <w:name w:val="Normal (Web)"/>
    <w:basedOn w:val="Normal"/>
    <w:rsid w:val="00636EB8"/>
  </w:style>
  <w:style w:type="character" w:styleId="FollowedHyperlink">
    <w:name w:val="FollowedHyperlink"/>
    <w:basedOn w:val="DefaultParagraphFont"/>
    <w:rsid w:val="00DD242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216005">
      <w:bodyDiv w:val="1"/>
      <w:marLeft w:val="0"/>
      <w:marRight w:val="0"/>
      <w:marTop w:val="0"/>
      <w:marBottom w:val="0"/>
      <w:divBdr>
        <w:top w:val="none" w:sz="0" w:space="0" w:color="auto"/>
        <w:left w:val="none" w:sz="0" w:space="0" w:color="auto"/>
        <w:bottom w:val="none" w:sz="0" w:space="0" w:color="auto"/>
        <w:right w:val="none" w:sz="0" w:space="0" w:color="auto"/>
      </w:divBdr>
    </w:div>
    <w:div w:id="447814665">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659970435">
      <w:bodyDiv w:val="1"/>
      <w:marLeft w:val="0"/>
      <w:marRight w:val="0"/>
      <w:marTop w:val="0"/>
      <w:marBottom w:val="0"/>
      <w:divBdr>
        <w:top w:val="none" w:sz="0" w:space="0" w:color="auto"/>
        <w:left w:val="none" w:sz="0" w:space="0" w:color="auto"/>
        <w:bottom w:val="none" w:sz="0" w:space="0" w:color="auto"/>
        <w:right w:val="none" w:sz="0" w:space="0" w:color="auto"/>
      </w:divBdr>
    </w:div>
    <w:div w:id="692461446">
      <w:bodyDiv w:val="1"/>
      <w:marLeft w:val="0"/>
      <w:marRight w:val="0"/>
      <w:marTop w:val="0"/>
      <w:marBottom w:val="0"/>
      <w:divBdr>
        <w:top w:val="none" w:sz="0" w:space="0" w:color="auto"/>
        <w:left w:val="none" w:sz="0" w:space="0" w:color="auto"/>
        <w:bottom w:val="none" w:sz="0" w:space="0" w:color="auto"/>
        <w:right w:val="none" w:sz="0" w:space="0" w:color="auto"/>
      </w:divBdr>
    </w:div>
    <w:div w:id="784234346">
      <w:bodyDiv w:val="1"/>
      <w:marLeft w:val="0"/>
      <w:marRight w:val="0"/>
      <w:marTop w:val="0"/>
      <w:marBottom w:val="0"/>
      <w:divBdr>
        <w:top w:val="none" w:sz="0" w:space="0" w:color="auto"/>
        <w:left w:val="none" w:sz="0" w:space="0" w:color="auto"/>
        <w:bottom w:val="none" w:sz="0" w:space="0" w:color="auto"/>
        <w:right w:val="none" w:sz="0" w:space="0" w:color="auto"/>
      </w:divBdr>
    </w:div>
    <w:div w:id="1080953095">
      <w:bodyDiv w:val="1"/>
      <w:marLeft w:val="0"/>
      <w:marRight w:val="0"/>
      <w:marTop w:val="0"/>
      <w:marBottom w:val="0"/>
      <w:divBdr>
        <w:top w:val="none" w:sz="0" w:space="0" w:color="auto"/>
        <w:left w:val="none" w:sz="0" w:space="0" w:color="auto"/>
        <w:bottom w:val="none" w:sz="0" w:space="0" w:color="auto"/>
        <w:right w:val="none" w:sz="0" w:space="0" w:color="auto"/>
      </w:divBdr>
    </w:div>
    <w:div w:id="1199393184">
      <w:bodyDiv w:val="1"/>
      <w:marLeft w:val="0"/>
      <w:marRight w:val="0"/>
      <w:marTop w:val="0"/>
      <w:marBottom w:val="0"/>
      <w:divBdr>
        <w:top w:val="none" w:sz="0" w:space="0" w:color="auto"/>
        <w:left w:val="none" w:sz="0" w:space="0" w:color="auto"/>
        <w:bottom w:val="none" w:sz="0" w:space="0" w:color="auto"/>
        <w:right w:val="none" w:sz="0" w:space="0" w:color="auto"/>
      </w:divBdr>
      <w:divsChild>
        <w:div w:id="2097624873">
          <w:marLeft w:val="0"/>
          <w:marRight w:val="0"/>
          <w:marTop w:val="0"/>
          <w:marBottom w:val="300"/>
          <w:divBdr>
            <w:top w:val="none" w:sz="0" w:space="0" w:color="auto"/>
            <w:left w:val="none" w:sz="0" w:space="0" w:color="auto"/>
            <w:bottom w:val="none" w:sz="0" w:space="0" w:color="auto"/>
            <w:right w:val="none" w:sz="0" w:space="0" w:color="auto"/>
          </w:divBdr>
          <w:divsChild>
            <w:div w:id="21588652">
              <w:marLeft w:val="0"/>
              <w:marRight w:val="0"/>
              <w:marTop w:val="300"/>
              <w:marBottom w:val="300"/>
              <w:divBdr>
                <w:top w:val="none" w:sz="0" w:space="0" w:color="auto"/>
                <w:left w:val="none" w:sz="0" w:space="0" w:color="auto"/>
                <w:bottom w:val="none" w:sz="0" w:space="0" w:color="auto"/>
                <w:right w:val="none" w:sz="0" w:space="0" w:color="auto"/>
              </w:divBdr>
              <w:divsChild>
                <w:div w:id="18623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00859">
      <w:bodyDiv w:val="1"/>
      <w:marLeft w:val="0"/>
      <w:marRight w:val="0"/>
      <w:marTop w:val="0"/>
      <w:marBottom w:val="0"/>
      <w:divBdr>
        <w:top w:val="none" w:sz="0" w:space="0" w:color="auto"/>
        <w:left w:val="none" w:sz="0" w:space="0" w:color="auto"/>
        <w:bottom w:val="none" w:sz="0" w:space="0" w:color="auto"/>
        <w:right w:val="none" w:sz="0" w:space="0" w:color="auto"/>
      </w:divBdr>
    </w:div>
    <w:div w:id="1308896905">
      <w:bodyDiv w:val="1"/>
      <w:marLeft w:val="0"/>
      <w:marRight w:val="0"/>
      <w:marTop w:val="0"/>
      <w:marBottom w:val="0"/>
      <w:divBdr>
        <w:top w:val="none" w:sz="0" w:space="0" w:color="auto"/>
        <w:left w:val="none" w:sz="0" w:space="0" w:color="auto"/>
        <w:bottom w:val="none" w:sz="0" w:space="0" w:color="auto"/>
        <w:right w:val="none" w:sz="0" w:space="0" w:color="auto"/>
      </w:divBdr>
    </w:div>
    <w:div w:id="1406492204">
      <w:bodyDiv w:val="1"/>
      <w:marLeft w:val="0"/>
      <w:marRight w:val="0"/>
      <w:marTop w:val="0"/>
      <w:marBottom w:val="0"/>
      <w:divBdr>
        <w:top w:val="none" w:sz="0" w:space="0" w:color="auto"/>
        <w:left w:val="none" w:sz="0" w:space="0" w:color="auto"/>
        <w:bottom w:val="none" w:sz="0" w:space="0" w:color="auto"/>
        <w:right w:val="none" w:sz="0" w:space="0" w:color="auto"/>
      </w:divBdr>
    </w:div>
    <w:div w:id="1636715067">
      <w:bodyDiv w:val="1"/>
      <w:marLeft w:val="0"/>
      <w:marRight w:val="0"/>
      <w:marTop w:val="0"/>
      <w:marBottom w:val="0"/>
      <w:divBdr>
        <w:top w:val="none" w:sz="0" w:space="0" w:color="auto"/>
        <w:left w:val="none" w:sz="0" w:space="0" w:color="auto"/>
        <w:bottom w:val="none" w:sz="0" w:space="0" w:color="auto"/>
        <w:right w:val="none" w:sz="0" w:space="0" w:color="auto"/>
      </w:divBdr>
    </w:div>
    <w:div w:id="1798984496">
      <w:bodyDiv w:val="1"/>
      <w:marLeft w:val="0"/>
      <w:marRight w:val="0"/>
      <w:marTop w:val="0"/>
      <w:marBottom w:val="0"/>
      <w:divBdr>
        <w:top w:val="none" w:sz="0" w:space="0" w:color="auto"/>
        <w:left w:val="none" w:sz="0" w:space="0" w:color="auto"/>
        <w:bottom w:val="none" w:sz="0" w:space="0" w:color="auto"/>
        <w:right w:val="none" w:sz="0" w:space="0" w:color="auto"/>
      </w:divBdr>
    </w:div>
    <w:div w:id="1831098097">
      <w:bodyDiv w:val="1"/>
      <w:marLeft w:val="0"/>
      <w:marRight w:val="0"/>
      <w:marTop w:val="0"/>
      <w:marBottom w:val="0"/>
      <w:divBdr>
        <w:top w:val="none" w:sz="0" w:space="0" w:color="auto"/>
        <w:left w:val="none" w:sz="0" w:space="0" w:color="auto"/>
        <w:bottom w:val="none" w:sz="0" w:space="0" w:color="auto"/>
        <w:right w:val="none" w:sz="0" w:space="0" w:color="auto"/>
      </w:divBdr>
    </w:div>
    <w:div w:id="2011252452">
      <w:bodyDiv w:val="1"/>
      <w:marLeft w:val="0"/>
      <w:marRight w:val="0"/>
      <w:marTop w:val="0"/>
      <w:marBottom w:val="0"/>
      <w:divBdr>
        <w:top w:val="none" w:sz="0" w:space="0" w:color="auto"/>
        <w:left w:val="none" w:sz="0" w:space="0" w:color="auto"/>
        <w:bottom w:val="none" w:sz="0" w:space="0" w:color="auto"/>
        <w:right w:val="none" w:sz="0" w:space="0" w:color="auto"/>
      </w:divBdr>
    </w:div>
    <w:div w:id="209291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mailto:mergers@accc.gov.au"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www.accc.gov.au/regulated-infrastructure/energy/east-coast-gas-inquiry-2015"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bg-group.com/assets/files/cms/CountryData/BG_Data_Australia.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cc.gov.au/publications/informal-merger-review-process-guidelines-2013"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mailto:mergers@accc.gov.au"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rrowenergy.com.au/our-company/our-projects" TargetMode="External"/><Relationship Id="rId22" Type="http://schemas.openxmlformats.org/officeDocument/2006/relationships/footer" Target="footer1.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www.strikeenergy.com.au/" TargetMode="External"/><Relationship Id="rId3" Type="http://schemas.openxmlformats.org/officeDocument/2006/relationships/hyperlink" Target="https://www.arrowenergy.com.au/__data/assets/pdf_file/0017/3824/Section_01-Introduction.pdf" TargetMode="External"/><Relationship Id="rId7" Type="http://schemas.openxmlformats.org/officeDocument/2006/relationships/hyperlink" Target="http://www.beachenergy.com.au/IRM/Company/ShowPage.aspx/PDFs/4293-10000000/StrategyReview" TargetMode="External"/><Relationship Id="rId2" Type="http://schemas.openxmlformats.org/officeDocument/2006/relationships/hyperlink" Target="http://www.agl.com.au/~/media/AGL/About%20AGL/Documents/Investor%20Centre/2015/150211_REsults_Presentation.pdf" TargetMode="External"/><Relationship Id="rId1" Type="http://schemas.openxmlformats.org/officeDocument/2006/relationships/hyperlink" Target="http://www.smh.com.au/business/moranbah-gas-supply-problems-to-hit-incitec-pivot-profit-20150707-gi7dxf.html" TargetMode="External"/><Relationship Id="rId6" Type="http://schemas.openxmlformats.org/officeDocument/2006/relationships/hyperlink" Target="http://www.arrowenergy.com.au/projects/arrow-bowen-pipeline" TargetMode="External"/><Relationship Id="rId5" Type="http://schemas.openxmlformats.org/officeDocument/2006/relationships/hyperlink" Target="http://www.qgc.com.au/qclng-project/export-domestic-markets.aspx" TargetMode="External"/><Relationship Id="rId4" Type="http://schemas.openxmlformats.org/officeDocument/2006/relationships/hyperlink" Target="https://www.arrowenergy.com.au/our-company/our-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C4A8D2-BFB0-4729-A983-02E0F8117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51E22251</Template>
  <TotalTime>0</TotalTime>
  <Pages>22</Pages>
  <Words>7621</Words>
  <Characters>41568</Characters>
  <Application>Microsoft Office Word</Application>
  <DocSecurity>4</DocSecurity>
  <Lines>346</Lines>
  <Paragraphs>98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49091</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2015-09-16T11:56:00Z</dcterms:created>
  <dcterms:modified xsi:type="dcterms:W3CDTF">2015-09-16T11:56:00Z</dcterms:modified>
</cp:coreProperties>
</file>