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69A0" w:rsidRDefault="008633E0" w:rsidP="00A10BE5">
      <w:pPr>
        <w:pStyle w:val="Heading1"/>
      </w:pPr>
      <w:bookmarkStart w:id="0" w:name="_GoBack"/>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Australian Competition and Consumer Commission" style="position:absolute;left:0;text-align:left;margin-left:229.7pt;margin-top:22.75pt;width:190.75pt;height:45.65pt;z-index:25165824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9" o:title=""/>
          </v:shape>
        </w:pict>
      </w:r>
      <w:bookmarkEnd w:id="0"/>
    </w:p>
    <w:p w:rsidR="00AF1C87" w:rsidRPr="001D52AC" w:rsidRDefault="00AF1C87" w:rsidP="00A10BE5">
      <w:pPr>
        <w:pStyle w:val="Heading1"/>
      </w:pPr>
    </w:p>
    <w:p w:rsidR="00AF1C87" w:rsidRPr="00EF2E41" w:rsidRDefault="00AF1C87" w:rsidP="00A53505">
      <w:pPr>
        <w:pStyle w:val="Heading1"/>
        <w:rPr>
          <w:sz w:val="32"/>
          <w:szCs w:val="32"/>
        </w:rPr>
      </w:pPr>
      <w:r w:rsidRPr="00EF2E41">
        <w:rPr>
          <w:sz w:val="32"/>
          <w:szCs w:val="32"/>
        </w:rPr>
        <w:t>Public Competition Assessment</w:t>
      </w:r>
    </w:p>
    <w:p w:rsidR="00AF1C87" w:rsidRPr="00EE022E" w:rsidRDefault="00BF57D6" w:rsidP="00A53505">
      <w:pPr>
        <w:pStyle w:val="Date1"/>
      </w:pPr>
      <w:r w:rsidRPr="00EE022E">
        <w:t>22</w:t>
      </w:r>
      <w:r w:rsidR="001D276D" w:rsidRPr="00EE022E">
        <w:t xml:space="preserve"> </w:t>
      </w:r>
      <w:r w:rsidR="00956D52" w:rsidRPr="00EE022E">
        <w:t xml:space="preserve">December </w:t>
      </w:r>
      <w:r w:rsidR="006A4A02" w:rsidRPr="00EE022E">
        <w:t>2015</w:t>
      </w:r>
    </w:p>
    <w:p w:rsidR="00AF1C87" w:rsidRDefault="00360ECC" w:rsidP="006A652B">
      <w:pPr>
        <w:pStyle w:val="Heading2"/>
        <w:jc w:val="left"/>
      </w:pPr>
      <w:bookmarkStart w:id="1" w:name="Title"/>
      <w:bookmarkEnd w:id="1"/>
      <w:r>
        <w:t>TPG Telecom</w:t>
      </w:r>
      <w:r w:rsidR="006A652B">
        <w:t xml:space="preserve"> Limited – </w:t>
      </w:r>
      <w:r w:rsidR="00821C2D">
        <w:t xml:space="preserve">proposed acquisition of </w:t>
      </w:r>
      <w:r>
        <w:t>iiNet Limited</w:t>
      </w:r>
    </w:p>
    <w:p w:rsidR="00AF1C87" w:rsidRPr="00736B68" w:rsidRDefault="007B7BB1" w:rsidP="006A7FE8">
      <w:pPr>
        <w:pStyle w:val="Heading3"/>
      </w:pPr>
      <w:r>
        <w:t>Purpose</w:t>
      </w:r>
    </w:p>
    <w:p w:rsidR="007B7BB1" w:rsidRPr="007B7BB1" w:rsidRDefault="00BF57D6" w:rsidP="007B7BB1">
      <w:pPr>
        <w:pStyle w:val="NormalParagraph"/>
        <w:tabs>
          <w:tab w:val="clear" w:pos="360"/>
          <w:tab w:val="num" w:pos="567"/>
        </w:tabs>
        <w:ind w:left="567" w:hanging="567"/>
      </w:pPr>
      <w:r>
        <w:t>This Public Competition A</w:t>
      </w:r>
      <w:r w:rsidR="007B7BB1" w:rsidRPr="007B7BB1">
        <w:t xml:space="preserve">ssessment outlines reasons for the </w:t>
      </w:r>
      <w:r>
        <w:t xml:space="preserve">decision by the </w:t>
      </w:r>
      <w:r w:rsidR="007B7BB1" w:rsidRPr="007B7BB1">
        <w:t>Australian Competition and Consumer Commission (</w:t>
      </w:r>
      <w:r w:rsidR="007B7BB1" w:rsidRPr="007B7BB1">
        <w:rPr>
          <w:b/>
        </w:rPr>
        <w:t>ACCC</w:t>
      </w:r>
      <w:r w:rsidR="007B7BB1" w:rsidRPr="007B7BB1">
        <w:t xml:space="preserve">) not </w:t>
      </w:r>
      <w:r>
        <w:t xml:space="preserve">to </w:t>
      </w:r>
      <w:r w:rsidR="007B7BB1" w:rsidRPr="007B7BB1">
        <w:t>oppose TPG Telecom Limited’s (</w:t>
      </w:r>
      <w:r w:rsidR="007B7BB1" w:rsidRPr="007B7BB1">
        <w:rPr>
          <w:b/>
        </w:rPr>
        <w:t>TPG</w:t>
      </w:r>
      <w:r w:rsidR="007B7BB1" w:rsidRPr="007B7BB1">
        <w:t xml:space="preserve">) proposed acquisition of iiNet </w:t>
      </w:r>
      <w:proofErr w:type="gramStart"/>
      <w:r w:rsidR="007B7BB1" w:rsidRPr="007B7BB1">
        <w:t>Limited</w:t>
      </w:r>
      <w:proofErr w:type="gramEnd"/>
      <w:r w:rsidR="007B7BB1" w:rsidRPr="007B7BB1">
        <w:t xml:space="preserve"> (</w:t>
      </w:r>
      <w:r w:rsidR="007B7BB1" w:rsidRPr="007B7BB1">
        <w:rPr>
          <w:b/>
        </w:rPr>
        <w:t>iiNet</w:t>
      </w:r>
      <w:r w:rsidR="007B7BB1" w:rsidRPr="007B7BB1">
        <w:t xml:space="preserve">) (the </w:t>
      </w:r>
      <w:r w:rsidR="007B7BB1" w:rsidRPr="007B7BB1">
        <w:rPr>
          <w:b/>
        </w:rPr>
        <w:t>proposed acquisition</w:t>
      </w:r>
      <w:r w:rsidR="007B7BB1" w:rsidRPr="007B7BB1">
        <w:t xml:space="preserve">). </w:t>
      </w:r>
    </w:p>
    <w:p w:rsidR="007B7BB1" w:rsidRPr="007B7BB1" w:rsidRDefault="007B7BB1" w:rsidP="007B7BB1">
      <w:pPr>
        <w:pStyle w:val="NormalParagraph"/>
        <w:tabs>
          <w:tab w:val="clear" w:pos="360"/>
          <w:tab w:val="num" w:pos="567"/>
        </w:tabs>
        <w:ind w:left="567" w:hanging="567"/>
      </w:pPr>
      <w:r w:rsidRPr="007B7BB1">
        <w:t>ACCC public competition assessments aim to provide the public with a better understanding of our analysis of various markets and competition issues. We generally issue a public competition assessment for transactions when:</w:t>
      </w:r>
    </w:p>
    <w:p w:rsidR="007B7BB1" w:rsidRPr="007B7BB1" w:rsidRDefault="007B7BB1" w:rsidP="00353E38">
      <w:pPr>
        <w:pStyle w:val="ListParagraph"/>
        <w:numPr>
          <w:ilvl w:val="0"/>
          <w:numId w:val="6"/>
        </w:numPr>
        <w:tabs>
          <w:tab w:val="num" w:pos="927"/>
        </w:tabs>
      </w:pPr>
      <w:r w:rsidRPr="007B7BB1">
        <w:t>an acquisition is opposed</w:t>
      </w:r>
    </w:p>
    <w:p w:rsidR="007B7BB1" w:rsidRPr="007B7BB1" w:rsidRDefault="007B7BB1" w:rsidP="00353E38">
      <w:pPr>
        <w:pStyle w:val="ListParagraph"/>
        <w:numPr>
          <w:ilvl w:val="0"/>
          <w:numId w:val="6"/>
        </w:numPr>
        <w:tabs>
          <w:tab w:val="num" w:pos="927"/>
        </w:tabs>
      </w:pPr>
      <w:r w:rsidRPr="007B7BB1">
        <w:t>an acquisition is subject to enforceable undertakings</w:t>
      </w:r>
    </w:p>
    <w:p w:rsidR="007B7BB1" w:rsidRPr="007B7BB1" w:rsidRDefault="007B7BB1" w:rsidP="00353E38">
      <w:pPr>
        <w:pStyle w:val="ListParagraph"/>
        <w:numPr>
          <w:ilvl w:val="0"/>
          <w:numId w:val="6"/>
        </w:numPr>
        <w:tabs>
          <w:tab w:val="num" w:pos="927"/>
        </w:tabs>
      </w:pPr>
      <w:r w:rsidRPr="007B7BB1">
        <w:t>the parties to the acquisition seek such disclosure, or</w:t>
      </w:r>
    </w:p>
    <w:p w:rsidR="007B7BB1" w:rsidRPr="007B7BB1" w:rsidRDefault="007B7BB1" w:rsidP="00353E38">
      <w:pPr>
        <w:pStyle w:val="ListParagraph"/>
        <w:numPr>
          <w:ilvl w:val="0"/>
          <w:numId w:val="6"/>
        </w:numPr>
        <w:tabs>
          <w:tab w:val="num" w:pos="927"/>
        </w:tabs>
      </w:pPr>
      <w:r w:rsidRPr="007B7BB1">
        <w:t>an acquisition is not opposed but raises important issues that the ACCC considers should be made public.</w:t>
      </w:r>
    </w:p>
    <w:p w:rsidR="007B7BB1" w:rsidRPr="007B7BB1" w:rsidRDefault="00BF57D6" w:rsidP="007B7BB1">
      <w:pPr>
        <w:pStyle w:val="NormalParagraph"/>
        <w:tabs>
          <w:tab w:val="clear" w:pos="360"/>
          <w:tab w:val="num" w:pos="567"/>
        </w:tabs>
        <w:ind w:left="567" w:hanging="567"/>
      </w:pPr>
      <w:r>
        <w:t>This Public Competition A</w:t>
      </w:r>
      <w:r w:rsidR="007B7BB1" w:rsidRPr="007B7BB1">
        <w:t>ssessment has been issued because the acquisition raises important issues that the ACCC considers should be made public.</w:t>
      </w:r>
    </w:p>
    <w:p w:rsidR="007B7BB1" w:rsidRPr="007B7BB1" w:rsidRDefault="007B7BB1" w:rsidP="007B7BB1">
      <w:pPr>
        <w:pStyle w:val="NormalParagraph"/>
        <w:tabs>
          <w:tab w:val="clear" w:pos="360"/>
          <w:tab w:val="num" w:pos="567"/>
        </w:tabs>
        <w:ind w:left="567" w:hanging="567"/>
      </w:pPr>
      <w:r w:rsidRPr="007B7BB1">
        <w:t>The ACCC considers each matter on a case-by-case basis. While some transactions may involve the same or related markets, the analysis and decision outlined in one assessment will not necessarily reflect the ACCC’s view about other transactions.</w:t>
      </w:r>
    </w:p>
    <w:p w:rsidR="007B7BB1" w:rsidRPr="007B7BB1" w:rsidRDefault="00BF57D6" w:rsidP="007B7BB1">
      <w:pPr>
        <w:pStyle w:val="NormalParagraph"/>
        <w:tabs>
          <w:tab w:val="clear" w:pos="360"/>
          <w:tab w:val="num" w:pos="567"/>
        </w:tabs>
        <w:ind w:left="567" w:hanging="567"/>
      </w:pPr>
      <w:r>
        <w:t>Public competition a</w:t>
      </w:r>
      <w:r w:rsidR="007B7BB1" w:rsidRPr="007B7BB1">
        <w:t>ssessments outline the ACCC’s principal reasons for forming views on a proposed acquisition at the time t</w:t>
      </w:r>
      <w:r>
        <w:t>he decision was made. As such, public competition a</w:t>
      </w:r>
      <w:r w:rsidR="007B7BB1" w:rsidRPr="007B7BB1">
        <w:t xml:space="preserve">ssessments may not definitively identify and explain all issues that the ACCC considers arise from an acquisition. </w:t>
      </w:r>
    </w:p>
    <w:p w:rsidR="007B7BB1" w:rsidRPr="007B7BB1" w:rsidRDefault="007B7BB1" w:rsidP="007B7BB1">
      <w:pPr>
        <w:pStyle w:val="NormalParagraph"/>
        <w:tabs>
          <w:tab w:val="clear" w:pos="360"/>
          <w:tab w:val="num" w:pos="567"/>
        </w:tabs>
        <w:ind w:left="567" w:hanging="567"/>
      </w:pPr>
      <w:r w:rsidRPr="007B7BB1">
        <w:t>Further, the ACCC’s decisions generally involve consideration of confidential information provided by the merger parties and market participants. In order to maintain the confidential</w:t>
      </w:r>
      <w:r w:rsidR="00BF57D6">
        <w:t>ity of particular information, public competition a</w:t>
      </w:r>
      <w:r w:rsidRPr="007B7BB1">
        <w:t>ssessments do not contain any confidential information nor identify its sources.</w:t>
      </w:r>
    </w:p>
    <w:p w:rsidR="00344AF1" w:rsidRPr="00344AF1" w:rsidRDefault="00344AF1" w:rsidP="00344AF1">
      <w:pPr>
        <w:pStyle w:val="Heading3"/>
      </w:pPr>
      <w:bookmarkStart w:id="2" w:name="Type"/>
      <w:bookmarkStart w:id="3" w:name="Target"/>
      <w:bookmarkStart w:id="4" w:name="OLE_LINK2"/>
      <w:bookmarkEnd w:id="2"/>
      <w:bookmarkEnd w:id="3"/>
      <w:bookmarkEnd w:id="4"/>
      <w:r w:rsidRPr="00344AF1">
        <w:lastRenderedPageBreak/>
        <w:t>The ACCC’s decision</w:t>
      </w:r>
    </w:p>
    <w:p w:rsidR="00344AF1" w:rsidRPr="00344AF1" w:rsidRDefault="00344AF1" w:rsidP="00344AF1">
      <w:pPr>
        <w:pStyle w:val="NormalParagraph"/>
        <w:tabs>
          <w:tab w:val="clear" w:pos="360"/>
          <w:tab w:val="num" w:pos="567"/>
        </w:tabs>
        <w:ind w:left="567" w:hanging="567"/>
      </w:pPr>
      <w:r w:rsidRPr="00344AF1">
        <w:t xml:space="preserve">Section 50 of the </w:t>
      </w:r>
      <w:r w:rsidRPr="00344AF1">
        <w:rPr>
          <w:i/>
        </w:rPr>
        <w:t>Competition and Consumer Act 2010</w:t>
      </w:r>
      <w:r w:rsidRPr="00344AF1">
        <w:t xml:space="preserve"> (the </w:t>
      </w:r>
      <w:r w:rsidRPr="00344AF1">
        <w:rPr>
          <w:b/>
        </w:rPr>
        <w:t>Act</w:t>
      </w:r>
      <w:r w:rsidRPr="00344AF1">
        <w:t xml:space="preserve">) is the relevant provision for the ACCC’s assessment.  Section 50 prohibits acquisitions that would have the effect, or be likely to have the effect, of substantially lessening competition in any market. </w:t>
      </w:r>
    </w:p>
    <w:p w:rsidR="00344AF1" w:rsidRPr="00344AF1" w:rsidRDefault="00344AF1" w:rsidP="00344AF1">
      <w:pPr>
        <w:pStyle w:val="NormalParagraph"/>
        <w:tabs>
          <w:tab w:val="clear" w:pos="360"/>
          <w:tab w:val="num" w:pos="567"/>
        </w:tabs>
        <w:ind w:left="567" w:hanging="567"/>
      </w:pPr>
      <w:r w:rsidRPr="00344AF1">
        <w:t xml:space="preserve">On 20 August 2015, the ACCC announced its decision not to oppose the proposed acquisition. The ACCC decided that the proposed acquisition would be unlikely to have the effect of substantially lessening competition in contravention of section 50. The ACCC considered the competitive effects of the proposed acquisition in the following markets: </w:t>
      </w:r>
    </w:p>
    <w:p w:rsidR="00344AF1" w:rsidRPr="00736B68" w:rsidRDefault="00344AF1" w:rsidP="00344AF1">
      <w:pPr>
        <w:pStyle w:val="ListParagraph"/>
        <w:numPr>
          <w:ilvl w:val="0"/>
          <w:numId w:val="6"/>
        </w:numPr>
        <w:tabs>
          <w:tab w:val="num" w:pos="927"/>
        </w:tabs>
      </w:pPr>
      <w:r w:rsidRPr="00736B68">
        <w:t>the market for the retail supply of fixed broadband services in Australia</w:t>
      </w:r>
    </w:p>
    <w:p w:rsidR="00344AF1" w:rsidRPr="00736B68" w:rsidRDefault="00344AF1" w:rsidP="00344AF1">
      <w:pPr>
        <w:pStyle w:val="ListParagraph"/>
        <w:numPr>
          <w:ilvl w:val="0"/>
          <w:numId w:val="6"/>
        </w:numPr>
        <w:tabs>
          <w:tab w:val="num" w:pos="927"/>
        </w:tabs>
      </w:pPr>
      <w:proofErr w:type="gramStart"/>
      <w:r w:rsidRPr="00736B68">
        <w:t>the</w:t>
      </w:r>
      <w:proofErr w:type="gramEnd"/>
      <w:r w:rsidRPr="00736B68">
        <w:t xml:space="preserve"> market for the wholesale supply of transmission services in Australia.</w:t>
      </w:r>
    </w:p>
    <w:p w:rsidR="00344AF1" w:rsidRDefault="00344AF1" w:rsidP="00344AF1">
      <w:pPr>
        <w:pStyle w:val="NormalParagraph"/>
        <w:tabs>
          <w:tab w:val="clear" w:pos="360"/>
          <w:tab w:val="num" w:pos="567"/>
        </w:tabs>
        <w:ind w:left="567" w:hanging="567"/>
      </w:pPr>
      <w:r>
        <w:t xml:space="preserve">The ACCC considered that the merged entity would remain constrained by other major suppliers – Telstra, Optus and M2. </w:t>
      </w:r>
    </w:p>
    <w:p w:rsidR="00344AF1" w:rsidRPr="00344AF1" w:rsidRDefault="00344AF1" w:rsidP="00344AF1">
      <w:pPr>
        <w:pStyle w:val="NormalParagraph"/>
        <w:tabs>
          <w:tab w:val="clear" w:pos="360"/>
          <w:tab w:val="num" w:pos="567"/>
        </w:tabs>
        <w:ind w:left="567" w:hanging="567"/>
      </w:pPr>
      <w:r w:rsidRPr="00344AF1">
        <w:t xml:space="preserve">Further details regarding the ACCC’s reasoning </w:t>
      </w:r>
      <w:r w:rsidR="00497C4C">
        <w:t>are</w:t>
      </w:r>
      <w:r w:rsidR="00497C4C" w:rsidRPr="00344AF1">
        <w:t xml:space="preserve"> </w:t>
      </w:r>
      <w:r w:rsidRPr="00344AF1">
        <w:t xml:space="preserve">provided below. </w:t>
      </w:r>
    </w:p>
    <w:p w:rsidR="00AF1C87" w:rsidRPr="00736B68" w:rsidRDefault="00AF1C87" w:rsidP="006A7FE8">
      <w:pPr>
        <w:pStyle w:val="Heading3"/>
      </w:pPr>
      <w:r w:rsidRPr="00736B68">
        <w:t>The parties</w:t>
      </w:r>
    </w:p>
    <w:p w:rsidR="00AF1C87" w:rsidRPr="00736B68" w:rsidRDefault="00AF1C87" w:rsidP="002F3F31">
      <w:pPr>
        <w:pStyle w:val="Heading4"/>
      </w:pPr>
      <w:r w:rsidRPr="00736B68">
        <w:t>The acquirer:</w:t>
      </w:r>
      <w:bookmarkStart w:id="5" w:name="Acquirer3"/>
      <w:bookmarkEnd w:id="5"/>
      <w:r w:rsidR="0037121A" w:rsidRPr="00736B68">
        <w:t xml:space="preserve"> TPG</w:t>
      </w:r>
    </w:p>
    <w:p w:rsidR="00DA1EC8" w:rsidRPr="00736B68" w:rsidRDefault="00DA1EC8" w:rsidP="00DA1EC8">
      <w:pPr>
        <w:pStyle w:val="NormalParagraph"/>
        <w:tabs>
          <w:tab w:val="clear" w:pos="360"/>
          <w:tab w:val="num" w:pos="567"/>
        </w:tabs>
        <w:ind w:left="567" w:hanging="567"/>
      </w:pPr>
      <w:r w:rsidRPr="00736B68">
        <w:t>TPG is a supplier of telecommunications services, including:</w:t>
      </w:r>
    </w:p>
    <w:p w:rsidR="00A64349" w:rsidRPr="00736B68" w:rsidRDefault="00DA1EC8" w:rsidP="00A64349">
      <w:pPr>
        <w:pStyle w:val="ListParagraph"/>
        <w:numPr>
          <w:ilvl w:val="0"/>
          <w:numId w:val="6"/>
        </w:numPr>
      </w:pPr>
      <w:r w:rsidRPr="00736B68">
        <w:t>fixed and mobile broad</w:t>
      </w:r>
      <w:r w:rsidR="00A64349" w:rsidRPr="00736B68">
        <w:t xml:space="preserve">band services, using its own and other </w:t>
      </w:r>
      <w:r w:rsidR="00EF1F27">
        <w:t>parties’ infrastructure</w:t>
      </w:r>
      <w:r w:rsidR="00A64349" w:rsidRPr="00736B68">
        <w:t xml:space="preserve">, including </w:t>
      </w:r>
      <w:r w:rsidR="00A64349" w:rsidRPr="00736B68">
        <w:rPr>
          <w:lang w:val="en"/>
        </w:rPr>
        <w:t>asymmetric digital subscriber line</w:t>
      </w:r>
      <w:r w:rsidR="00A64349" w:rsidRPr="00736B68">
        <w:t xml:space="preserve"> 2+ (</w:t>
      </w:r>
      <w:r w:rsidR="00A64349" w:rsidRPr="00736B68">
        <w:rPr>
          <w:b/>
        </w:rPr>
        <w:t>ADSL2+</w:t>
      </w:r>
      <w:r w:rsidR="00A64349" w:rsidRPr="00736B68">
        <w:t xml:space="preserve">), very high bit-rate </w:t>
      </w:r>
      <w:r w:rsidR="00A64349" w:rsidRPr="00736B68">
        <w:rPr>
          <w:lang w:val="en"/>
        </w:rPr>
        <w:t>digital subscriber line</w:t>
      </w:r>
      <w:r w:rsidR="00A64349" w:rsidRPr="00736B68">
        <w:t xml:space="preserve"> 2 (</w:t>
      </w:r>
      <w:r w:rsidR="00A64349" w:rsidRPr="00736B68">
        <w:rPr>
          <w:b/>
        </w:rPr>
        <w:t>VDSL2</w:t>
      </w:r>
      <w:r w:rsidR="00A64349" w:rsidRPr="00736B68">
        <w:t>) and fibre</w:t>
      </w:r>
    </w:p>
    <w:p w:rsidR="00DA1EC8" w:rsidRPr="00736B68" w:rsidRDefault="00DA1EC8" w:rsidP="00DA1EC8">
      <w:pPr>
        <w:pStyle w:val="ListParagraph"/>
        <w:numPr>
          <w:ilvl w:val="0"/>
          <w:numId w:val="6"/>
        </w:numPr>
      </w:pPr>
      <w:r w:rsidRPr="00736B68">
        <w:t>voice services, including fixed line, voice over internet protocol (</w:t>
      </w:r>
      <w:r w:rsidRPr="00736B68">
        <w:rPr>
          <w:b/>
        </w:rPr>
        <w:t>VOIP</w:t>
      </w:r>
      <w:r w:rsidRPr="00736B68">
        <w:t>) and subscriber identity module (</w:t>
      </w:r>
      <w:r w:rsidRPr="00736B68">
        <w:rPr>
          <w:b/>
        </w:rPr>
        <w:t>SIM</w:t>
      </w:r>
      <w:r w:rsidRPr="00736B68">
        <w:t>) only mobile plans</w:t>
      </w:r>
    </w:p>
    <w:p w:rsidR="00DA1EC8" w:rsidRPr="00736B68" w:rsidRDefault="00DA1EC8" w:rsidP="00DA1EC8">
      <w:pPr>
        <w:pStyle w:val="ListParagraph"/>
        <w:numPr>
          <w:ilvl w:val="0"/>
          <w:numId w:val="6"/>
        </w:numPr>
      </w:pPr>
      <w:r w:rsidRPr="00736B68">
        <w:t>subscription television services supplied over the internet</w:t>
      </w:r>
    </w:p>
    <w:p w:rsidR="00DA1EC8" w:rsidRPr="00736B68" w:rsidRDefault="00DA1EC8" w:rsidP="00DA1EC8">
      <w:pPr>
        <w:pStyle w:val="ListParagraph"/>
        <w:numPr>
          <w:ilvl w:val="0"/>
          <w:numId w:val="6"/>
        </w:numPr>
      </w:pPr>
      <w:r w:rsidRPr="00736B68">
        <w:t>combinations of the above as part of bundled packages</w:t>
      </w:r>
    </w:p>
    <w:p w:rsidR="00DA1EC8" w:rsidRPr="00736B68" w:rsidRDefault="00DA1EC8" w:rsidP="00DA1EC8">
      <w:pPr>
        <w:pStyle w:val="ListParagraph"/>
        <w:numPr>
          <w:ilvl w:val="0"/>
          <w:numId w:val="6"/>
        </w:numPr>
      </w:pPr>
      <w:r w:rsidRPr="00736B68">
        <w:t>wholesale transmission services.</w:t>
      </w:r>
    </w:p>
    <w:p w:rsidR="00F8697C" w:rsidRPr="00736B68" w:rsidRDefault="00DA1EC8" w:rsidP="00F8697C">
      <w:pPr>
        <w:pStyle w:val="NormalParagraph"/>
        <w:tabs>
          <w:tab w:val="clear" w:pos="360"/>
          <w:tab w:val="num" w:pos="567"/>
        </w:tabs>
        <w:ind w:left="567" w:hanging="567"/>
      </w:pPr>
      <w:r w:rsidRPr="00736B68">
        <w:t>TPG supplies telecommunications services to residential, business and government customers. TPG, through its subsidiaries, also provides wholesale transmission services to other telecommunications service providers.</w:t>
      </w:r>
      <w:r w:rsidR="00F8697C" w:rsidRPr="00736B68">
        <w:t xml:space="preserve"> Its</w:t>
      </w:r>
      <w:r w:rsidRPr="00736B68">
        <w:t xml:space="preserve"> subsidiaries with substantial wholesale </w:t>
      </w:r>
      <w:r w:rsidR="00F8697C" w:rsidRPr="00736B68">
        <w:t xml:space="preserve">transmission networks are </w:t>
      </w:r>
      <w:r w:rsidRPr="00736B68">
        <w:t xml:space="preserve">AAPT and Pipe Networks. </w:t>
      </w:r>
    </w:p>
    <w:p w:rsidR="004D379B" w:rsidRPr="00736B68" w:rsidRDefault="00DA1EC8" w:rsidP="004D379B">
      <w:pPr>
        <w:pStyle w:val="NormalParagraph"/>
        <w:tabs>
          <w:tab w:val="clear" w:pos="360"/>
          <w:tab w:val="num" w:pos="567"/>
        </w:tabs>
        <w:ind w:left="567" w:hanging="567"/>
      </w:pPr>
      <w:r w:rsidRPr="00736B68">
        <w:t xml:space="preserve">TPG’s </w:t>
      </w:r>
      <w:r w:rsidR="00EF1F27">
        <w:t xml:space="preserve">retail </w:t>
      </w:r>
      <w:r w:rsidRPr="00736B68">
        <w:t>brands include Soul, Chariot and TPG.</w:t>
      </w:r>
      <w:r w:rsidR="004D379B">
        <w:t xml:space="preserve"> TPG</w:t>
      </w:r>
      <w:r w:rsidR="004D379B" w:rsidRPr="00736B68">
        <w:t xml:space="preserve"> is estimated to be the </w:t>
      </w:r>
      <w:r w:rsidR="004D379B">
        <w:t>fourth</w:t>
      </w:r>
      <w:r w:rsidR="004D379B" w:rsidRPr="00736B68">
        <w:t xml:space="preserve"> largest supplier of retail fixed broadband </w:t>
      </w:r>
      <w:r w:rsidR="00CD6F7F">
        <w:t xml:space="preserve">services </w:t>
      </w:r>
      <w:r w:rsidR="004D379B" w:rsidRPr="00736B68">
        <w:t>by number of subscribers in Australia.</w:t>
      </w:r>
    </w:p>
    <w:p w:rsidR="00F8697C" w:rsidRPr="00736B68" w:rsidRDefault="001C4506" w:rsidP="004D379B">
      <w:pPr>
        <w:pStyle w:val="NormalParagraph"/>
        <w:tabs>
          <w:tab w:val="clear" w:pos="360"/>
          <w:tab w:val="num" w:pos="567"/>
        </w:tabs>
        <w:ind w:left="567" w:hanging="567"/>
      </w:pPr>
      <w:r w:rsidRPr="00736B68">
        <w:t>Immediately before</w:t>
      </w:r>
      <w:r w:rsidR="00F8697C" w:rsidRPr="00736B68">
        <w:t xml:space="preserve"> the</w:t>
      </w:r>
      <w:r w:rsidR="0078256D">
        <w:t xml:space="preserve"> proposed</w:t>
      </w:r>
      <w:r w:rsidR="00F8697C" w:rsidRPr="00736B68">
        <w:t xml:space="preserve"> acquisition, TPG owned 6.25 per cent of</w:t>
      </w:r>
      <w:r w:rsidR="0078256D">
        <w:t xml:space="preserve"> the shares in</w:t>
      </w:r>
      <w:r w:rsidR="00F8697C" w:rsidRPr="00736B68">
        <w:t xml:space="preserve"> iiNet.</w:t>
      </w:r>
      <w:r w:rsidR="004D379B">
        <w:t xml:space="preserve"> </w:t>
      </w:r>
      <w:r w:rsidR="00F8697C" w:rsidRPr="00736B68">
        <w:t>TPG is listed on the Australian Securities Exchange (ASX:TPM).</w:t>
      </w:r>
    </w:p>
    <w:p w:rsidR="00AF1C87" w:rsidRPr="00736B68" w:rsidRDefault="00AF1C87" w:rsidP="006A7FE8">
      <w:pPr>
        <w:pStyle w:val="Heading4"/>
      </w:pPr>
      <w:r w:rsidRPr="00736B68">
        <w:lastRenderedPageBreak/>
        <w:t xml:space="preserve">The target: </w:t>
      </w:r>
      <w:bookmarkStart w:id="6" w:name="Target3"/>
      <w:bookmarkEnd w:id="6"/>
      <w:r w:rsidR="0037121A" w:rsidRPr="00736B68">
        <w:t>iiNet</w:t>
      </w:r>
    </w:p>
    <w:p w:rsidR="00A64349" w:rsidRPr="00736B68" w:rsidRDefault="00A64349" w:rsidP="00C41C21">
      <w:pPr>
        <w:pStyle w:val="NormalParagraph"/>
        <w:keepNext/>
        <w:tabs>
          <w:tab w:val="clear" w:pos="360"/>
          <w:tab w:val="num" w:pos="567"/>
        </w:tabs>
        <w:ind w:left="567" w:hanging="567"/>
      </w:pPr>
      <w:r w:rsidRPr="00736B68">
        <w:t xml:space="preserve">iiNet </w:t>
      </w:r>
      <w:r w:rsidR="0078256D">
        <w:t>supplies</w:t>
      </w:r>
      <w:r w:rsidRPr="00736B68">
        <w:t xml:space="preserve"> telecommunications services, including:</w:t>
      </w:r>
    </w:p>
    <w:p w:rsidR="00A64349" w:rsidRPr="00736B68" w:rsidRDefault="00A64349" w:rsidP="00C41C21">
      <w:pPr>
        <w:pStyle w:val="ListParagraph"/>
        <w:numPr>
          <w:ilvl w:val="0"/>
          <w:numId w:val="6"/>
        </w:numPr>
      </w:pPr>
      <w:r w:rsidRPr="00736B68">
        <w:t xml:space="preserve">broadband services (both fixed and mobile) using its own and other </w:t>
      </w:r>
      <w:r w:rsidR="00EF1F27">
        <w:t>parties’ infrastructure</w:t>
      </w:r>
      <w:r w:rsidR="00F8697C" w:rsidRPr="00736B68">
        <w:t xml:space="preserve">, </w:t>
      </w:r>
      <w:r w:rsidRPr="00736B68">
        <w:t>includ</w:t>
      </w:r>
      <w:r w:rsidR="00F8697C" w:rsidRPr="00736B68">
        <w:t>ing</w:t>
      </w:r>
      <w:r w:rsidRPr="00736B68">
        <w:t xml:space="preserve"> ADSL2+, VDSL2, hybrid fibre coaxial (</w:t>
      </w:r>
      <w:r w:rsidRPr="00736B68">
        <w:rPr>
          <w:b/>
        </w:rPr>
        <w:t>HFC</w:t>
      </w:r>
      <w:r w:rsidRPr="00736B68">
        <w:t>) cable and fibre</w:t>
      </w:r>
    </w:p>
    <w:p w:rsidR="00A64349" w:rsidRPr="00736B68" w:rsidRDefault="00A64349" w:rsidP="00C41C21">
      <w:pPr>
        <w:pStyle w:val="ListParagraph"/>
        <w:numPr>
          <w:ilvl w:val="0"/>
          <w:numId w:val="6"/>
        </w:numPr>
      </w:pPr>
      <w:r w:rsidRPr="00736B68">
        <w:t>voice services, including fixed line, VOIP and SIM only mobile plans</w:t>
      </w:r>
    </w:p>
    <w:p w:rsidR="00A64349" w:rsidRPr="00736B68" w:rsidRDefault="00A64349" w:rsidP="00C41C21">
      <w:pPr>
        <w:pStyle w:val="ListParagraph"/>
        <w:numPr>
          <w:ilvl w:val="0"/>
          <w:numId w:val="6"/>
        </w:numPr>
      </w:pPr>
      <w:r w:rsidRPr="00736B68">
        <w:t>subscription television services supplied over the internet</w:t>
      </w:r>
    </w:p>
    <w:p w:rsidR="00F87AB1" w:rsidRPr="00736B68" w:rsidRDefault="00A64349" w:rsidP="00C41C21">
      <w:pPr>
        <w:pStyle w:val="ListParagraph"/>
        <w:numPr>
          <w:ilvl w:val="0"/>
          <w:numId w:val="6"/>
        </w:numPr>
      </w:pPr>
      <w:r w:rsidRPr="00736B68">
        <w:t>combinations of the above as part of bundled packages</w:t>
      </w:r>
    </w:p>
    <w:p w:rsidR="00A64349" w:rsidRPr="00736B68" w:rsidRDefault="00A64349" w:rsidP="00C41C21">
      <w:pPr>
        <w:pStyle w:val="ListParagraph"/>
        <w:numPr>
          <w:ilvl w:val="0"/>
          <w:numId w:val="6"/>
        </w:numPr>
      </w:pPr>
      <w:r w:rsidRPr="00736B68">
        <w:t>some wholesale transmission services, but to a much lesser extent than TPG.</w:t>
      </w:r>
    </w:p>
    <w:p w:rsidR="00A64349" w:rsidRPr="00736B68" w:rsidRDefault="00A64349" w:rsidP="00696C01">
      <w:pPr>
        <w:pStyle w:val="NormalParagraph"/>
        <w:tabs>
          <w:tab w:val="clear" w:pos="360"/>
          <w:tab w:val="num" w:pos="567"/>
        </w:tabs>
        <w:ind w:left="567" w:hanging="567"/>
      </w:pPr>
      <w:r w:rsidRPr="00736B68">
        <w:t>iiNet services a range of customers, including residential, business and government customers.</w:t>
      </w:r>
      <w:r w:rsidR="00696C01">
        <w:t xml:space="preserve"> </w:t>
      </w:r>
      <w:proofErr w:type="spellStart"/>
      <w:proofErr w:type="gramStart"/>
      <w:r w:rsidR="00F8697C" w:rsidRPr="00736B68">
        <w:t>iiNet</w:t>
      </w:r>
      <w:r w:rsidR="00752F1D">
        <w:t>’s</w:t>
      </w:r>
      <w:proofErr w:type="spellEnd"/>
      <w:proofErr w:type="gramEnd"/>
      <w:r w:rsidR="00F8697C" w:rsidRPr="00736B68">
        <w:t xml:space="preserve"> </w:t>
      </w:r>
      <w:r w:rsidR="00752F1D">
        <w:t>retail</w:t>
      </w:r>
      <w:r w:rsidR="00850C22" w:rsidRPr="00736B68">
        <w:t xml:space="preserve"> brands include</w:t>
      </w:r>
      <w:r w:rsidR="00F8697C" w:rsidRPr="00736B68">
        <w:t xml:space="preserve"> Adam Internet, Westnet</w:t>
      </w:r>
      <w:r w:rsidR="00850C22" w:rsidRPr="00736B68">
        <w:t>,</w:t>
      </w:r>
      <w:r w:rsidR="00F8697C" w:rsidRPr="00736B68">
        <w:t xml:space="preserve"> Internode</w:t>
      </w:r>
      <w:r w:rsidR="00850C22" w:rsidRPr="00736B68">
        <w:t xml:space="preserve"> and TransACT</w:t>
      </w:r>
      <w:r w:rsidR="00F8697C" w:rsidRPr="00736B68">
        <w:t>.</w:t>
      </w:r>
    </w:p>
    <w:p w:rsidR="00696C01" w:rsidRDefault="00696C01" w:rsidP="00A64349">
      <w:pPr>
        <w:pStyle w:val="NormalParagraph"/>
        <w:tabs>
          <w:tab w:val="clear" w:pos="360"/>
          <w:tab w:val="num" w:pos="567"/>
        </w:tabs>
        <w:ind w:left="567" w:hanging="567"/>
      </w:pPr>
      <w:r>
        <w:t>iiNet</w:t>
      </w:r>
      <w:r w:rsidRPr="00736B68">
        <w:t xml:space="preserve"> is estimated to be the </w:t>
      </w:r>
      <w:r>
        <w:t>second</w:t>
      </w:r>
      <w:r w:rsidRPr="00736B68">
        <w:t xml:space="preserve"> largest supplier of retail fixed broadband </w:t>
      </w:r>
      <w:r w:rsidR="00CD6F7F">
        <w:t xml:space="preserve">services </w:t>
      </w:r>
      <w:r w:rsidRPr="00736B68">
        <w:t>by number of subscribers in Australia.</w:t>
      </w:r>
    </w:p>
    <w:p w:rsidR="00696C01" w:rsidRPr="00736B68" w:rsidRDefault="00696C01" w:rsidP="00696C01">
      <w:pPr>
        <w:pStyle w:val="NormalParagraph"/>
        <w:tabs>
          <w:tab w:val="clear" w:pos="360"/>
          <w:tab w:val="num" w:pos="567"/>
        </w:tabs>
        <w:ind w:left="567" w:hanging="567"/>
      </w:pPr>
      <w:r w:rsidRPr="00736B68">
        <w:t xml:space="preserve">iiNet is listed on the Australian Securities Exchange (ASX:IIN). </w:t>
      </w:r>
    </w:p>
    <w:p w:rsidR="00AF1C87" w:rsidRPr="00736B68" w:rsidRDefault="00AF1C87" w:rsidP="00A65E17">
      <w:pPr>
        <w:pStyle w:val="Heading3"/>
      </w:pPr>
      <w:r w:rsidRPr="00736B68">
        <w:t>Other industry participants</w:t>
      </w:r>
    </w:p>
    <w:p w:rsidR="006A652B" w:rsidRPr="00736B68" w:rsidRDefault="00F8697C" w:rsidP="00A65E17">
      <w:pPr>
        <w:pStyle w:val="Heading4"/>
      </w:pPr>
      <w:r w:rsidRPr="00736B68">
        <w:t>Telstra</w:t>
      </w:r>
    </w:p>
    <w:p w:rsidR="00F8697C" w:rsidRPr="00736B68" w:rsidRDefault="00F8697C" w:rsidP="00F8697C">
      <w:pPr>
        <w:pStyle w:val="NormalParagraph"/>
        <w:tabs>
          <w:tab w:val="clear" w:pos="360"/>
          <w:tab w:val="num" w:pos="567"/>
        </w:tabs>
        <w:ind w:left="567" w:hanging="567"/>
      </w:pPr>
      <w:r w:rsidRPr="00736B68">
        <w:t xml:space="preserve">Telstra </w:t>
      </w:r>
      <w:r w:rsidR="00DF05A1" w:rsidRPr="00736B68">
        <w:t>Corporation Limited (</w:t>
      </w:r>
      <w:r w:rsidR="00DF05A1" w:rsidRPr="00736B68">
        <w:rPr>
          <w:b/>
        </w:rPr>
        <w:t>Telstra</w:t>
      </w:r>
      <w:r w:rsidR="00DF05A1" w:rsidRPr="00736B68">
        <w:t xml:space="preserve">) </w:t>
      </w:r>
      <w:r w:rsidRPr="00736B68">
        <w:t xml:space="preserve">is the major wholesale and retail supplier of telecommunications services in Australia, including fixed broadband services. Telstra owns the near ubiquitous copper network used by retail service providers to supply fixed line telecommunication services. It also owns HFC networks in capital cities, a national mobile telecommunications network and 50 per cent of subscription television provider Foxtel. Telstra is the largest supplier of retail fixed broadband </w:t>
      </w:r>
      <w:r w:rsidR="00CD6F7F">
        <w:t xml:space="preserve">services </w:t>
      </w:r>
      <w:r w:rsidRPr="00736B68">
        <w:t>by number of subscribers in Australia.</w:t>
      </w:r>
    </w:p>
    <w:p w:rsidR="002F3F31" w:rsidRPr="00736B68" w:rsidRDefault="00F8697C" w:rsidP="00A65E17">
      <w:pPr>
        <w:pStyle w:val="Heading4"/>
      </w:pPr>
      <w:r w:rsidRPr="00736B68">
        <w:t>Optus</w:t>
      </w:r>
    </w:p>
    <w:p w:rsidR="00F8697C" w:rsidRPr="00736B68" w:rsidRDefault="00F8697C" w:rsidP="00F8697C">
      <w:pPr>
        <w:pStyle w:val="NormalParagraph"/>
        <w:tabs>
          <w:tab w:val="clear" w:pos="360"/>
          <w:tab w:val="num" w:pos="567"/>
        </w:tabs>
        <w:ind w:left="567" w:hanging="567"/>
      </w:pPr>
      <w:r w:rsidRPr="00736B68">
        <w:t xml:space="preserve">Owned by the Singtel Group, </w:t>
      </w:r>
      <w:r w:rsidR="00006802" w:rsidRPr="00736B68">
        <w:t xml:space="preserve">Singtel </w:t>
      </w:r>
      <w:r w:rsidRPr="00736B68">
        <w:t xml:space="preserve">Optus </w:t>
      </w:r>
      <w:r w:rsidR="00006802" w:rsidRPr="00736B68">
        <w:t>Pty Ltd</w:t>
      </w:r>
      <w:r w:rsidR="00006802" w:rsidRPr="00736B68">
        <w:rPr>
          <w:b/>
        </w:rPr>
        <w:t xml:space="preserve"> </w:t>
      </w:r>
      <w:r w:rsidR="00006802" w:rsidRPr="00736B68">
        <w:t>(</w:t>
      </w:r>
      <w:r w:rsidR="00006802" w:rsidRPr="00736B68">
        <w:rPr>
          <w:b/>
        </w:rPr>
        <w:t>Optus</w:t>
      </w:r>
      <w:r w:rsidR="00006802" w:rsidRPr="00736B68">
        <w:t xml:space="preserve">) </w:t>
      </w:r>
      <w:r w:rsidRPr="00736B68">
        <w:t xml:space="preserve">is a national </w:t>
      </w:r>
      <w:r w:rsidR="00CD6F7F">
        <w:t>supplier</w:t>
      </w:r>
      <w:r w:rsidR="00CD6F7F" w:rsidRPr="00736B68">
        <w:t xml:space="preserve"> </w:t>
      </w:r>
      <w:r w:rsidRPr="00736B68">
        <w:t xml:space="preserve">of wholesale and retail telecommunications services, including broadband services (fixed and mobile) and voice services (fixed and mobile). It owns a national mobile telecommunications network and HFC networks in Brisbane, Sydney and Melbourne. It also </w:t>
      </w:r>
      <w:r w:rsidR="0078256D">
        <w:t>supplies</w:t>
      </w:r>
      <w:r w:rsidR="0078256D" w:rsidRPr="00736B68">
        <w:t xml:space="preserve"> </w:t>
      </w:r>
      <w:r w:rsidRPr="00736B68">
        <w:t xml:space="preserve">wholesale transmission services. Optus is estimated to be the third largest supplier of retail fixed broadband </w:t>
      </w:r>
      <w:r w:rsidR="00CD6F7F">
        <w:t>service</w:t>
      </w:r>
      <w:r w:rsidR="00CD3843">
        <w:t>s</w:t>
      </w:r>
      <w:r w:rsidR="00CD6F7F">
        <w:t xml:space="preserve"> </w:t>
      </w:r>
      <w:r w:rsidRPr="00736B68">
        <w:t>by number of subscribers in Australia.</w:t>
      </w:r>
    </w:p>
    <w:p w:rsidR="00C93697" w:rsidRPr="00736B68" w:rsidRDefault="00DF05A1" w:rsidP="00A65E17">
      <w:pPr>
        <w:pStyle w:val="Heading4"/>
      </w:pPr>
      <w:r w:rsidRPr="00736B68">
        <w:t>M2 Telecommunications Group</w:t>
      </w:r>
    </w:p>
    <w:p w:rsidR="00DF05A1" w:rsidRPr="00736B68" w:rsidRDefault="00DF05A1" w:rsidP="00DF05A1">
      <w:pPr>
        <w:pStyle w:val="NormalParagraph"/>
        <w:tabs>
          <w:tab w:val="clear" w:pos="360"/>
          <w:tab w:val="num" w:pos="567"/>
        </w:tabs>
        <w:ind w:left="567" w:hanging="567"/>
      </w:pPr>
      <w:r w:rsidRPr="00736B68">
        <w:t>M2 Telecommunications Group (</w:t>
      </w:r>
      <w:r w:rsidRPr="00736B68">
        <w:rPr>
          <w:b/>
        </w:rPr>
        <w:t>M2</w:t>
      </w:r>
      <w:r w:rsidRPr="00736B68">
        <w:t xml:space="preserve">) is a national provider of retail and wholesale telecommunication services, including fixed broadband services. It operates through a number of subsidiaries. M2’s brands include Dodo, Eftel, iPrimus and Commander. M2 is the fifth largest supplier of retail fixed broadband </w:t>
      </w:r>
      <w:r w:rsidR="00CD6F7F">
        <w:t xml:space="preserve">services </w:t>
      </w:r>
      <w:r w:rsidRPr="00736B68">
        <w:t>by number of subscribers in Australia.</w:t>
      </w:r>
    </w:p>
    <w:p w:rsidR="00DF05A1" w:rsidRPr="00736B68" w:rsidRDefault="00DF05A1" w:rsidP="00A65E17">
      <w:pPr>
        <w:pStyle w:val="Heading4"/>
      </w:pPr>
      <w:r w:rsidRPr="00736B68">
        <w:lastRenderedPageBreak/>
        <w:t>Nextgen</w:t>
      </w:r>
    </w:p>
    <w:p w:rsidR="00DF05A1" w:rsidRPr="00736B68" w:rsidRDefault="00DF05A1" w:rsidP="00DF05A1">
      <w:pPr>
        <w:pStyle w:val="NormalParagraph"/>
        <w:tabs>
          <w:tab w:val="clear" w:pos="360"/>
          <w:tab w:val="num" w:pos="567"/>
        </w:tabs>
        <w:ind w:left="567" w:hanging="567"/>
      </w:pPr>
      <w:r w:rsidRPr="00736B68">
        <w:t xml:space="preserve">Nextgen is a national telecommunications carrier which specialises in the </w:t>
      </w:r>
      <w:r w:rsidR="0078256D">
        <w:t>supply</w:t>
      </w:r>
      <w:r w:rsidR="0078256D" w:rsidRPr="00736B68">
        <w:t xml:space="preserve"> </w:t>
      </w:r>
      <w:r w:rsidRPr="00736B68">
        <w:t>of wholesale transmission services. It is one of the four major providers of wholesale transmission services, along with Telstra, Optus and TPG.</w:t>
      </w:r>
    </w:p>
    <w:p w:rsidR="00AB2906" w:rsidRPr="00736B68" w:rsidRDefault="00AB2906" w:rsidP="00A65E17">
      <w:pPr>
        <w:pStyle w:val="Heading4"/>
      </w:pPr>
      <w:r w:rsidRPr="00736B68">
        <w:t>NBN Co</w:t>
      </w:r>
    </w:p>
    <w:p w:rsidR="00AB2906" w:rsidRPr="00736B68" w:rsidRDefault="00AB2906" w:rsidP="00AB2906">
      <w:pPr>
        <w:pStyle w:val="NormalParagraph"/>
        <w:tabs>
          <w:tab w:val="clear" w:pos="360"/>
          <w:tab w:val="num" w:pos="567"/>
        </w:tabs>
        <w:ind w:left="567" w:hanging="567"/>
      </w:pPr>
      <w:r w:rsidRPr="00736B68">
        <w:t>On 7 April 2009, the Australian Government announced it</w:t>
      </w:r>
      <w:r w:rsidR="00CD6F7F">
        <w:t>s</w:t>
      </w:r>
      <w:r w:rsidRPr="00736B68">
        <w:t xml:space="preserve"> </w:t>
      </w:r>
      <w:r w:rsidR="00CD6F7F" w:rsidRPr="00736B68">
        <w:t>inten</w:t>
      </w:r>
      <w:r w:rsidR="00CD6F7F">
        <w:t xml:space="preserve">tion </w:t>
      </w:r>
      <w:r w:rsidRPr="00736B68">
        <w:t>to establish the National Broadband Network Corporation Ltd (</w:t>
      </w:r>
      <w:r w:rsidRPr="00736B68">
        <w:rPr>
          <w:b/>
        </w:rPr>
        <w:t>NBN Co</w:t>
      </w:r>
      <w:r w:rsidRPr="00736B68">
        <w:t>) to build and operate a wholesale</w:t>
      </w:r>
      <w:r w:rsidR="003202FC">
        <w:noBreakHyphen/>
      </w:r>
      <w:r w:rsidRPr="00736B68">
        <w:t>only, open</w:t>
      </w:r>
      <w:r w:rsidR="003202FC">
        <w:noBreakHyphen/>
      </w:r>
      <w:r w:rsidRPr="00736B68">
        <w:t>access national broadband network (</w:t>
      </w:r>
      <w:r w:rsidRPr="00736B68">
        <w:rPr>
          <w:b/>
        </w:rPr>
        <w:t>NBN</w:t>
      </w:r>
      <w:r w:rsidRPr="00736B68">
        <w:t xml:space="preserve">). </w:t>
      </w:r>
    </w:p>
    <w:p w:rsidR="00AB2906" w:rsidRPr="00736B68" w:rsidRDefault="00AB2906" w:rsidP="00AB2906">
      <w:pPr>
        <w:pStyle w:val="NormalParagraph"/>
        <w:tabs>
          <w:tab w:val="clear" w:pos="360"/>
          <w:tab w:val="num" w:pos="567"/>
        </w:tabs>
        <w:ind w:left="567" w:hanging="567"/>
      </w:pPr>
      <w:r w:rsidRPr="00736B68">
        <w:t>The Australian Government</w:t>
      </w:r>
      <w:r w:rsidR="00497C4C">
        <w:t>’s</w:t>
      </w:r>
      <w:r w:rsidRPr="00736B68">
        <w:t xml:space="preserve"> objective </w:t>
      </w:r>
      <w:r w:rsidR="00752F1D">
        <w:t xml:space="preserve">since 2014 </w:t>
      </w:r>
      <w:r w:rsidRPr="00736B68">
        <w:t xml:space="preserve">is for NBN Co to </w:t>
      </w:r>
      <w:r w:rsidR="003202FC">
        <w:t>deploy</w:t>
      </w:r>
      <w:r w:rsidRPr="00736B68">
        <w:t xml:space="preserve"> the NBN network using a mix of fibre-to-the-premises, fibre-to-the-node, fibre-to-the-basement, HFC, wireless and satellite. The choice of technology will be made on </w:t>
      </w:r>
      <w:r w:rsidRPr="00736B68">
        <w:rPr>
          <w:lang w:val="en-US"/>
        </w:rPr>
        <w:t>an area-by-area basis.</w:t>
      </w:r>
    </w:p>
    <w:p w:rsidR="00AB2906" w:rsidRPr="00736B68" w:rsidRDefault="00AB2906" w:rsidP="00A65E17">
      <w:pPr>
        <w:pStyle w:val="Heading4"/>
      </w:pPr>
      <w:r w:rsidRPr="00736B68">
        <w:t>Other retail service providers</w:t>
      </w:r>
    </w:p>
    <w:p w:rsidR="00AB2906" w:rsidRPr="00736B68" w:rsidRDefault="0078256D" w:rsidP="00AB2906">
      <w:pPr>
        <w:pStyle w:val="NormalParagraph"/>
        <w:tabs>
          <w:tab w:val="clear" w:pos="360"/>
          <w:tab w:val="num" w:pos="567"/>
        </w:tabs>
        <w:ind w:left="567" w:hanging="567"/>
      </w:pPr>
      <w:r>
        <w:t>There are also a</w:t>
      </w:r>
      <w:r w:rsidRPr="00736B68">
        <w:t xml:space="preserve"> </w:t>
      </w:r>
      <w:r w:rsidR="00AB2906" w:rsidRPr="00736B68">
        <w:t>number of smaller retail service providers</w:t>
      </w:r>
      <w:r>
        <w:t>, which</w:t>
      </w:r>
      <w:r w:rsidR="00AB2906" w:rsidRPr="00736B68">
        <w:t xml:space="preserve"> generally operate </w:t>
      </w:r>
      <w:r>
        <w:t>by</w:t>
      </w:r>
      <w:r w:rsidRPr="00736B68">
        <w:t xml:space="preserve"> </w:t>
      </w:r>
      <w:r w:rsidR="00AB2906" w:rsidRPr="00736B68">
        <w:t>reselling services from wholesale service providers.</w:t>
      </w:r>
      <w:r w:rsidR="007661F8">
        <w:t xml:space="preserve"> These include Exetel, AusBBS and SkyMesh.</w:t>
      </w:r>
    </w:p>
    <w:p w:rsidR="00B03ABD" w:rsidRPr="00736B68" w:rsidRDefault="00B03ABD" w:rsidP="00B03ABD">
      <w:pPr>
        <w:pStyle w:val="Heading3"/>
      </w:pPr>
      <w:r w:rsidRPr="00736B68">
        <w:t>The proposed acquisition</w:t>
      </w:r>
    </w:p>
    <w:p w:rsidR="00B03ABD" w:rsidRPr="00736B68" w:rsidRDefault="00B03ABD" w:rsidP="00B03ABD">
      <w:pPr>
        <w:pStyle w:val="NormalParagraph"/>
        <w:tabs>
          <w:tab w:val="clear" w:pos="360"/>
          <w:tab w:val="num" w:pos="567"/>
        </w:tabs>
        <w:ind w:left="567" w:hanging="567"/>
      </w:pPr>
      <w:r w:rsidRPr="00736B68">
        <w:t>TPG propose</w:t>
      </w:r>
      <w:r w:rsidR="00AC061F">
        <w:t>s</w:t>
      </w:r>
      <w:r w:rsidRPr="00736B68">
        <w:t xml:space="preserve"> to acquire</w:t>
      </w:r>
      <w:r w:rsidR="008C2CCF" w:rsidRPr="00736B68">
        <w:t>, by scheme of arrangement,</w:t>
      </w:r>
      <w:r w:rsidRPr="00736B68">
        <w:t xml:space="preserve"> 100 per cent of the fully-diluted share capital in iiNet that </w:t>
      </w:r>
      <w:r w:rsidR="008C2CCF" w:rsidRPr="00736B68">
        <w:t xml:space="preserve">it did </w:t>
      </w:r>
      <w:r w:rsidRPr="00736B68">
        <w:t>not already own</w:t>
      </w:r>
      <w:r w:rsidR="008C2CCF" w:rsidRPr="00736B68">
        <w:t xml:space="preserve">. </w:t>
      </w:r>
    </w:p>
    <w:p w:rsidR="00AF1C87" w:rsidRPr="00736B68" w:rsidRDefault="00E845AB" w:rsidP="006A7FE8">
      <w:pPr>
        <w:pStyle w:val="Heading3"/>
      </w:pPr>
      <w:r w:rsidRPr="00736B68">
        <w:t>Review timeline</w:t>
      </w:r>
    </w:p>
    <w:p w:rsidR="00AF1C87" w:rsidRPr="00736B68" w:rsidRDefault="00AF1C87" w:rsidP="00C93697">
      <w:pPr>
        <w:pStyle w:val="NormalParagraph"/>
        <w:tabs>
          <w:tab w:val="clear" w:pos="360"/>
          <w:tab w:val="num" w:pos="567"/>
        </w:tabs>
        <w:ind w:left="567" w:hanging="567"/>
      </w:pPr>
      <w:r w:rsidRPr="00736B68">
        <w:t>The following table outlines the timelin</w:t>
      </w:r>
      <w:r w:rsidR="005E537F" w:rsidRPr="00736B68">
        <w:t>e of key events in this matter.</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93"/>
        <w:gridCol w:w="6475"/>
      </w:tblGrid>
      <w:tr w:rsidR="00AF1C87" w:rsidRPr="00736B68" w:rsidTr="00694465">
        <w:trPr>
          <w:trHeight w:val="263"/>
          <w:tblHeader/>
        </w:trPr>
        <w:tc>
          <w:tcPr>
            <w:tcW w:w="2093" w:type="dxa"/>
          </w:tcPr>
          <w:p w:rsidR="00AF1C87" w:rsidRPr="00736B68" w:rsidRDefault="00AF1C87">
            <w:pPr>
              <w:rPr>
                <w:rFonts w:ascii="Arial" w:hAnsi="Arial" w:cs="Arial"/>
                <w:b/>
                <w:sz w:val="22"/>
                <w:szCs w:val="22"/>
              </w:rPr>
            </w:pPr>
            <w:r w:rsidRPr="00736B68">
              <w:rPr>
                <w:rFonts w:ascii="Arial" w:hAnsi="Arial" w:cs="Arial"/>
                <w:b/>
                <w:sz w:val="22"/>
                <w:szCs w:val="22"/>
              </w:rPr>
              <w:t>Date</w:t>
            </w:r>
          </w:p>
        </w:tc>
        <w:tc>
          <w:tcPr>
            <w:tcW w:w="6475" w:type="dxa"/>
          </w:tcPr>
          <w:p w:rsidR="00AF1C87" w:rsidRPr="00736B68" w:rsidRDefault="00AF1C87" w:rsidP="00BC3FEC">
            <w:pPr>
              <w:ind w:left="-68"/>
              <w:rPr>
                <w:rFonts w:ascii="Arial" w:hAnsi="Arial" w:cs="Arial"/>
                <w:b/>
                <w:sz w:val="22"/>
                <w:szCs w:val="22"/>
              </w:rPr>
            </w:pPr>
            <w:r w:rsidRPr="00736B68">
              <w:rPr>
                <w:rFonts w:ascii="Arial" w:hAnsi="Arial" w:cs="Arial"/>
                <w:b/>
                <w:sz w:val="22"/>
                <w:szCs w:val="22"/>
              </w:rPr>
              <w:t>Event</w:t>
            </w:r>
          </w:p>
        </w:tc>
      </w:tr>
      <w:tr w:rsidR="00AF1C87" w:rsidRPr="00736B68" w:rsidTr="00694465">
        <w:tc>
          <w:tcPr>
            <w:tcW w:w="2093" w:type="dxa"/>
          </w:tcPr>
          <w:p w:rsidR="00AF1C87" w:rsidRPr="00736B68" w:rsidRDefault="00304E3F" w:rsidP="007C5768">
            <w:pPr>
              <w:spacing w:before="120" w:after="120"/>
              <w:rPr>
                <w:rFonts w:ascii="Arial" w:hAnsi="Arial" w:cs="Arial"/>
                <w:sz w:val="22"/>
                <w:szCs w:val="22"/>
              </w:rPr>
            </w:pPr>
            <w:bookmarkStart w:id="7" w:name="EventDate"/>
            <w:bookmarkEnd w:id="7"/>
            <w:r w:rsidRPr="00736B68">
              <w:rPr>
                <w:rFonts w:ascii="Arial" w:hAnsi="Arial" w:cs="Arial"/>
                <w:sz w:val="22"/>
                <w:szCs w:val="22"/>
              </w:rPr>
              <w:t>2</w:t>
            </w:r>
            <w:r w:rsidR="002E2466" w:rsidRPr="00736B68">
              <w:rPr>
                <w:rFonts w:ascii="Arial" w:hAnsi="Arial" w:cs="Arial"/>
                <w:sz w:val="22"/>
                <w:szCs w:val="22"/>
              </w:rPr>
              <w:t xml:space="preserve"> April </w:t>
            </w:r>
            <w:r w:rsidR="00821C2D" w:rsidRPr="00736B68">
              <w:rPr>
                <w:rFonts w:ascii="Arial" w:hAnsi="Arial" w:cs="Arial"/>
                <w:sz w:val="22"/>
                <w:szCs w:val="22"/>
              </w:rPr>
              <w:t>201</w:t>
            </w:r>
            <w:r w:rsidRPr="00736B68">
              <w:rPr>
                <w:rFonts w:ascii="Arial" w:hAnsi="Arial" w:cs="Arial"/>
                <w:sz w:val="22"/>
                <w:szCs w:val="22"/>
              </w:rPr>
              <w:t>5</w:t>
            </w:r>
          </w:p>
        </w:tc>
        <w:tc>
          <w:tcPr>
            <w:tcW w:w="6475" w:type="dxa"/>
          </w:tcPr>
          <w:p w:rsidR="00AF1C87" w:rsidRPr="00736B68" w:rsidRDefault="00821C2D" w:rsidP="007C5768">
            <w:pPr>
              <w:spacing w:before="120" w:after="120"/>
              <w:rPr>
                <w:rFonts w:ascii="Arial" w:hAnsi="Arial" w:cs="Arial"/>
                <w:sz w:val="22"/>
                <w:szCs w:val="22"/>
              </w:rPr>
            </w:pPr>
            <w:bookmarkStart w:id="8" w:name="EventDescription"/>
            <w:bookmarkEnd w:id="8"/>
            <w:r w:rsidRPr="00736B68">
              <w:rPr>
                <w:rFonts w:ascii="Arial" w:hAnsi="Arial" w:cs="Arial"/>
                <w:sz w:val="22"/>
                <w:szCs w:val="22"/>
              </w:rPr>
              <w:t>ACCC commenced review under the Merger Process Guidelines.</w:t>
            </w:r>
          </w:p>
        </w:tc>
      </w:tr>
      <w:tr w:rsidR="002E2466" w:rsidRPr="00736B68" w:rsidTr="00694465">
        <w:tc>
          <w:tcPr>
            <w:tcW w:w="2093" w:type="dxa"/>
          </w:tcPr>
          <w:p w:rsidR="002E2466" w:rsidRPr="00736B68" w:rsidRDefault="00304E3F" w:rsidP="007C5768">
            <w:pPr>
              <w:spacing w:before="120" w:after="120"/>
              <w:rPr>
                <w:rFonts w:ascii="Arial" w:hAnsi="Arial" w:cs="Arial"/>
                <w:sz w:val="22"/>
                <w:szCs w:val="22"/>
              </w:rPr>
            </w:pPr>
            <w:r w:rsidRPr="00736B68">
              <w:rPr>
                <w:rFonts w:ascii="Arial" w:hAnsi="Arial" w:cs="Arial"/>
                <w:sz w:val="22"/>
                <w:szCs w:val="22"/>
              </w:rPr>
              <w:t>23</w:t>
            </w:r>
            <w:r w:rsidR="002E2466" w:rsidRPr="00736B68">
              <w:rPr>
                <w:rFonts w:ascii="Arial" w:hAnsi="Arial" w:cs="Arial"/>
                <w:sz w:val="22"/>
                <w:szCs w:val="22"/>
              </w:rPr>
              <w:t xml:space="preserve"> April 201</w:t>
            </w:r>
            <w:r w:rsidRPr="00736B68">
              <w:rPr>
                <w:rFonts w:ascii="Arial" w:hAnsi="Arial" w:cs="Arial"/>
                <w:sz w:val="22"/>
                <w:szCs w:val="22"/>
              </w:rPr>
              <w:t>5</w:t>
            </w:r>
          </w:p>
        </w:tc>
        <w:tc>
          <w:tcPr>
            <w:tcW w:w="6475" w:type="dxa"/>
          </w:tcPr>
          <w:p w:rsidR="002E2466" w:rsidRPr="00736B68" w:rsidRDefault="002E2466" w:rsidP="007C5768">
            <w:pPr>
              <w:spacing w:before="120" w:after="120"/>
              <w:rPr>
                <w:rFonts w:ascii="Arial" w:hAnsi="Arial" w:cs="Arial"/>
                <w:sz w:val="22"/>
                <w:szCs w:val="22"/>
              </w:rPr>
            </w:pPr>
            <w:r w:rsidRPr="00736B68">
              <w:rPr>
                <w:rFonts w:ascii="Arial" w:hAnsi="Arial" w:cs="Arial"/>
                <w:sz w:val="22"/>
                <w:szCs w:val="22"/>
              </w:rPr>
              <w:t>ACCC requested further information from the merger parties.</w:t>
            </w:r>
          </w:p>
        </w:tc>
      </w:tr>
      <w:tr w:rsidR="00304E3F" w:rsidRPr="00736B68" w:rsidTr="00694465">
        <w:tc>
          <w:tcPr>
            <w:tcW w:w="2093" w:type="dxa"/>
          </w:tcPr>
          <w:p w:rsidR="00304E3F" w:rsidRPr="00736B68" w:rsidRDefault="00304E3F" w:rsidP="007C5768">
            <w:pPr>
              <w:spacing w:before="120" w:after="120"/>
              <w:rPr>
                <w:rFonts w:ascii="Arial" w:hAnsi="Arial" w:cs="Arial"/>
                <w:sz w:val="22"/>
                <w:szCs w:val="22"/>
              </w:rPr>
            </w:pPr>
            <w:r w:rsidRPr="00736B68">
              <w:rPr>
                <w:rFonts w:ascii="Arial" w:hAnsi="Arial" w:cs="Arial"/>
                <w:sz w:val="22"/>
                <w:szCs w:val="22"/>
              </w:rPr>
              <w:t>30 April 2015</w:t>
            </w:r>
          </w:p>
        </w:tc>
        <w:tc>
          <w:tcPr>
            <w:tcW w:w="6475" w:type="dxa"/>
          </w:tcPr>
          <w:p w:rsidR="00304E3F" w:rsidRPr="00736B68" w:rsidRDefault="00304E3F" w:rsidP="007C5768">
            <w:pPr>
              <w:spacing w:before="120" w:after="120"/>
              <w:rPr>
                <w:rFonts w:ascii="Arial" w:hAnsi="Arial" w:cs="Arial"/>
                <w:sz w:val="22"/>
                <w:szCs w:val="22"/>
              </w:rPr>
            </w:pPr>
            <w:r w:rsidRPr="00736B68">
              <w:rPr>
                <w:rFonts w:ascii="Arial" w:hAnsi="Arial" w:cs="Arial"/>
                <w:sz w:val="22"/>
                <w:szCs w:val="22"/>
              </w:rPr>
              <w:t>Closing date for submissions from interested parties.</w:t>
            </w:r>
          </w:p>
        </w:tc>
      </w:tr>
      <w:tr w:rsidR="00B073D7" w:rsidRPr="00736B68" w:rsidTr="00694465">
        <w:tc>
          <w:tcPr>
            <w:tcW w:w="2093" w:type="dxa"/>
          </w:tcPr>
          <w:p w:rsidR="00B073D7" w:rsidRPr="00736B68" w:rsidRDefault="00304E3F" w:rsidP="007C5768">
            <w:pPr>
              <w:spacing w:before="120" w:after="120"/>
              <w:rPr>
                <w:rFonts w:ascii="Arial" w:hAnsi="Arial" w:cs="Arial"/>
                <w:sz w:val="22"/>
                <w:szCs w:val="22"/>
              </w:rPr>
            </w:pPr>
            <w:r w:rsidRPr="00736B68">
              <w:rPr>
                <w:rFonts w:ascii="Arial" w:hAnsi="Arial" w:cs="Arial"/>
                <w:sz w:val="22"/>
                <w:szCs w:val="22"/>
              </w:rPr>
              <w:t>8</w:t>
            </w:r>
            <w:r w:rsidR="00B073D7" w:rsidRPr="00736B68">
              <w:rPr>
                <w:rFonts w:ascii="Arial" w:hAnsi="Arial" w:cs="Arial"/>
                <w:sz w:val="22"/>
                <w:szCs w:val="22"/>
              </w:rPr>
              <w:t xml:space="preserve"> May 201</w:t>
            </w:r>
            <w:r w:rsidRPr="00736B68">
              <w:rPr>
                <w:rFonts w:ascii="Arial" w:hAnsi="Arial" w:cs="Arial"/>
                <w:sz w:val="22"/>
                <w:szCs w:val="22"/>
              </w:rPr>
              <w:t>5</w:t>
            </w:r>
          </w:p>
        </w:tc>
        <w:tc>
          <w:tcPr>
            <w:tcW w:w="6475" w:type="dxa"/>
          </w:tcPr>
          <w:p w:rsidR="00B073D7" w:rsidRPr="00736B68" w:rsidRDefault="00304E3F" w:rsidP="007C5768">
            <w:pPr>
              <w:spacing w:before="120" w:after="120"/>
              <w:rPr>
                <w:rFonts w:ascii="Arial" w:hAnsi="Arial" w:cs="Arial"/>
                <w:sz w:val="22"/>
                <w:szCs w:val="22"/>
              </w:rPr>
            </w:pPr>
            <w:r w:rsidRPr="00736B68">
              <w:rPr>
                <w:rFonts w:ascii="Arial" w:hAnsi="Arial" w:cs="Arial"/>
                <w:sz w:val="22"/>
                <w:szCs w:val="22"/>
              </w:rPr>
              <w:t>Former proposed decision date of 4 June 2015 delayed to give the merger parties more time to respond to the ACCC’s information request.</w:t>
            </w:r>
          </w:p>
        </w:tc>
      </w:tr>
      <w:tr w:rsidR="00304E3F" w:rsidRPr="00736B68" w:rsidTr="00694465">
        <w:tc>
          <w:tcPr>
            <w:tcW w:w="2093" w:type="dxa"/>
          </w:tcPr>
          <w:p w:rsidR="00304E3F" w:rsidRPr="00736B68" w:rsidRDefault="00304E3F" w:rsidP="009A2616">
            <w:pPr>
              <w:spacing w:before="120" w:after="120"/>
              <w:rPr>
                <w:rFonts w:ascii="Arial" w:hAnsi="Arial" w:cs="Arial"/>
                <w:sz w:val="22"/>
                <w:szCs w:val="22"/>
              </w:rPr>
            </w:pPr>
            <w:r w:rsidRPr="00736B68">
              <w:rPr>
                <w:rFonts w:ascii="Arial" w:hAnsi="Arial" w:cs="Arial"/>
                <w:sz w:val="22"/>
                <w:szCs w:val="22"/>
              </w:rPr>
              <w:t>11 May 2015</w:t>
            </w:r>
          </w:p>
        </w:tc>
        <w:tc>
          <w:tcPr>
            <w:tcW w:w="6475" w:type="dxa"/>
          </w:tcPr>
          <w:p w:rsidR="00304E3F" w:rsidRPr="00736B68" w:rsidRDefault="00304E3F" w:rsidP="009A2616">
            <w:pPr>
              <w:spacing w:before="120" w:after="120"/>
              <w:rPr>
                <w:rFonts w:ascii="Arial" w:hAnsi="Arial" w:cs="Arial"/>
                <w:sz w:val="22"/>
                <w:szCs w:val="22"/>
              </w:rPr>
            </w:pPr>
            <w:r w:rsidRPr="00736B68">
              <w:rPr>
                <w:rFonts w:ascii="Arial" w:hAnsi="Arial" w:cs="Arial"/>
                <w:sz w:val="22"/>
                <w:szCs w:val="22"/>
              </w:rPr>
              <w:t>ACCC received further information from the merger parties.</w:t>
            </w:r>
          </w:p>
        </w:tc>
      </w:tr>
      <w:tr w:rsidR="00304E3F" w:rsidRPr="00736B68" w:rsidTr="00694465">
        <w:tc>
          <w:tcPr>
            <w:tcW w:w="2093" w:type="dxa"/>
          </w:tcPr>
          <w:p w:rsidR="00304E3F" w:rsidRPr="00736B68" w:rsidRDefault="00304E3F" w:rsidP="007C5768">
            <w:pPr>
              <w:spacing w:before="120" w:after="120"/>
              <w:rPr>
                <w:rFonts w:ascii="Arial" w:hAnsi="Arial" w:cs="Arial"/>
                <w:sz w:val="22"/>
                <w:szCs w:val="22"/>
              </w:rPr>
            </w:pPr>
            <w:r w:rsidRPr="00736B68">
              <w:rPr>
                <w:rFonts w:ascii="Arial" w:hAnsi="Arial" w:cs="Arial"/>
                <w:sz w:val="22"/>
                <w:szCs w:val="22"/>
              </w:rPr>
              <w:t>11 June 2015</w:t>
            </w:r>
          </w:p>
        </w:tc>
        <w:tc>
          <w:tcPr>
            <w:tcW w:w="6475" w:type="dxa"/>
          </w:tcPr>
          <w:p w:rsidR="00304E3F" w:rsidRPr="00736B68" w:rsidRDefault="00304E3F" w:rsidP="007C5768">
            <w:pPr>
              <w:spacing w:before="120" w:after="120"/>
              <w:rPr>
                <w:rFonts w:ascii="Arial" w:hAnsi="Arial" w:cs="Arial"/>
                <w:sz w:val="22"/>
                <w:szCs w:val="22"/>
              </w:rPr>
            </w:pPr>
            <w:r w:rsidRPr="00736B68">
              <w:rPr>
                <w:rFonts w:ascii="Arial" w:hAnsi="Arial" w:cs="Arial"/>
                <w:sz w:val="22"/>
                <w:szCs w:val="22"/>
              </w:rPr>
              <w:t>ACCC published a Statement of Issues outlining preliminary competition concerns.</w:t>
            </w:r>
          </w:p>
        </w:tc>
      </w:tr>
      <w:tr w:rsidR="00304E3F" w:rsidRPr="00736B68" w:rsidTr="00694465">
        <w:tc>
          <w:tcPr>
            <w:tcW w:w="2093" w:type="dxa"/>
          </w:tcPr>
          <w:p w:rsidR="00304E3F" w:rsidRPr="00736B68" w:rsidRDefault="00304E3F" w:rsidP="0007328B">
            <w:pPr>
              <w:spacing w:before="120" w:after="120"/>
              <w:rPr>
                <w:rFonts w:ascii="Arial" w:hAnsi="Arial" w:cs="Arial"/>
                <w:sz w:val="22"/>
                <w:szCs w:val="22"/>
              </w:rPr>
            </w:pPr>
            <w:r w:rsidRPr="00736B68">
              <w:rPr>
                <w:rFonts w:ascii="Arial" w:hAnsi="Arial" w:cs="Arial"/>
                <w:sz w:val="22"/>
                <w:szCs w:val="22"/>
              </w:rPr>
              <w:t>2 July 2015</w:t>
            </w:r>
          </w:p>
        </w:tc>
        <w:tc>
          <w:tcPr>
            <w:tcW w:w="6475" w:type="dxa"/>
          </w:tcPr>
          <w:p w:rsidR="00304E3F" w:rsidRPr="00736B68" w:rsidRDefault="00304E3F" w:rsidP="0007328B">
            <w:pPr>
              <w:spacing w:before="120" w:after="120"/>
              <w:rPr>
                <w:rFonts w:ascii="Arial" w:hAnsi="Arial" w:cs="Arial"/>
                <w:sz w:val="22"/>
                <w:szCs w:val="22"/>
              </w:rPr>
            </w:pPr>
            <w:r w:rsidRPr="00736B68">
              <w:rPr>
                <w:rFonts w:ascii="Arial" w:hAnsi="Arial" w:cs="Arial"/>
                <w:sz w:val="22"/>
                <w:szCs w:val="22"/>
              </w:rPr>
              <w:t>Closing date for submissions relating to Statement of Issues</w:t>
            </w:r>
            <w:r w:rsidR="00B33022" w:rsidRPr="00736B68">
              <w:rPr>
                <w:rFonts w:ascii="Arial" w:hAnsi="Arial" w:cs="Arial"/>
                <w:sz w:val="22"/>
                <w:szCs w:val="22"/>
              </w:rPr>
              <w:t>.</w:t>
            </w:r>
          </w:p>
        </w:tc>
      </w:tr>
      <w:tr w:rsidR="007B78C5" w:rsidRPr="00736B68" w:rsidTr="00694465">
        <w:tc>
          <w:tcPr>
            <w:tcW w:w="2093" w:type="dxa"/>
          </w:tcPr>
          <w:p w:rsidR="007B78C5" w:rsidRPr="00736B68" w:rsidRDefault="007B78C5" w:rsidP="007C5768">
            <w:pPr>
              <w:spacing w:before="120" w:after="120"/>
              <w:rPr>
                <w:rFonts w:ascii="Arial" w:hAnsi="Arial" w:cs="Arial"/>
                <w:sz w:val="22"/>
                <w:szCs w:val="22"/>
              </w:rPr>
            </w:pPr>
            <w:r>
              <w:rPr>
                <w:rFonts w:ascii="Arial" w:hAnsi="Arial" w:cs="Arial"/>
                <w:sz w:val="22"/>
                <w:szCs w:val="22"/>
              </w:rPr>
              <w:t>8 July 2015</w:t>
            </w:r>
          </w:p>
        </w:tc>
        <w:tc>
          <w:tcPr>
            <w:tcW w:w="6475" w:type="dxa"/>
          </w:tcPr>
          <w:p w:rsidR="007B78C5" w:rsidRPr="00736B68" w:rsidRDefault="007B78C5" w:rsidP="008C425B">
            <w:pPr>
              <w:spacing w:before="120" w:after="120"/>
              <w:rPr>
                <w:rFonts w:ascii="Arial" w:hAnsi="Arial" w:cs="Arial"/>
                <w:sz w:val="22"/>
                <w:szCs w:val="22"/>
              </w:rPr>
            </w:pPr>
            <w:r w:rsidRPr="00736B68">
              <w:rPr>
                <w:rFonts w:ascii="Arial" w:hAnsi="Arial" w:cs="Arial"/>
                <w:sz w:val="22"/>
                <w:szCs w:val="22"/>
              </w:rPr>
              <w:t>ACCC requested further information from the merger parties.</w:t>
            </w:r>
          </w:p>
        </w:tc>
      </w:tr>
      <w:tr w:rsidR="007B78C5" w:rsidRPr="00736B68" w:rsidTr="00694465">
        <w:tc>
          <w:tcPr>
            <w:tcW w:w="2093" w:type="dxa"/>
          </w:tcPr>
          <w:p w:rsidR="007B78C5" w:rsidRPr="00736B68" w:rsidRDefault="007B78C5" w:rsidP="007C5768">
            <w:pPr>
              <w:spacing w:before="120" w:after="120"/>
              <w:rPr>
                <w:rFonts w:ascii="Arial" w:hAnsi="Arial" w:cs="Arial"/>
                <w:sz w:val="22"/>
                <w:szCs w:val="22"/>
              </w:rPr>
            </w:pPr>
            <w:r>
              <w:rPr>
                <w:rFonts w:ascii="Arial" w:hAnsi="Arial" w:cs="Arial"/>
                <w:sz w:val="22"/>
                <w:szCs w:val="22"/>
              </w:rPr>
              <w:lastRenderedPageBreak/>
              <w:t>24 July 2015</w:t>
            </w:r>
          </w:p>
        </w:tc>
        <w:tc>
          <w:tcPr>
            <w:tcW w:w="6475" w:type="dxa"/>
          </w:tcPr>
          <w:p w:rsidR="007B78C5" w:rsidRPr="00736B68" w:rsidDel="00B073D7" w:rsidRDefault="007B78C5" w:rsidP="00304E3F">
            <w:pPr>
              <w:spacing w:before="120" w:after="120"/>
              <w:rPr>
                <w:rFonts w:ascii="Arial" w:hAnsi="Arial" w:cs="Arial"/>
                <w:sz w:val="22"/>
                <w:szCs w:val="22"/>
              </w:rPr>
            </w:pPr>
            <w:r w:rsidRPr="00736B68">
              <w:rPr>
                <w:rFonts w:ascii="Arial" w:hAnsi="Arial" w:cs="Arial"/>
                <w:sz w:val="22"/>
                <w:szCs w:val="22"/>
              </w:rPr>
              <w:t>ACCC received further information from the merger parties.</w:t>
            </w:r>
          </w:p>
        </w:tc>
      </w:tr>
      <w:tr w:rsidR="007B78C5" w:rsidRPr="00736B68" w:rsidTr="00694465">
        <w:tc>
          <w:tcPr>
            <w:tcW w:w="2093" w:type="dxa"/>
          </w:tcPr>
          <w:p w:rsidR="007B78C5" w:rsidRPr="00736B68" w:rsidRDefault="007B78C5" w:rsidP="007C5768">
            <w:pPr>
              <w:spacing w:before="120" w:after="120"/>
              <w:rPr>
                <w:rFonts w:ascii="Arial" w:hAnsi="Arial" w:cs="Arial"/>
                <w:sz w:val="22"/>
                <w:szCs w:val="22"/>
              </w:rPr>
            </w:pPr>
            <w:r w:rsidRPr="00736B68">
              <w:rPr>
                <w:rFonts w:ascii="Arial" w:hAnsi="Arial" w:cs="Arial"/>
                <w:sz w:val="22"/>
                <w:szCs w:val="22"/>
              </w:rPr>
              <w:t>20 August</w:t>
            </w:r>
            <w:r w:rsidRPr="00736B68" w:rsidDel="00D33171">
              <w:rPr>
                <w:rFonts w:ascii="Arial" w:hAnsi="Arial" w:cs="Arial"/>
                <w:sz w:val="22"/>
                <w:szCs w:val="22"/>
              </w:rPr>
              <w:t xml:space="preserve"> 201</w:t>
            </w:r>
            <w:r w:rsidRPr="00736B68">
              <w:rPr>
                <w:rFonts w:ascii="Arial" w:hAnsi="Arial" w:cs="Arial"/>
                <w:sz w:val="22"/>
                <w:szCs w:val="22"/>
              </w:rPr>
              <w:t>5</w:t>
            </w:r>
          </w:p>
        </w:tc>
        <w:tc>
          <w:tcPr>
            <w:tcW w:w="6475" w:type="dxa"/>
          </w:tcPr>
          <w:p w:rsidR="007B78C5" w:rsidRPr="00736B68" w:rsidRDefault="007B78C5" w:rsidP="00304E3F">
            <w:pPr>
              <w:spacing w:before="120" w:after="120"/>
              <w:rPr>
                <w:rFonts w:ascii="Arial" w:hAnsi="Arial" w:cs="Arial"/>
                <w:sz w:val="22"/>
                <w:szCs w:val="22"/>
              </w:rPr>
            </w:pPr>
            <w:r w:rsidRPr="00736B68" w:rsidDel="00B073D7">
              <w:rPr>
                <w:rFonts w:ascii="Arial" w:hAnsi="Arial" w:cs="Arial"/>
                <w:sz w:val="22"/>
                <w:szCs w:val="22"/>
              </w:rPr>
              <w:t>ACCC announced it would not oppose the acquisition</w:t>
            </w:r>
            <w:r w:rsidRPr="00736B68">
              <w:rPr>
                <w:rFonts w:ascii="Arial" w:hAnsi="Arial" w:cs="Arial"/>
                <w:sz w:val="22"/>
                <w:szCs w:val="22"/>
              </w:rPr>
              <w:t>.</w:t>
            </w:r>
          </w:p>
        </w:tc>
      </w:tr>
    </w:tbl>
    <w:p w:rsidR="00AF1C87" w:rsidRPr="00736B68" w:rsidRDefault="00AF1C87" w:rsidP="006A7FE8">
      <w:pPr>
        <w:pStyle w:val="Heading3"/>
      </w:pPr>
      <w:r w:rsidRPr="00736B68">
        <w:t>Market inquiries</w:t>
      </w:r>
    </w:p>
    <w:p w:rsidR="00F36262" w:rsidRDefault="00AF1C87" w:rsidP="00F36262">
      <w:pPr>
        <w:pStyle w:val="NormalParagraph"/>
        <w:tabs>
          <w:tab w:val="clear" w:pos="360"/>
          <w:tab w:val="num" w:pos="567"/>
        </w:tabs>
        <w:ind w:left="567" w:hanging="567"/>
      </w:pPr>
      <w:r w:rsidRPr="00736B68">
        <w:t xml:space="preserve">The ACCC conducted </w:t>
      </w:r>
      <w:r w:rsidR="00AB2906" w:rsidRPr="00736B68">
        <w:t xml:space="preserve">extensive </w:t>
      </w:r>
      <w:r w:rsidRPr="00736B68">
        <w:t>market inquiries with a</w:t>
      </w:r>
      <w:r w:rsidR="00B071CA" w:rsidRPr="00736B68">
        <w:t xml:space="preserve"> range of industry participants,</w:t>
      </w:r>
      <w:r w:rsidRPr="00736B68">
        <w:t xml:space="preserve"> including </w:t>
      </w:r>
      <w:r w:rsidR="00CD6F7F">
        <w:t>consumers</w:t>
      </w:r>
      <w:r w:rsidR="00B071CA" w:rsidRPr="00736B68">
        <w:t>, consumer repre</w:t>
      </w:r>
      <w:r w:rsidR="00E014DB" w:rsidRPr="00736B68">
        <w:t xml:space="preserve">sentatives and competing internet </w:t>
      </w:r>
      <w:r w:rsidR="00B071CA" w:rsidRPr="00736B68">
        <w:t>service providers.</w:t>
      </w:r>
      <w:r w:rsidR="00F36262">
        <w:t xml:space="preserve"> On 14 July 2015, the ACCC held a market inquires forum, which provided consumers and other interested parties the opportunity to express their views on the proposed acquisition directly to the ACCC.</w:t>
      </w:r>
    </w:p>
    <w:p w:rsidR="002823E2" w:rsidRPr="00736B68" w:rsidRDefault="002823E2" w:rsidP="002823E2">
      <w:pPr>
        <w:pStyle w:val="NormalParagraph"/>
        <w:tabs>
          <w:tab w:val="clear" w:pos="360"/>
          <w:tab w:val="num" w:pos="567"/>
        </w:tabs>
        <w:ind w:left="567" w:hanging="567"/>
      </w:pPr>
      <w:r>
        <w:t>T</w:t>
      </w:r>
      <w:r w:rsidRPr="00736B68">
        <w:t xml:space="preserve">he ACCC </w:t>
      </w:r>
      <w:r>
        <w:t xml:space="preserve">also </w:t>
      </w:r>
      <w:r w:rsidRPr="00736B68">
        <w:t>examined internal company documents and data obtained from the merger parties.</w:t>
      </w:r>
    </w:p>
    <w:p w:rsidR="00AF1C87" w:rsidRPr="00736B68" w:rsidRDefault="00AF1C87" w:rsidP="006A7FE8">
      <w:pPr>
        <w:pStyle w:val="Heading3"/>
      </w:pPr>
      <w:r w:rsidRPr="00736B68">
        <w:t>Statement of Issues</w:t>
      </w:r>
    </w:p>
    <w:p w:rsidR="00274F28" w:rsidRDefault="00AF1C87" w:rsidP="00274F28">
      <w:pPr>
        <w:pStyle w:val="NormalParagraph"/>
        <w:tabs>
          <w:tab w:val="clear" w:pos="360"/>
          <w:tab w:val="num" w:pos="567"/>
        </w:tabs>
        <w:ind w:left="567" w:hanging="567"/>
      </w:pPr>
      <w:r w:rsidRPr="00736B68">
        <w:t xml:space="preserve">The ACCC published </w:t>
      </w:r>
      <w:r w:rsidR="00F33E19" w:rsidRPr="00736B68">
        <w:t xml:space="preserve">a </w:t>
      </w:r>
      <w:r w:rsidRPr="00736B68">
        <w:t xml:space="preserve">Statement of </w:t>
      </w:r>
      <w:r w:rsidRPr="00736B68">
        <w:rPr>
          <w:szCs w:val="24"/>
        </w:rPr>
        <w:t xml:space="preserve">Issues on </w:t>
      </w:r>
      <w:r w:rsidR="00B071CA" w:rsidRPr="00736B68">
        <w:rPr>
          <w:szCs w:val="24"/>
        </w:rPr>
        <w:t>11</w:t>
      </w:r>
      <w:r w:rsidR="005B5180">
        <w:rPr>
          <w:szCs w:val="24"/>
        </w:rPr>
        <w:t xml:space="preserve"> June 2015</w:t>
      </w:r>
      <w:r w:rsidR="00760C2E" w:rsidRPr="00736B68">
        <w:rPr>
          <w:szCs w:val="24"/>
        </w:rPr>
        <w:t>.</w:t>
      </w:r>
      <w:r w:rsidRPr="00736B68">
        <w:t xml:space="preserve"> In the Statement of </w:t>
      </w:r>
      <w:r w:rsidRPr="00736B68">
        <w:rPr>
          <w:szCs w:val="24"/>
        </w:rPr>
        <w:t xml:space="preserve">Issues </w:t>
      </w:r>
      <w:r w:rsidR="001C1AE7" w:rsidRPr="00736B68">
        <w:t xml:space="preserve">the ACCC </w:t>
      </w:r>
      <w:r w:rsidR="00760C2E" w:rsidRPr="00736B68">
        <w:t>expressed the</w:t>
      </w:r>
      <w:r w:rsidRPr="00736B68">
        <w:t xml:space="preserve"> preliminary view that the </w:t>
      </w:r>
      <w:r w:rsidR="00E16AE6">
        <w:t xml:space="preserve">proposed </w:t>
      </w:r>
      <w:r w:rsidRPr="00736B68">
        <w:t>acquisi</w:t>
      </w:r>
      <w:r w:rsidR="001C1AE7" w:rsidRPr="00736B68">
        <w:t xml:space="preserve">tion </w:t>
      </w:r>
      <w:r w:rsidR="00760C2E" w:rsidRPr="00736B68">
        <w:t>may</w:t>
      </w:r>
      <w:r w:rsidR="001C1AE7" w:rsidRPr="00736B68">
        <w:t xml:space="preserve"> </w:t>
      </w:r>
      <w:r w:rsidR="00760C2E" w:rsidRPr="00736B68">
        <w:t>lead to</w:t>
      </w:r>
      <w:r w:rsidR="001C1AE7" w:rsidRPr="00736B68">
        <w:t xml:space="preserve"> a substantial lessening of competition</w:t>
      </w:r>
      <w:r w:rsidRPr="00736B68">
        <w:t xml:space="preserve"> </w:t>
      </w:r>
      <w:r w:rsidR="001C1AE7" w:rsidRPr="00736B68">
        <w:t xml:space="preserve">in the </w:t>
      </w:r>
      <w:r w:rsidR="00274F28" w:rsidRPr="00736B68">
        <w:t>market</w:t>
      </w:r>
      <w:r w:rsidR="001C1AE7" w:rsidRPr="00736B68">
        <w:t xml:space="preserve"> </w:t>
      </w:r>
      <w:r w:rsidR="00274F28" w:rsidRPr="00736B68">
        <w:t xml:space="preserve">for the supply of retail fixed broadband services </w:t>
      </w:r>
      <w:r w:rsidR="00D27602" w:rsidRPr="00736B68">
        <w:t>in Australia</w:t>
      </w:r>
      <w:r w:rsidR="001C1AE7" w:rsidRPr="00736B68">
        <w:t xml:space="preserve">. </w:t>
      </w:r>
      <w:r w:rsidR="00274F28" w:rsidRPr="00736B68">
        <w:t xml:space="preserve">In </w:t>
      </w:r>
      <w:r w:rsidR="0006621B">
        <w:t>this context</w:t>
      </w:r>
      <w:r w:rsidR="00274F28" w:rsidRPr="00736B68">
        <w:t>, t</w:t>
      </w:r>
      <w:r w:rsidR="0022212A" w:rsidRPr="00736B68">
        <w:t xml:space="preserve">he ACCC was </w:t>
      </w:r>
      <w:r w:rsidR="0006621B">
        <w:t xml:space="preserve">considering whether the proposed acquisition </w:t>
      </w:r>
      <w:r w:rsidR="00A8659B">
        <w:t>would be likely to</w:t>
      </w:r>
      <w:r w:rsidR="00A8659B" w:rsidRPr="00736B68">
        <w:t xml:space="preserve"> </w:t>
      </w:r>
      <w:r w:rsidR="00274F28" w:rsidRPr="00736B68">
        <w:t>result in higher prices and/or degradation of the non-price offers available in the market.</w:t>
      </w:r>
      <w:r w:rsidR="00E16AE6">
        <w:t xml:space="preserve"> </w:t>
      </w:r>
      <w:r w:rsidR="0006621B">
        <w:t xml:space="preserve">In the Statement of Issues, the ACCC </w:t>
      </w:r>
      <w:r w:rsidR="00A8659B">
        <w:t>considered</w:t>
      </w:r>
      <w:r w:rsidR="0006621B">
        <w:t xml:space="preserve"> </w:t>
      </w:r>
      <w:r w:rsidR="00E16AE6">
        <w:t xml:space="preserve">the competitive constraints </w:t>
      </w:r>
      <w:r w:rsidR="0006621B">
        <w:t xml:space="preserve">from other existing suppliers </w:t>
      </w:r>
      <w:r w:rsidR="00E16AE6">
        <w:t>and the potential for these to be sufficient to prevent any substantial lessening of competition.</w:t>
      </w:r>
    </w:p>
    <w:p w:rsidR="002C5E58" w:rsidRPr="00736B68" w:rsidRDefault="004B6682" w:rsidP="00D27602">
      <w:pPr>
        <w:pStyle w:val="NormalParagraph"/>
        <w:tabs>
          <w:tab w:val="clear" w:pos="360"/>
          <w:tab w:val="num" w:pos="567"/>
        </w:tabs>
        <w:ind w:left="567" w:hanging="567"/>
      </w:pPr>
      <w:r w:rsidRPr="00736B68">
        <w:t xml:space="preserve">The ACCC </w:t>
      </w:r>
      <w:r w:rsidR="00F54799" w:rsidRPr="00736B68">
        <w:t xml:space="preserve">also </w:t>
      </w:r>
      <w:r w:rsidRPr="00736B68">
        <w:t>expressed the preliminary view that</w:t>
      </w:r>
      <w:r w:rsidR="00274F28" w:rsidRPr="00736B68">
        <w:t xml:space="preserve"> the proposed acquisition was unlikely to result in a substantial lessening of competition in other markets relating to the supply of fixed broadband</w:t>
      </w:r>
      <w:r w:rsidR="00BF57D6">
        <w:t xml:space="preserve"> services</w:t>
      </w:r>
      <w:r w:rsidR="00274F28" w:rsidRPr="00736B68">
        <w:t xml:space="preserve">, including in the market for the supply of wholesale transmission services. </w:t>
      </w:r>
    </w:p>
    <w:p w:rsidR="00AF1C87" w:rsidRPr="00736B68" w:rsidRDefault="00B32501" w:rsidP="006A7FE8">
      <w:pPr>
        <w:pStyle w:val="Heading3"/>
      </w:pPr>
      <w:r w:rsidRPr="00736B68">
        <w:t>Future w</w:t>
      </w:r>
      <w:r w:rsidR="0050621C" w:rsidRPr="00736B68">
        <w:t>ith</w:t>
      </w:r>
      <w:r w:rsidRPr="00736B68">
        <w:t xml:space="preserve"> and </w:t>
      </w:r>
      <w:r w:rsidR="0050621C" w:rsidRPr="00736B68">
        <w:t xml:space="preserve">without </w:t>
      </w:r>
      <w:r w:rsidRPr="00736B68">
        <w:t>the proposed acquisition</w:t>
      </w:r>
    </w:p>
    <w:p w:rsidR="00273EA9" w:rsidRPr="00736B68" w:rsidRDefault="0050621C" w:rsidP="00C41C21">
      <w:pPr>
        <w:pStyle w:val="NormalParagraph"/>
        <w:tabs>
          <w:tab w:val="clear" w:pos="360"/>
          <w:tab w:val="num" w:pos="567"/>
        </w:tabs>
        <w:ind w:left="567" w:hanging="567"/>
      </w:pPr>
      <w:r w:rsidRPr="00736B68">
        <w:t xml:space="preserve">Section 50 of the </w:t>
      </w:r>
      <w:r w:rsidR="00BF57D6">
        <w:t xml:space="preserve">Act </w:t>
      </w:r>
      <w:r w:rsidRPr="00736B68">
        <w:t xml:space="preserve">prohibits acquisitions that would have the effect or be likely to have the effect of substantially lessening competition in a market. </w:t>
      </w:r>
      <w:r w:rsidR="00CB5C58" w:rsidRPr="00736B68">
        <w:t>I</w:t>
      </w:r>
      <w:r w:rsidR="006A7FE8" w:rsidRPr="00736B68">
        <w:t xml:space="preserve">n assessing a proposed acquisition pursuant to section 50 of the Act, the ACCC considers the </w:t>
      </w:r>
      <w:r w:rsidR="00B32501" w:rsidRPr="00736B68">
        <w:t xml:space="preserve">likely </w:t>
      </w:r>
      <w:r w:rsidR="006A7FE8" w:rsidRPr="00736B68">
        <w:t>effects of the acquisition by comparing the likely future competitive environment if the acquisition proceeds (the “with” position) to the likely future competitive environment if the acquisition does not proceed (the “without” position) to determine whether the proposed acquisition is likely to</w:t>
      </w:r>
      <w:r w:rsidR="00B32501" w:rsidRPr="00736B68">
        <w:t xml:space="preserve"> </w:t>
      </w:r>
      <w:r w:rsidR="006A7FE8" w:rsidRPr="00736B68">
        <w:t>substantially lessen competition in any relevant market.</w:t>
      </w:r>
      <w:r w:rsidR="00C41C21">
        <w:t xml:space="preserve"> </w:t>
      </w:r>
      <w:r w:rsidR="00807C8C">
        <w:t>In this matter, t</w:t>
      </w:r>
      <w:r w:rsidR="00273EA9" w:rsidRPr="00736B68">
        <w:t xml:space="preserve">he ACCC </w:t>
      </w:r>
      <w:r w:rsidR="00255644" w:rsidRPr="00736B68">
        <w:t>assess</w:t>
      </w:r>
      <w:r w:rsidR="00255644">
        <w:t>ed</w:t>
      </w:r>
      <w:r w:rsidR="00255644" w:rsidRPr="00736B68">
        <w:t xml:space="preserve"> the acquisition </w:t>
      </w:r>
      <w:r w:rsidR="00273EA9" w:rsidRPr="00736B68">
        <w:t xml:space="preserve">against a future without the acquisition in which competition remains broadly as it currently stands (the status quo). </w:t>
      </w:r>
    </w:p>
    <w:p w:rsidR="00B03ABD" w:rsidRPr="00736B68" w:rsidRDefault="00B03ABD" w:rsidP="00B03ABD">
      <w:pPr>
        <w:pStyle w:val="Heading3"/>
      </w:pPr>
      <w:r w:rsidRPr="00736B68">
        <w:t>Industry background</w:t>
      </w:r>
    </w:p>
    <w:p w:rsidR="00B03ABD" w:rsidRPr="00736B68" w:rsidRDefault="00B03ABD" w:rsidP="00814638">
      <w:pPr>
        <w:pStyle w:val="Heading5"/>
      </w:pPr>
      <w:r w:rsidRPr="00736B68">
        <w:t>Regulatory framework</w:t>
      </w:r>
    </w:p>
    <w:p w:rsidR="00B03ABD" w:rsidRPr="00736B68" w:rsidRDefault="00B03ABD" w:rsidP="00B03ABD">
      <w:pPr>
        <w:pStyle w:val="NormalParagraph"/>
        <w:tabs>
          <w:tab w:val="clear" w:pos="360"/>
          <w:tab w:val="num" w:pos="567"/>
        </w:tabs>
        <w:ind w:left="567" w:hanging="567"/>
      </w:pPr>
      <w:r w:rsidRPr="00736B68">
        <w:t xml:space="preserve">The </w:t>
      </w:r>
      <w:r w:rsidR="0078256D">
        <w:t>supply</w:t>
      </w:r>
      <w:r w:rsidR="0078256D" w:rsidRPr="00736B68">
        <w:t xml:space="preserve"> </w:t>
      </w:r>
      <w:r w:rsidRPr="00736B68">
        <w:t>of telecommunications services in Australia is regulated by</w:t>
      </w:r>
      <w:r w:rsidR="002D1D3E" w:rsidRPr="00736B68">
        <w:t xml:space="preserve"> </w:t>
      </w:r>
      <w:r w:rsidRPr="00736B68">
        <w:t>Parts XIB and XIC of the Act</w:t>
      </w:r>
      <w:r w:rsidR="00506AC3">
        <w:t>.</w:t>
      </w:r>
      <w:r w:rsidRPr="00736B68">
        <w:t xml:space="preserve"> Part XIB contains industry</w:t>
      </w:r>
      <w:r w:rsidR="008C2CCF" w:rsidRPr="00736B68">
        <w:noBreakHyphen/>
      </w:r>
      <w:r w:rsidRPr="00736B68">
        <w:t>specific prohibitions</w:t>
      </w:r>
      <w:r w:rsidR="00BF57D6">
        <w:t>, including</w:t>
      </w:r>
      <w:r w:rsidRPr="00736B68">
        <w:t xml:space="preserve"> </w:t>
      </w:r>
      <w:r w:rsidRPr="00736B68">
        <w:lastRenderedPageBreak/>
        <w:t>against anti-competitive conduct in the telecommunications industry, which are based on the general prohibitions in Part</w:t>
      </w:r>
      <w:r w:rsidR="008C2CCF" w:rsidRPr="00736B68">
        <w:t> </w:t>
      </w:r>
      <w:r w:rsidRPr="00736B68">
        <w:t>IV of the Act.</w:t>
      </w:r>
    </w:p>
    <w:p w:rsidR="00B03ABD" w:rsidRPr="00736B68" w:rsidRDefault="00B03ABD" w:rsidP="00B03ABD">
      <w:pPr>
        <w:pStyle w:val="NormalParagraph"/>
        <w:tabs>
          <w:tab w:val="clear" w:pos="360"/>
          <w:tab w:val="num" w:pos="567"/>
        </w:tabs>
        <w:ind w:left="567" w:hanging="567"/>
      </w:pPr>
      <w:r w:rsidRPr="00736B68">
        <w:t>Part XIC establishes an industry</w:t>
      </w:r>
      <w:r w:rsidR="003202FC">
        <w:noBreakHyphen/>
      </w:r>
      <w:r w:rsidRPr="00736B68">
        <w:t>specific regime for regulated access to carriage services that are considered important inputs for the supply of retail services. The ACCC is able to declare services and regulate them by directly setting price and non-price terms relating to the supply of these services.</w:t>
      </w:r>
    </w:p>
    <w:p w:rsidR="00B03ABD" w:rsidRPr="00736B68" w:rsidRDefault="00B03ABD" w:rsidP="00B03ABD">
      <w:pPr>
        <w:pStyle w:val="NormalParagraph"/>
        <w:tabs>
          <w:tab w:val="clear" w:pos="360"/>
          <w:tab w:val="num" w:pos="567"/>
        </w:tabs>
        <w:ind w:left="567" w:hanging="567"/>
      </w:pPr>
      <w:r w:rsidRPr="00736B68">
        <w:t>Under this framework, the ACCC regulates a number of essential inputs to the provision of retail fixed broadband services over both Telstra’s copper network, and fibre networks including the NBN.</w:t>
      </w:r>
    </w:p>
    <w:p w:rsidR="00B03ABD" w:rsidRPr="00736B68" w:rsidRDefault="00B03ABD" w:rsidP="00814638">
      <w:pPr>
        <w:pStyle w:val="Heading5"/>
      </w:pPr>
      <w:r w:rsidRPr="00736B68">
        <w:t>Fixed broadband services</w:t>
      </w:r>
    </w:p>
    <w:p w:rsidR="00B03ABD" w:rsidRPr="00736B68" w:rsidRDefault="00B03ABD" w:rsidP="00B03ABD">
      <w:pPr>
        <w:pStyle w:val="NormalParagraph"/>
        <w:tabs>
          <w:tab w:val="clear" w:pos="360"/>
          <w:tab w:val="num" w:pos="567"/>
        </w:tabs>
        <w:ind w:left="567" w:hanging="567"/>
      </w:pPr>
      <w:r w:rsidRPr="00736B68">
        <w:t xml:space="preserve">In Australia, fixed broadband services are </w:t>
      </w:r>
      <w:r w:rsidR="0078256D">
        <w:t>supplied</w:t>
      </w:r>
      <w:r w:rsidR="0078256D" w:rsidRPr="00736B68">
        <w:t xml:space="preserve"> </w:t>
      </w:r>
      <w:r w:rsidRPr="00736B68">
        <w:t xml:space="preserve">to residential and business customers using a range of fixed-line technologies, including ADSL2+ (provided over Telstra’s copper network), VDSL2 (used in fibre-to-the-basement networks), cable services (provided predominantly over Telstra and Optus’ HFC networks) and fibre services (provided over the NBN and other fibre networks). </w:t>
      </w:r>
    </w:p>
    <w:p w:rsidR="00B03ABD" w:rsidRPr="00736B68" w:rsidRDefault="00B03ABD" w:rsidP="00B03ABD">
      <w:pPr>
        <w:pStyle w:val="NormalParagraph"/>
        <w:tabs>
          <w:tab w:val="clear" w:pos="360"/>
          <w:tab w:val="num" w:pos="567"/>
        </w:tabs>
        <w:ind w:left="567" w:hanging="567"/>
      </w:pPr>
      <w:r w:rsidRPr="00736B68">
        <w:t xml:space="preserve">ADSL2+ is currently the dominant technology for the </w:t>
      </w:r>
      <w:r w:rsidR="001C1E2D">
        <w:t>supply</w:t>
      </w:r>
      <w:r w:rsidR="001C1E2D" w:rsidRPr="00736B68">
        <w:t xml:space="preserve"> </w:t>
      </w:r>
      <w:r w:rsidRPr="00736B68">
        <w:t xml:space="preserve">of residential fixed broadband in Australia. </w:t>
      </w:r>
    </w:p>
    <w:p w:rsidR="00B03ABD" w:rsidRPr="00736B68" w:rsidRDefault="00B03ABD" w:rsidP="00B03ABD">
      <w:pPr>
        <w:pStyle w:val="NormalParagraph"/>
        <w:tabs>
          <w:tab w:val="clear" w:pos="360"/>
          <w:tab w:val="num" w:pos="567"/>
        </w:tabs>
        <w:ind w:left="567" w:hanging="567"/>
      </w:pPr>
      <w:r w:rsidRPr="00736B68">
        <w:t>Competing providers of retail ADSL broadband services can supply these services in two ways:</w:t>
      </w:r>
    </w:p>
    <w:p w:rsidR="00B03ABD" w:rsidRPr="00736B68" w:rsidRDefault="00B03ABD" w:rsidP="00B03ABD">
      <w:pPr>
        <w:pStyle w:val="ListParagraph"/>
        <w:numPr>
          <w:ilvl w:val="0"/>
          <w:numId w:val="6"/>
        </w:numPr>
      </w:pPr>
      <w:r w:rsidRPr="00736B68">
        <w:t xml:space="preserve">Installing digital subscriber line access </w:t>
      </w:r>
      <w:r w:rsidRPr="00736B68">
        <w:rPr>
          <w:bCs/>
        </w:rPr>
        <w:t>multiplexer</w:t>
      </w:r>
      <w:r w:rsidRPr="00736B68">
        <w:t xml:space="preserve"> (</w:t>
      </w:r>
      <w:r w:rsidRPr="00736B68">
        <w:rPr>
          <w:b/>
        </w:rPr>
        <w:t>DSLAM</w:t>
      </w:r>
      <w:r w:rsidRPr="00736B68">
        <w:t xml:space="preserve">) equipment in Telstra’s exchange buildings and purchasing either an unconditioned local loop service or </w:t>
      </w:r>
      <w:r w:rsidR="00BF57D6">
        <w:t xml:space="preserve">a </w:t>
      </w:r>
      <w:r w:rsidRPr="00736B68">
        <w:t>line sharing service from Telstra to deliver broadband over the copper line to the premises. Both of these services are regulated by the ACCC under Part XIC of the Act. Retail broadband providers refer to this approach as ‘on-net’ supply.</w:t>
      </w:r>
    </w:p>
    <w:p w:rsidR="00B03ABD" w:rsidRPr="00736B68" w:rsidRDefault="00B03ABD" w:rsidP="00B03ABD">
      <w:pPr>
        <w:pStyle w:val="ListParagraph"/>
        <w:numPr>
          <w:ilvl w:val="0"/>
          <w:numId w:val="6"/>
        </w:numPr>
      </w:pPr>
      <w:r w:rsidRPr="00736B68">
        <w:t xml:space="preserve">Purchasing a wholesale ADSL service from a DSLAM operator and on-selling this service to its retail customers. Telstra’s supply of wholesale ADSL services is regulated by the ACCC under Part XIC of the Act. Retail broadband providers refer to this approach as ‘off-net’ supply. </w:t>
      </w:r>
    </w:p>
    <w:p w:rsidR="00B03ABD" w:rsidRPr="00736B68" w:rsidRDefault="00B03ABD" w:rsidP="00B03ABD">
      <w:pPr>
        <w:pStyle w:val="NormalParagraph"/>
        <w:tabs>
          <w:tab w:val="clear" w:pos="360"/>
          <w:tab w:val="num" w:pos="567"/>
        </w:tabs>
        <w:ind w:left="567" w:hanging="567"/>
      </w:pPr>
      <w:r w:rsidRPr="00736B68">
        <w:t xml:space="preserve">Fixed broadband services in Australia are also </w:t>
      </w:r>
      <w:r w:rsidR="001C1E2D">
        <w:t>supplied</w:t>
      </w:r>
      <w:r w:rsidR="001C1E2D" w:rsidRPr="00736B68">
        <w:t xml:space="preserve"> </w:t>
      </w:r>
      <w:r w:rsidRPr="00736B68">
        <w:t xml:space="preserve">over HFC networks. Telstra and Optus currently operate the two largest HFC networks. </w:t>
      </w:r>
      <w:r w:rsidR="00D66FA5" w:rsidRPr="00736B68">
        <w:t xml:space="preserve">Telstra’s network covers parts of Brisbane, Melbourne, Sydney, Adelaide, Perth and the Gold Coast </w:t>
      </w:r>
      <w:r w:rsidR="00D66FA5">
        <w:t xml:space="preserve">while </w:t>
      </w:r>
      <w:r w:rsidRPr="00736B68">
        <w:t>Optus’ network covers parts of Brisbane, Melbourne and Sydney. TransACT (owned by iiNet) and Opticomm also operate smaller HFC networks in regional and suburban areas. Opticomm is the only HFC operator to offer wholesale services.</w:t>
      </w:r>
    </w:p>
    <w:p w:rsidR="00B03ABD" w:rsidRPr="00736B68" w:rsidRDefault="00B03ABD" w:rsidP="00814638">
      <w:pPr>
        <w:pStyle w:val="Heading5"/>
      </w:pPr>
      <w:r w:rsidRPr="00736B68">
        <w:t>Wholesale transmission services</w:t>
      </w:r>
    </w:p>
    <w:p w:rsidR="00B03ABD" w:rsidRPr="00736B68" w:rsidRDefault="00B03ABD" w:rsidP="00B03ABD">
      <w:pPr>
        <w:pStyle w:val="NormalParagraph"/>
        <w:tabs>
          <w:tab w:val="clear" w:pos="360"/>
          <w:tab w:val="num" w:pos="567"/>
        </w:tabs>
        <w:ind w:left="567" w:hanging="567"/>
      </w:pPr>
      <w:r w:rsidRPr="00736B68">
        <w:t xml:space="preserve">Wholesale transmission services </w:t>
      </w:r>
      <w:r w:rsidR="00EF1F27">
        <w:t xml:space="preserve">(often referred to in the industry as backhaul) </w:t>
      </w:r>
      <w:r w:rsidRPr="00736B68">
        <w:t xml:space="preserve">are wholesale services that carry large volumes of voice, data and video traffic, often over long distances. They are used by </w:t>
      </w:r>
      <w:r w:rsidR="005E3AE5">
        <w:t>retail suppliers</w:t>
      </w:r>
      <w:r w:rsidRPr="00736B68">
        <w:t xml:space="preserve"> to carry the combined traffic of many separate services, and by large corporate customers with high volumes of traffic. </w:t>
      </w:r>
    </w:p>
    <w:p w:rsidR="00B03ABD" w:rsidRPr="00736B68" w:rsidRDefault="00B03ABD" w:rsidP="00B03ABD">
      <w:pPr>
        <w:pStyle w:val="NormalParagraph"/>
        <w:tabs>
          <w:tab w:val="clear" w:pos="360"/>
          <w:tab w:val="num" w:pos="567"/>
        </w:tabs>
        <w:ind w:left="567" w:hanging="567"/>
      </w:pPr>
      <w:r w:rsidRPr="00736B68">
        <w:lastRenderedPageBreak/>
        <w:t xml:space="preserve">Wholesale transmission services are an important input into the ability of service providers to </w:t>
      </w:r>
      <w:r w:rsidR="008B0578">
        <w:t>supply</w:t>
      </w:r>
      <w:r w:rsidR="008B0578" w:rsidRPr="00736B68">
        <w:t xml:space="preserve"> </w:t>
      </w:r>
      <w:r w:rsidRPr="00736B68">
        <w:t xml:space="preserve">downstream retail and wholesale telecommunications services. These services enable service providers to carry data between their points of presence where their servers and routers are located </w:t>
      </w:r>
      <w:r w:rsidR="00255644">
        <w:t>(</w:t>
      </w:r>
      <w:r w:rsidRPr="00736B68">
        <w:t>usually in a data centre in a capital city</w:t>
      </w:r>
      <w:r w:rsidR="00255644">
        <w:t>)</w:t>
      </w:r>
      <w:r w:rsidRPr="00736B68">
        <w:t xml:space="preserve"> to a point where they can connect with a</w:t>
      </w:r>
      <w:r w:rsidR="00255644">
        <w:t xml:space="preserve"> local</w:t>
      </w:r>
      <w:r w:rsidRPr="00736B68">
        <w:t xml:space="preserve"> access network such as Telstra’s copper network or the NBN.</w:t>
      </w:r>
    </w:p>
    <w:p w:rsidR="00B03ABD" w:rsidRPr="00736B68" w:rsidRDefault="00B03ABD" w:rsidP="00B03ABD">
      <w:pPr>
        <w:pStyle w:val="NormalParagraph"/>
        <w:tabs>
          <w:tab w:val="clear" w:pos="360"/>
          <w:tab w:val="num" w:pos="567"/>
        </w:tabs>
        <w:ind w:left="567" w:hanging="567"/>
      </w:pPr>
      <w:r w:rsidRPr="00736B68">
        <w:t>Wholesale transmission services are necessary to carry traffic between the 121</w:t>
      </w:r>
      <w:r w:rsidR="001955E2">
        <w:t> </w:t>
      </w:r>
      <w:r w:rsidRPr="00736B68">
        <w:t>nationwide NBN points of interconnect and retail service providers</w:t>
      </w:r>
      <w:r w:rsidR="00920F0F" w:rsidRPr="00736B68">
        <w:t>’</w:t>
      </w:r>
      <w:r w:rsidRPr="00736B68">
        <w:t xml:space="preserve"> own points of presence. The NBN will carry services between the end-user premises and its points of interconnect.</w:t>
      </w:r>
    </w:p>
    <w:p w:rsidR="00B03ABD" w:rsidRPr="00736B68" w:rsidRDefault="00B03ABD" w:rsidP="00B03ABD">
      <w:pPr>
        <w:pStyle w:val="NormalParagraph"/>
        <w:tabs>
          <w:tab w:val="clear" w:pos="360"/>
          <w:tab w:val="num" w:pos="567"/>
        </w:tabs>
        <w:ind w:left="567" w:hanging="567"/>
        <w:rPr>
          <w:color w:val="000000"/>
        </w:rPr>
      </w:pPr>
      <w:r w:rsidRPr="00736B68">
        <w:rPr>
          <w:color w:val="000000"/>
        </w:rPr>
        <w:t xml:space="preserve">Retail service </w:t>
      </w:r>
      <w:r w:rsidRPr="00736B68">
        <w:t>providers</w:t>
      </w:r>
      <w:r w:rsidRPr="00736B68">
        <w:rPr>
          <w:color w:val="000000"/>
        </w:rPr>
        <w:t xml:space="preserve"> either use their own transmission network infrastructure for their transmission requirements or purchase transmission services from wholesale transmission </w:t>
      </w:r>
      <w:r w:rsidR="008B0578">
        <w:rPr>
          <w:color w:val="000000"/>
        </w:rPr>
        <w:t>suppliers</w:t>
      </w:r>
      <w:r w:rsidRPr="00736B68">
        <w:rPr>
          <w:color w:val="000000"/>
        </w:rPr>
        <w:t>.</w:t>
      </w:r>
    </w:p>
    <w:p w:rsidR="00B03ABD" w:rsidRPr="00736B68" w:rsidRDefault="00B03ABD" w:rsidP="00B03ABD">
      <w:pPr>
        <w:pStyle w:val="NormalParagraph"/>
        <w:tabs>
          <w:tab w:val="clear" w:pos="360"/>
          <w:tab w:val="num" w:pos="567"/>
        </w:tabs>
        <w:ind w:left="567" w:hanging="567"/>
      </w:pPr>
      <w:r w:rsidRPr="00736B68">
        <w:t xml:space="preserve">The domestic transmission capacity service is a declared service. The ACCC regulates this service only along specific geographic routes where there is insufficient competition—generally outside of major city centres and in regional areas. </w:t>
      </w:r>
    </w:p>
    <w:p w:rsidR="00B03ABD" w:rsidRPr="00736B68" w:rsidRDefault="00B03ABD" w:rsidP="00814638">
      <w:pPr>
        <w:pStyle w:val="Heading5"/>
      </w:pPr>
      <w:r w:rsidRPr="00736B68">
        <w:t>The National Broadband Network</w:t>
      </w:r>
    </w:p>
    <w:p w:rsidR="00B03ABD" w:rsidRPr="00736B68" w:rsidRDefault="00B03ABD" w:rsidP="00B03ABD">
      <w:pPr>
        <w:pStyle w:val="NormalParagraph"/>
        <w:tabs>
          <w:tab w:val="clear" w:pos="360"/>
          <w:tab w:val="num" w:pos="567"/>
        </w:tabs>
        <w:ind w:left="567" w:hanging="567"/>
      </w:pPr>
      <w:r w:rsidRPr="00736B68">
        <w:t xml:space="preserve">As indicated above, NBN Co is </w:t>
      </w:r>
      <w:r w:rsidR="003202FC">
        <w:t>deploying the</w:t>
      </w:r>
      <w:r w:rsidRPr="00736B68">
        <w:t xml:space="preserve"> NBN infrastructure throughout Australia using a variety of technologies. NBN Co is only permitted to supply wholesale telecommunications services.</w:t>
      </w:r>
    </w:p>
    <w:p w:rsidR="00B03ABD" w:rsidRPr="00736B68" w:rsidRDefault="001955E2" w:rsidP="00B03ABD">
      <w:pPr>
        <w:pStyle w:val="NormalParagraph"/>
        <w:tabs>
          <w:tab w:val="clear" w:pos="360"/>
          <w:tab w:val="num" w:pos="567"/>
        </w:tabs>
        <w:ind w:left="567" w:hanging="567"/>
      </w:pPr>
      <w:r w:rsidRPr="00736B68">
        <w:rPr>
          <w:lang w:val="en-US"/>
        </w:rPr>
        <w:t xml:space="preserve">The ACCC </w:t>
      </w:r>
      <w:r>
        <w:rPr>
          <w:lang w:val="en-US"/>
        </w:rPr>
        <w:t xml:space="preserve">regulates </w:t>
      </w:r>
      <w:r w:rsidR="00B03ABD" w:rsidRPr="00736B68">
        <w:rPr>
          <w:lang w:val="en-US"/>
        </w:rPr>
        <w:t xml:space="preserve">NBN Co through a special access undertaking, which </w:t>
      </w:r>
      <w:r w:rsidR="00B03ABD" w:rsidRPr="00736B68">
        <w:t>specifies price and non-price terms and condi</w:t>
      </w:r>
      <w:r w:rsidR="00675C8E">
        <w:t>tions relating to access to NBN </w:t>
      </w:r>
      <w:r w:rsidR="00B03ABD" w:rsidRPr="00736B68">
        <w:t>Co's services provided over fibre, fixed wireless and satellite networks</w:t>
      </w:r>
      <w:r w:rsidR="00B03ABD" w:rsidRPr="00736B68">
        <w:rPr>
          <w:lang w:val="en-US"/>
        </w:rPr>
        <w:t>.</w:t>
      </w:r>
    </w:p>
    <w:p w:rsidR="005A25FE" w:rsidRPr="00736B68" w:rsidRDefault="005A25FE" w:rsidP="005A25FE">
      <w:pPr>
        <w:pStyle w:val="Heading3"/>
      </w:pPr>
      <w:r w:rsidRPr="00736B68">
        <w:t>Areas of overlap</w:t>
      </w:r>
    </w:p>
    <w:p w:rsidR="005A25FE" w:rsidRPr="00736B68" w:rsidRDefault="005A25FE" w:rsidP="005A25FE">
      <w:pPr>
        <w:pStyle w:val="NormalParagraph"/>
        <w:tabs>
          <w:tab w:val="clear" w:pos="360"/>
          <w:tab w:val="num" w:pos="567"/>
        </w:tabs>
        <w:ind w:left="567" w:hanging="567"/>
      </w:pPr>
      <w:r w:rsidRPr="00736B68">
        <w:t xml:space="preserve">TPG and </w:t>
      </w:r>
      <w:r w:rsidRPr="00736B68">
        <w:rPr>
          <w:lang w:val="en-US"/>
        </w:rPr>
        <w:t>iiNet</w:t>
      </w:r>
      <w:r w:rsidRPr="00736B68">
        <w:t xml:space="preserve"> overlap in the supply of:</w:t>
      </w:r>
    </w:p>
    <w:p w:rsidR="005A25FE" w:rsidRPr="00736B68" w:rsidRDefault="005A25FE" w:rsidP="005A25FE">
      <w:pPr>
        <w:pStyle w:val="ListParagraph"/>
        <w:numPr>
          <w:ilvl w:val="0"/>
          <w:numId w:val="6"/>
        </w:numPr>
      </w:pPr>
      <w:r w:rsidRPr="00736B68">
        <w:t>fixed service</w:t>
      </w:r>
      <w:r w:rsidR="00C41C21">
        <w:t>s</w:t>
      </w:r>
      <w:r w:rsidR="008B0578">
        <w:t xml:space="preserve"> (voice and broadband)</w:t>
      </w:r>
    </w:p>
    <w:p w:rsidR="005A25FE" w:rsidRPr="00736B68" w:rsidRDefault="005A25FE" w:rsidP="005A25FE">
      <w:pPr>
        <w:pStyle w:val="ListParagraph"/>
        <w:numPr>
          <w:ilvl w:val="0"/>
          <w:numId w:val="6"/>
        </w:numPr>
      </w:pPr>
      <w:r w:rsidRPr="00736B68">
        <w:t>mobile services</w:t>
      </w:r>
      <w:r w:rsidR="001742BB">
        <w:t xml:space="preserve"> (</w:t>
      </w:r>
      <w:r w:rsidRPr="00736B68">
        <w:t>voice and broadband</w:t>
      </w:r>
      <w:r w:rsidR="001742BB">
        <w:t>)</w:t>
      </w:r>
    </w:p>
    <w:p w:rsidR="008B0578" w:rsidRDefault="005A25FE" w:rsidP="005A25FE">
      <w:pPr>
        <w:pStyle w:val="ListParagraph"/>
        <w:numPr>
          <w:ilvl w:val="0"/>
          <w:numId w:val="6"/>
        </w:numPr>
      </w:pPr>
      <w:r w:rsidRPr="00736B68">
        <w:t>subscription television services</w:t>
      </w:r>
      <w:r w:rsidR="00675C8E">
        <w:t xml:space="preserve"> over the internet</w:t>
      </w:r>
    </w:p>
    <w:p w:rsidR="005A25FE" w:rsidRPr="00736B68" w:rsidRDefault="008B0578" w:rsidP="008B0578">
      <w:pPr>
        <w:pStyle w:val="ListParagraph"/>
        <w:numPr>
          <w:ilvl w:val="0"/>
          <w:numId w:val="6"/>
        </w:numPr>
      </w:pPr>
      <w:r w:rsidRPr="00736B68">
        <w:t xml:space="preserve">combinations of the above as part of </w:t>
      </w:r>
      <w:r w:rsidR="001742BB">
        <w:t xml:space="preserve">broader offers or </w:t>
      </w:r>
      <w:r w:rsidRPr="00736B68">
        <w:t>bundled packages</w:t>
      </w:r>
      <w:r>
        <w:t>.</w:t>
      </w:r>
    </w:p>
    <w:p w:rsidR="005A25FE" w:rsidRPr="00736B68" w:rsidRDefault="007929B1" w:rsidP="00814638">
      <w:pPr>
        <w:pStyle w:val="Heading5"/>
      </w:pPr>
      <w:r w:rsidRPr="00736B68">
        <w:t>F</w:t>
      </w:r>
      <w:r w:rsidR="005A25FE" w:rsidRPr="00736B68">
        <w:t>ixed services</w:t>
      </w:r>
    </w:p>
    <w:p w:rsidR="005A25FE" w:rsidRPr="00255644" w:rsidRDefault="005A25FE" w:rsidP="005A25FE">
      <w:pPr>
        <w:pStyle w:val="NormalParagraph"/>
        <w:tabs>
          <w:tab w:val="clear" w:pos="360"/>
          <w:tab w:val="num" w:pos="567"/>
        </w:tabs>
        <w:ind w:left="567" w:hanging="567"/>
      </w:pPr>
      <w:r w:rsidRPr="00736B68">
        <w:t xml:space="preserve">The main </w:t>
      </w:r>
      <w:r w:rsidRPr="00736B68">
        <w:rPr>
          <w:lang w:val="en-US"/>
        </w:rPr>
        <w:t>overlap</w:t>
      </w:r>
      <w:r w:rsidRPr="00736B68">
        <w:t xml:space="preserve"> between TPG and iiNet is for the supply of retail fixed broadband</w:t>
      </w:r>
      <w:r w:rsidR="005E3AE5">
        <w:t xml:space="preserve"> services</w:t>
      </w:r>
      <w:r w:rsidR="001742BB">
        <w:t xml:space="preserve">, </w:t>
      </w:r>
      <w:r w:rsidR="005E3AE5">
        <w:t xml:space="preserve">including </w:t>
      </w:r>
      <w:r w:rsidR="003051AC">
        <w:t>bundled offer</w:t>
      </w:r>
      <w:r w:rsidR="001742BB">
        <w:t>s</w:t>
      </w:r>
      <w:r w:rsidRPr="00736B68">
        <w:t xml:space="preserve">. This was the main focus of the ACCC’s review and is discussed further in the sections on market definition (starting at paragraph </w:t>
      </w:r>
      <w:r w:rsidR="00255644">
        <w:fldChar w:fldCharType="begin"/>
      </w:r>
      <w:r w:rsidR="00255644">
        <w:instrText xml:space="preserve"> REF _Ref426107710 \r \h </w:instrText>
      </w:r>
      <w:r w:rsidR="00255644">
        <w:fldChar w:fldCharType="separate"/>
      </w:r>
      <w:r w:rsidR="00AF3C30">
        <w:t>55</w:t>
      </w:r>
      <w:r w:rsidR="00255644">
        <w:fldChar w:fldCharType="end"/>
      </w:r>
      <w:r w:rsidRPr="00736B68">
        <w:t xml:space="preserve">), and competition assessment (starting </w:t>
      </w:r>
      <w:r w:rsidRPr="00255644">
        <w:t xml:space="preserve">at paragraph </w:t>
      </w:r>
      <w:r w:rsidR="008633E0">
        <w:fldChar w:fldCharType="begin"/>
      </w:r>
      <w:r w:rsidR="008633E0">
        <w:instrText xml:space="preserve"> REF _Ref427850187 \r </w:instrText>
      </w:r>
      <w:r w:rsidR="008633E0">
        <w:fldChar w:fldCharType="separate"/>
      </w:r>
      <w:r w:rsidR="00AF3C30">
        <w:t>73</w:t>
      </w:r>
      <w:r w:rsidR="008633E0">
        <w:fldChar w:fldCharType="end"/>
      </w:r>
      <w:r w:rsidR="00675C8E">
        <w:t>)</w:t>
      </w:r>
      <w:r w:rsidRPr="00255644">
        <w:t>.</w:t>
      </w:r>
    </w:p>
    <w:p w:rsidR="005A25FE" w:rsidRPr="00736B68" w:rsidRDefault="005A25FE" w:rsidP="005A25FE">
      <w:pPr>
        <w:pStyle w:val="NormalParagraph"/>
        <w:tabs>
          <w:tab w:val="clear" w:pos="360"/>
          <w:tab w:val="num" w:pos="567"/>
        </w:tabs>
        <w:ind w:left="567" w:hanging="567"/>
      </w:pPr>
      <w:r w:rsidRPr="00736B68">
        <w:t xml:space="preserve">Both TPG and iiNet have a relatively small presence in the supply of retail fixed voice services. Telstra remains the </w:t>
      </w:r>
      <w:r w:rsidR="001742BB">
        <w:t>largest</w:t>
      </w:r>
      <w:r w:rsidR="001742BB" w:rsidRPr="00736B68">
        <w:t xml:space="preserve"> </w:t>
      </w:r>
      <w:r w:rsidRPr="00736B68">
        <w:t xml:space="preserve">supplier of retail fixed voice services, with a share of 61 per cent as of June 2014. After the acquisition, </w:t>
      </w:r>
      <w:r w:rsidR="00E66DC5" w:rsidRPr="00736B68">
        <w:t>TPG</w:t>
      </w:r>
      <w:r w:rsidR="00920F0F" w:rsidRPr="00736B68">
        <w:t xml:space="preserve"> </w:t>
      </w:r>
      <w:r w:rsidRPr="00736B68">
        <w:t xml:space="preserve">would </w:t>
      </w:r>
      <w:r w:rsidRPr="00736B68">
        <w:lastRenderedPageBreak/>
        <w:t>have a 12 per cent share, which would place it approximately equal with Optus as the next largest supplier.</w:t>
      </w:r>
      <w:r w:rsidRPr="00736B68">
        <w:rPr>
          <w:rStyle w:val="FootnoteReference"/>
        </w:rPr>
        <w:footnoteReference w:id="1"/>
      </w:r>
      <w:r w:rsidRPr="00736B68">
        <w:t xml:space="preserve"> </w:t>
      </w:r>
    </w:p>
    <w:p w:rsidR="005A25FE" w:rsidRPr="00736B68" w:rsidRDefault="005A25FE" w:rsidP="00814638">
      <w:pPr>
        <w:pStyle w:val="Heading5"/>
      </w:pPr>
      <w:r w:rsidRPr="00736B68">
        <w:t xml:space="preserve">Mobile services </w:t>
      </w:r>
    </w:p>
    <w:p w:rsidR="005A25FE" w:rsidRPr="00736B68" w:rsidRDefault="005A25FE" w:rsidP="005A25FE">
      <w:pPr>
        <w:pStyle w:val="NormalParagraph"/>
        <w:tabs>
          <w:tab w:val="clear" w:pos="360"/>
          <w:tab w:val="num" w:pos="567"/>
        </w:tabs>
        <w:ind w:left="567" w:hanging="567"/>
      </w:pPr>
      <w:r w:rsidRPr="00736B68">
        <w:t xml:space="preserve">The supply of </w:t>
      </w:r>
      <w:r w:rsidRPr="00736B68">
        <w:rPr>
          <w:lang w:val="en-US"/>
        </w:rPr>
        <w:t>mobile</w:t>
      </w:r>
      <w:r w:rsidRPr="00736B68">
        <w:t xml:space="preserve"> services (both voice and broadband) is characterised by infrastructure based competition between the three mobile network operators – Telstra, Optus and Vodafone. These three companies comprise 90 per cent of the retail supply of mobile handset services.</w:t>
      </w:r>
      <w:r w:rsidRPr="00736B68">
        <w:rPr>
          <w:rStyle w:val="FootnoteReference"/>
        </w:rPr>
        <w:footnoteReference w:id="2"/>
      </w:r>
      <w:r w:rsidRPr="00736B68">
        <w:t xml:space="preserve"> The remaining 10 per cent is supplied by around 50 mobile resellers, including TPG and iiNet who both acquire services from Optus.</w:t>
      </w:r>
    </w:p>
    <w:p w:rsidR="005A25FE" w:rsidRPr="00736B68" w:rsidRDefault="005A25FE" w:rsidP="00814638">
      <w:pPr>
        <w:pStyle w:val="Heading5"/>
      </w:pPr>
      <w:r w:rsidRPr="00736B68">
        <w:t>Subscription television</w:t>
      </w:r>
    </w:p>
    <w:p w:rsidR="003051AC" w:rsidRDefault="005A25FE" w:rsidP="005A25FE">
      <w:pPr>
        <w:pStyle w:val="NormalParagraph"/>
        <w:tabs>
          <w:tab w:val="clear" w:pos="360"/>
          <w:tab w:val="num" w:pos="567"/>
        </w:tabs>
        <w:ind w:left="567" w:hanging="567"/>
      </w:pPr>
      <w:r w:rsidRPr="00736B68">
        <w:t>The major telecommunications service providers</w:t>
      </w:r>
      <w:r w:rsidR="002D1D3E" w:rsidRPr="00736B68">
        <w:t xml:space="preserve"> and </w:t>
      </w:r>
      <w:r w:rsidRPr="00736B68">
        <w:t xml:space="preserve">some </w:t>
      </w:r>
      <w:r w:rsidR="002D1D3E" w:rsidRPr="00736B68">
        <w:t xml:space="preserve">other </w:t>
      </w:r>
      <w:r w:rsidRPr="00736B68">
        <w:t>suppliers offer subscription television s</w:t>
      </w:r>
      <w:r w:rsidR="00920F0F" w:rsidRPr="00736B68">
        <w:t>ervices</w:t>
      </w:r>
      <w:r w:rsidR="002D1D3E" w:rsidRPr="00736B68">
        <w:t xml:space="preserve"> over the internet</w:t>
      </w:r>
      <w:r w:rsidR="00675C8E">
        <w:t xml:space="preserve"> (</w:t>
      </w:r>
      <w:r w:rsidR="00675C8E" w:rsidRPr="00736B68">
        <w:t>internet protocol television</w:t>
      </w:r>
      <w:r w:rsidR="00675C8E">
        <w:t xml:space="preserve"> – IPTV)</w:t>
      </w:r>
      <w:r w:rsidR="002D1D3E" w:rsidRPr="00736B68">
        <w:t xml:space="preserve">. During </w:t>
      </w:r>
      <w:r w:rsidR="00255644">
        <w:t>2014 and 2015</w:t>
      </w:r>
      <w:r w:rsidR="002D1D3E" w:rsidRPr="00736B68">
        <w:t xml:space="preserve"> </w:t>
      </w:r>
      <w:r w:rsidR="00255644">
        <w:t>t</w:t>
      </w:r>
      <w:r w:rsidR="002D1D3E" w:rsidRPr="00736B68">
        <w:t xml:space="preserve">here have been a number of changes in the supply of subscription television services. </w:t>
      </w:r>
      <w:r w:rsidRPr="00736B68">
        <w:t xml:space="preserve">In particular, the entry of Netflix, and a number of other on-demand content streaming services, has intensified </w:t>
      </w:r>
      <w:r w:rsidRPr="00736B68">
        <w:rPr>
          <w:lang w:val="en-US"/>
        </w:rPr>
        <w:t>competition</w:t>
      </w:r>
      <w:r w:rsidRPr="00736B68">
        <w:t xml:space="preserve"> between online content services. </w:t>
      </w:r>
    </w:p>
    <w:p w:rsidR="005A25FE" w:rsidRPr="00736B68" w:rsidRDefault="005A25FE" w:rsidP="005A25FE">
      <w:pPr>
        <w:pStyle w:val="NormalParagraph"/>
        <w:tabs>
          <w:tab w:val="clear" w:pos="360"/>
          <w:tab w:val="num" w:pos="567"/>
        </w:tabs>
        <w:ind w:left="567" w:hanging="567"/>
      </w:pPr>
      <w:r w:rsidRPr="00736B68">
        <w:t>While certain retail service providers such as iiNet and Optus previously had exclusive wholesale agreements to provide Fetch TV (an IPTV service which includes a number of linear entertainment channels and movies on demand, as well as access to Netflix), Fetch TV has subsequently launched a retail IPTV service which is available to all consumers, regardless of their broadband provider.</w:t>
      </w:r>
    </w:p>
    <w:p w:rsidR="00840BF4" w:rsidRPr="00736B68" w:rsidRDefault="00840BF4" w:rsidP="00814638">
      <w:pPr>
        <w:pStyle w:val="Heading5"/>
      </w:pPr>
      <w:r w:rsidRPr="00736B68">
        <w:t>Bundled offers</w:t>
      </w:r>
    </w:p>
    <w:p w:rsidR="00217B9B" w:rsidRPr="00736B68" w:rsidRDefault="00C00907" w:rsidP="00217B9B">
      <w:pPr>
        <w:pStyle w:val="NormalParagraph"/>
        <w:tabs>
          <w:tab w:val="clear" w:pos="360"/>
          <w:tab w:val="num" w:pos="567"/>
        </w:tabs>
        <w:ind w:left="567" w:hanging="567"/>
      </w:pPr>
      <w:r w:rsidRPr="00736B68">
        <w:t>The services identified above may be offered</w:t>
      </w:r>
      <w:r w:rsidR="00790A48" w:rsidRPr="00736B68">
        <w:t xml:space="preserve"> as part of a bundle</w:t>
      </w:r>
      <w:r w:rsidRPr="00736B68">
        <w:t xml:space="preserve"> or independently.</w:t>
      </w:r>
      <w:r w:rsidR="00790A48" w:rsidRPr="00736B68">
        <w:t xml:space="preserve"> For instance, many telecommunications </w:t>
      </w:r>
      <w:r w:rsidR="00217B9B" w:rsidRPr="00736B68">
        <w:t>providers</w:t>
      </w:r>
      <w:r w:rsidR="00790A48" w:rsidRPr="00736B68">
        <w:t xml:space="preserve"> offer fixed</w:t>
      </w:r>
      <w:r w:rsidR="00217B9B" w:rsidRPr="00736B68">
        <w:t xml:space="preserve"> voice and fixed broadband services together in a bundle, or separately. As discussed below, the ACCC has defined fixed broadband as a separate product market. The ACCC was satisfied that any concerns relating to </w:t>
      </w:r>
      <w:r w:rsidR="00A8044C" w:rsidRPr="00736B68">
        <w:t xml:space="preserve">the supply of </w:t>
      </w:r>
      <w:r w:rsidR="00217B9B" w:rsidRPr="00736B68">
        <w:t>fixed broadband would also highlight concerns in other areas of overlap</w:t>
      </w:r>
      <w:r w:rsidR="00A8044C" w:rsidRPr="00736B68">
        <w:t>,</w:t>
      </w:r>
      <w:r w:rsidR="00217B9B" w:rsidRPr="00736B68">
        <w:t xml:space="preserve"> to the extent relevant.</w:t>
      </w:r>
    </w:p>
    <w:p w:rsidR="005A25FE" w:rsidRPr="00736B68" w:rsidRDefault="005A25FE" w:rsidP="00814638">
      <w:pPr>
        <w:pStyle w:val="Heading5"/>
      </w:pPr>
      <w:r w:rsidRPr="00736B68">
        <w:t>Conclusion on areas of overlap</w:t>
      </w:r>
    </w:p>
    <w:p w:rsidR="00840BF4" w:rsidRPr="00736B68" w:rsidRDefault="005A25FE" w:rsidP="00D0497B">
      <w:pPr>
        <w:pStyle w:val="NormalParagraph"/>
        <w:tabs>
          <w:tab w:val="clear" w:pos="360"/>
          <w:tab w:val="num" w:pos="567"/>
        </w:tabs>
        <w:ind w:left="567" w:hanging="567"/>
      </w:pPr>
      <w:r w:rsidRPr="00736B68">
        <w:t>Given the relatively limited presence of the merger parties and</w:t>
      </w:r>
      <w:r w:rsidR="007929B1" w:rsidRPr="00736B68">
        <w:t>/or</w:t>
      </w:r>
      <w:r w:rsidRPr="00736B68">
        <w:t xml:space="preserve"> the existence of a number of competitors in the supply of voice</w:t>
      </w:r>
      <w:r w:rsidR="007929B1" w:rsidRPr="00736B68">
        <w:t xml:space="preserve"> services (fixed and mobile)</w:t>
      </w:r>
      <w:r w:rsidRPr="00736B68">
        <w:t>, mobile broadband and subscr</w:t>
      </w:r>
      <w:r w:rsidR="007929B1" w:rsidRPr="00736B68">
        <w:t>iption television, the ACCC decided</w:t>
      </w:r>
      <w:r w:rsidRPr="00736B68">
        <w:t xml:space="preserve"> </w:t>
      </w:r>
      <w:r w:rsidR="007929B1" w:rsidRPr="00736B68">
        <w:t xml:space="preserve">that the </w:t>
      </w:r>
      <w:r w:rsidR="001C1E2D">
        <w:t xml:space="preserve">proposed </w:t>
      </w:r>
      <w:r w:rsidR="007929B1" w:rsidRPr="00736B68">
        <w:t>acquisition was</w:t>
      </w:r>
      <w:r w:rsidRPr="00736B68">
        <w:t xml:space="preserve"> not likely to raise significant concerns in relation to these areas of overlap</w:t>
      </w:r>
      <w:r w:rsidR="007929B1" w:rsidRPr="00736B68">
        <w:t xml:space="preserve">. </w:t>
      </w:r>
      <w:r w:rsidR="00840BF4" w:rsidRPr="00736B68">
        <w:t>Therefore, these are not considered further</w:t>
      </w:r>
      <w:r w:rsidR="001C1E2D">
        <w:t xml:space="preserve"> in this Public Competition Assessment</w:t>
      </w:r>
      <w:r w:rsidR="00840BF4" w:rsidRPr="00736B68">
        <w:t>.</w:t>
      </w:r>
    </w:p>
    <w:p w:rsidR="00AF1C87" w:rsidRPr="00736B68" w:rsidRDefault="00AF1C87" w:rsidP="00235326">
      <w:pPr>
        <w:pStyle w:val="Heading3"/>
      </w:pPr>
      <w:r w:rsidRPr="00736B68">
        <w:lastRenderedPageBreak/>
        <w:t>Market definition</w:t>
      </w:r>
    </w:p>
    <w:p w:rsidR="00AF1C87" w:rsidRPr="00736B68" w:rsidRDefault="001955E2" w:rsidP="001955E2">
      <w:pPr>
        <w:pStyle w:val="NormalParagraph"/>
        <w:tabs>
          <w:tab w:val="clear" w:pos="360"/>
          <w:tab w:val="num" w:pos="567"/>
        </w:tabs>
        <w:ind w:left="567" w:hanging="567"/>
      </w:pPr>
      <w:bookmarkStart w:id="9" w:name="_Ref426107710"/>
      <w:r w:rsidRPr="001955E2">
        <w:rPr>
          <w:rFonts w:cs="Arial"/>
        </w:rPr>
        <w:t>Market definition is a tool to identify the boundaries of competitive conduct between the merger parties and their rivals. Market definition is purposive, and it depends on the specific facts and circumstances of a merger. In this case, t</w:t>
      </w:r>
      <w:r w:rsidR="00AF1C87" w:rsidRPr="00736B68">
        <w:t xml:space="preserve">he ACCC </w:t>
      </w:r>
      <w:r w:rsidR="00235326" w:rsidRPr="00736B68">
        <w:t xml:space="preserve">assessed the </w:t>
      </w:r>
      <w:r w:rsidR="00F53038" w:rsidRPr="00736B68">
        <w:t>competitive effects</w:t>
      </w:r>
      <w:r w:rsidR="00235326" w:rsidRPr="00736B68">
        <w:t xml:space="preserve"> of the </w:t>
      </w:r>
      <w:r w:rsidR="001C1E2D">
        <w:t xml:space="preserve">proposed </w:t>
      </w:r>
      <w:r w:rsidR="00235326" w:rsidRPr="00736B68">
        <w:t>ac</w:t>
      </w:r>
      <w:r w:rsidR="00E014DB" w:rsidRPr="00736B68">
        <w:t>quisition in the context of</w:t>
      </w:r>
      <w:r w:rsidR="00235326" w:rsidRPr="00736B68">
        <w:t>:</w:t>
      </w:r>
      <w:bookmarkEnd w:id="9"/>
    </w:p>
    <w:p w:rsidR="00A8105D" w:rsidRPr="00736B68" w:rsidRDefault="00E014DB" w:rsidP="000F5DAC">
      <w:pPr>
        <w:pStyle w:val="ListParagraph"/>
        <w:numPr>
          <w:ilvl w:val="0"/>
          <w:numId w:val="6"/>
        </w:numPr>
      </w:pPr>
      <w:r w:rsidRPr="00736B68">
        <w:t xml:space="preserve">the </w:t>
      </w:r>
      <w:r w:rsidR="00A8105D" w:rsidRPr="00736B68">
        <w:t xml:space="preserve">market for the retail supply of fixed broadband services in </w:t>
      </w:r>
      <w:r w:rsidR="00A75A49" w:rsidRPr="00736B68">
        <w:t>Australia</w:t>
      </w:r>
    </w:p>
    <w:p w:rsidR="00A8105D" w:rsidRPr="00736B68" w:rsidRDefault="00A8105D" w:rsidP="00A8105D">
      <w:pPr>
        <w:pStyle w:val="ListParagraph"/>
        <w:numPr>
          <w:ilvl w:val="0"/>
          <w:numId w:val="6"/>
        </w:numPr>
      </w:pPr>
      <w:r w:rsidRPr="00736B68">
        <w:t>the market for the wholesale supply of tra</w:t>
      </w:r>
      <w:r w:rsidR="0049063A" w:rsidRPr="00736B68">
        <w:t>nsmission services in Australia.</w:t>
      </w:r>
    </w:p>
    <w:p w:rsidR="00D07EF1" w:rsidRPr="00736B68" w:rsidRDefault="00D07EF1" w:rsidP="00D07EF1">
      <w:pPr>
        <w:pStyle w:val="NormalParagraph"/>
        <w:tabs>
          <w:tab w:val="clear" w:pos="360"/>
          <w:tab w:val="num" w:pos="567"/>
        </w:tabs>
        <w:ind w:left="567" w:hanging="567"/>
      </w:pPr>
      <w:r w:rsidRPr="00736B68">
        <w:t>These markets are consistent with those outlined in the Statement of Issues.</w:t>
      </w:r>
    </w:p>
    <w:p w:rsidR="00235326" w:rsidRPr="00736B68" w:rsidRDefault="00A8105D" w:rsidP="006E4E89">
      <w:pPr>
        <w:pStyle w:val="Heading4"/>
      </w:pPr>
      <w:r w:rsidRPr="00736B68">
        <w:t>Retail supply of fixed broadband services</w:t>
      </w:r>
    </w:p>
    <w:p w:rsidR="00235326" w:rsidRPr="00736B68" w:rsidRDefault="00235326" w:rsidP="00814638">
      <w:pPr>
        <w:pStyle w:val="Heading5"/>
      </w:pPr>
      <w:r w:rsidRPr="00736B68">
        <w:t>Product dimension</w:t>
      </w:r>
      <w:r w:rsidR="00D07EF1" w:rsidRPr="00736B68">
        <w:t xml:space="preserve"> of the market</w:t>
      </w:r>
    </w:p>
    <w:p w:rsidR="006A4701" w:rsidRPr="00736B68" w:rsidRDefault="006A4701" w:rsidP="006A4701">
      <w:pPr>
        <w:pStyle w:val="NormalParagraph"/>
        <w:tabs>
          <w:tab w:val="clear" w:pos="360"/>
          <w:tab w:val="num" w:pos="567"/>
        </w:tabs>
        <w:ind w:left="567" w:hanging="567"/>
        <w:rPr>
          <w:rFonts w:cs="Arial"/>
        </w:rPr>
      </w:pPr>
      <w:r w:rsidRPr="00736B68">
        <w:rPr>
          <w:rFonts w:cs="Arial"/>
        </w:rPr>
        <w:t>A fixed broadband service is a high bandwidth carriage service that can be characterised as an ‘always on’ connection that generally involves the carriage of communications to residential or business premises.</w:t>
      </w:r>
    </w:p>
    <w:p w:rsidR="006A4701" w:rsidRPr="00736B68" w:rsidRDefault="006A4701" w:rsidP="006A4701">
      <w:pPr>
        <w:pStyle w:val="NormalParagraph"/>
        <w:tabs>
          <w:tab w:val="clear" w:pos="360"/>
          <w:tab w:val="num" w:pos="567"/>
        </w:tabs>
        <w:ind w:left="567" w:hanging="567"/>
        <w:rPr>
          <w:rFonts w:cs="Arial"/>
        </w:rPr>
      </w:pPr>
      <w:r w:rsidRPr="00736B68">
        <w:rPr>
          <w:rFonts w:cs="Arial"/>
        </w:rPr>
        <w:t xml:space="preserve">Fixed broadband can be delivered over a number of </w:t>
      </w:r>
      <w:r w:rsidR="00D66FA5">
        <w:rPr>
          <w:rFonts w:cs="Arial"/>
        </w:rPr>
        <w:t xml:space="preserve">network </w:t>
      </w:r>
      <w:r w:rsidRPr="00736B68">
        <w:rPr>
          <w:rFonts w:cs="Arial"/>
        </w:rPr>
        <w:t>technologies including copper</w:t>
      </w:r>
      <w:r w:rsidR="00D66FA5">
        <w:rPr>
          <w:rFonts w:cs="Arial"/>
        </w:rPr>
        <w:t>, HFC and</w:t>
      </w:r>
      <w:r w:rsidRPr="00736B68">
        <w:rPr>
          <w:rFonts w:cs="Arial"/>
        </w:rPr>
        <w:t xml:space="preserve"> fibre. From a functional or consumer perspective, the services supplied over these different technologies all support similar downstream applications. </w:t>
      </w:r>
    </w:p>
    <w:p w:rsidR="002F033E" w:rsidRPr="00736B68" w:rsidRDefault="002F033E" w:rsidP="002F033E">
      <w:pPr>
        <w:pStyle w:val="NormalParagraph"/>
        <w:numPr>
          <w:ilvl w:val="0"/>
          <w:numId w:val="0"/>
        </w:numPr>
        <w:ind w:left="360" w:hanging="360"/>
        <w:rPr>
          <w:i/>
        </w:rPr>
      </w:pPr>
      <w:r w:rsidRPr="00736B68">
        <w:rPr>
          <w:i/>
        </w:rPr>
        <w:t>Fixed line versus mobile</w:t>
      </w:r>
    </w:p>
    <w:p w:rsidR="000E7F1D" w:rsidRPr="00736B68" w:rsidRDefault="00257839" w:rsidP="000E7F1D">
      <w:pPr>
        <w:pStyle w:val="NormalParagraph"/>
        <w:tabs>
          <w:tab w:val="clear" w:pos="360"/>
          <w:tab w:val="num" w:pos="567"/>
        </w:tabs>
        <w:ind w:left="567" w:hanging="567"/>
        <w:rPr>
          <w:rFonts w:cs="Arial"/>
        </w:rPr>
      </w:pPr>
      <w:r>
        <w:rPr>
          <w:rFonts w:cs="Arial"/>
        </w:rPr>
        <w:t xml:space="preserve">Mobile network operators and mobile service resellers also </w:t>
      </w:r>
      <w:r w:rsidR="00EE43D7" w:rsidRPr="00736B68">
        <w:rPr>
          <w:rFonts w:cs="Arial"/>
        </w:rPr>
        <w:t xml:space="preserve">offer </w:t>
      </w:r>
      <w:r w:rsidR="000E7F1D" w:rsidRPr="00736B68">
        <w:rPr>
          <w:rFonts w:cs="Arial"/>
        </w:rPr>
        <w:t xml:space="preserve">customers </w:t>
      </w:r>
      <w:r w:rsidR="00EE43D7" w:rsidRPr="00736B68">
        <w:rPr>
          <w:rFonts w:cs="Arial"/>
        </w:rPr>
        <w:t>access to the internet</w:t>
      </w:r>
      <w:r>
        <w:rPr>
          <w:rFonts w:cs="Arial"/>
        </w:rPr>
        <w:t xml:space="preserve">, which may be received by </w:t>
      </w:r>
      <w:r w:rsidR="00EE43D7" w:rsidRPr="00736B68">
        <w:rPr>
          <w:rFonts w:cs="Arial"/>
        </w:rPr>
        <w:t xml:space="preserve">mobile </w:t>
      </w:r>
      <w:r w:rsidR="00D14F45" w:rsidRPr="00736B68">
        <w:rPr>
          <w:rFonts w:cs="Arial"/>
        </w:rPr>
        <w:t>devices</w:t>
      </w:r>
      <w:r w:rsidR="00EE43D7" w:rsidRPr="00736B68">
        <w:rPr>
          <w:rFonts w:cs="Arial"/>
        </w:rPr>
        <w:t xml:space="preserve"> such as mobile phones, tablets, laptops or USB attachments (e.g. dongles).</w:t>
      </w:r>
      <w:r w:rsidR="000E7F1D" w:rsidRPr="00736B68">
        <w:rPr>
          <w:rFonts w:cs="Arial"/>
        </w:rPr>
        <w:t xml:space="preserve"> These </w:t>
      </w:r>
      <w:r w:rsidR="003E12CF" w:rsidRPr="00736B68">
        <w:rPr>
          <w:rFonts w:cs="Arial"/>
        </w:rPr>
        <w:t>products</w:t>
      </w:r>
      <w:r w:rsidR="007F02E6" w:rsidRPr="00736B68">
        <w:rPr>
          <w:rFonts w:cs="Arial"/>
        </w:rPr>
        <w:t xml:space="preserve"> </w:t>
      </w:r>
      <w:r w:rsidR="000E7F1D" w:rsidRPr="00736B68">
        <w:rPr>
          <w:rFonts w:cs="Arial"/>
        </w:rPr>
        <w:t xml:space="preserve">may be offered as part of a bundle </w:t>
      </w:r>
      <w:r w:rsidR="00D14F45" w:rsidRPr="00736B68">
        <w:rPr>
          <w:rFonts w:cs="Arial"/>
        </w:rPr>
        <w:t>with other telecommunications services</w:t>
      </w:r>
      <w:r w:rsidR="003E12CF" w:rsidRPr="00736B68">
        <w:rPr>
          <w:rFonts w:cs="Arial"/>
        </w:rPr>
        <w:t>.</w:t>
      </w:r>
    </w:p>
    <w:p w:rsidR="003D39F7" w:rsidRPr="00736B68" w:rsidRDefault="007F02E6" w:rsidP="003D39F7">
      <w:pPr>
        <w:pStyle w:val="NormalParagraph"/>
        <w:tabs>
          <w:tab w:val="clear" w:pos="360"/>
          <w:tab w:val="num" w:pos="567"/>
        </w:tabs>
        <w:ind w:left="567" w:hanging="567"/>
        <w:rPr>
          <w:rFonts w:cs="Arial"/>
        </w:rPr>
      </w:pPr>
      <w:r w:rsidRPr="00736B68">
        <w:rPr>
          <w:rFonts w:cs="Arial"/>
        </w:rPr>
        <w:t xml:space="preserve">The ACCC did not consider mobile broadband to be in the same market as fixed broadband in assessing this acquisition. </w:t>
      </w:r>
      <w:r w:rsidR="003D39F7" w:rsidRPr="00736B68">
        <w:rPr>
          <w:rFonts w:cs="Arial"/>
        </w:rPr>
        <w:t xml:space="preserve">From a functional or consumer perspective, the degree of substitutability between </w:t>
      </w:r>
      <w:r w:rsidR="001C64F2" w:rsidRPr="00736B68">
        <w:rPr>
          <w:rFonts w:cs="Arial"/>
        </w:rPr>
        <w:t xml:space="preserve">mobile and </w:t>
      </w:r>
      <w:r w:rsidR="003D39F7" w:rsidRPr="00736B68">
        <w:rPr>
          <w:rFonts w:cs="Arial"/>
        </w:rPr>
        <w:t>fixed broadband depend</w:t>
      </w:r>
      <w:r w:rsidR="00EF1F27">
        <w:rPr>
          <w:rFonts w:cs="Arial"/>
        </w:rPr>
        <w:t>s</w:t>
      </w:r>
      <w:r w:rsidR="003D39F7" w:rsidRPr="00736B68">
        <w:rPr>
          <w:rFonts w:cs="Arial"/>
        </w:rPr>
        <w:t xml:space="preserve"> on the pa</w:t>
      </w:r>
      <w:r w:rsidR="001C64F2" w:rsidRPr="00736B68">
        <w:rPr>
          <w:rFonts w:cs="Arial"/>
        </w:rPr>
        <w:t>rticular downstream application, consumer preferences and usage patterns.</w:t>
      </w:r>
    </w:p>
    <w:p w:rsidR="003D39F7" w:rsidRPr="00736B68" w:rsidRDefault="005B5180" w:rsidP="003D39F7">
      <w:pPr>
        <w:pStyle w:val="NormalParagraph"/>
        <w:tabs>
          <w:tab w:val="clear" w:pos="360"/>
          <w:tab w:val="num" w:pos="567"/>
        </w:tabs>
        <w:ind w:left="567" w:hanging="567"/>
        <w:rPr>
          <w:rFonts w:cs="Arial"/>
        </w:rPr>
      </w:pPr>
      <w:r>
        <w:rPr>
          <w:rFonts w:cs="Arial"/>
        </w:rPr>
        <w:t>The ACCC found that t</w:t>
      </w:r>
      <w:r w:rsidR="001C64F2" w:rsidRPr="00736B68">
        <w:rPr>
          <w:rFonts w:cs="Arial"/>
        </w:rPr>
        <w:t>here are</w:t>
      </w:r>
      <w:r w:rsidR="003D39F7" w:rsidRPr="00736B68">
        <w:rPr>
          <w:rFonts w:cs="Arial"/>
        </w:rPr>
        <w:t xml:space="preserve"> different characteristics between </w:t>
      </w:r>
      <w:r w:rsidR="001C64F2" w:rsidRPr="00736B68">
        <w:rPr>
          <w:rFonts w:cs="Arial"/>
        </w:rPr>
        <w:t>m</w:t>
      </w:r>
      <w:r w:rsidR="003D39F7" w:rsidRPr="00736B68">
        <w:rPr>
          <w:rFonts w:cs="Arial"/>
        </w:rPr>
        <w:t xml:space="preserve">obile </w:t>
      </w:r>
      <w:r w:rsidR="001C64F2" w:rsidRPr="00736B68">
        <w:rPr>
          <w:rFonts w:cs="Arial"/>
        </w:rPr>
        <w:t>and fixed broadband,</w:t>
      </w:r>
      <w:r w:rsidR="003D39F7" w:rsidRPr="00736B68">
        <w:rPr>
          <w:rFonts w:cs="Arial"/>
        </w:rPr>
        <w:t xml:space="preserve"> </w:t>
      </w:r>
      <w:r w:rsidR="001C64F2" w:rsidRPr="00736B68">
        <w:rPr>
          <w:rFonts w:cs="Arial"/>
        </w:rPr>
        <w:t xml:space="preserve">including </w:t>
      </w:r>
      <w:r w:rsidR="003D39F7" w:rsidRPr="00736B68">
        <w:rPr>
          <w:rFonts w:cs="Arial"/>
        </w:rPr>
        <w:t>price, data allowances</w:t>
      </w:r>
      <w:r w:rsidR="001C64F2" w:rsidRPr="00736B68">
        <w:rPr>
          <w:rFonts w:cs="Arial"/>
        </w:rPr>
        <w:t xml:space="preserve"> </w:t>
      </w:r>
      <w:r w:rsidR="003D39F7" w:rsidRPr="00736B68">
        <w:rPr>
          <w:rFonts w:cs="Arial"/>
        </w:rPr>
        <w:t xml:space="preserve">and usage limitations. </w:t>
      </w:r>
      <w:r w:rsidR="00257839">
        <w:rPr>
          <w:rFonts w:cs="Arial"/>
        </w:rPr>
        <w:t xml:space="preserve">These differences are demonstrated by the fact that 93 per cent of data downloaded by Australian consumers </w:t>
      </w:r>
      <w:r w:rsidR="003F2F7C">
        <w:rPr>
          <w:rFonts w:cs="Arial"/>
        </w:rPr>
        <w:t>is through a fixed broadband connection.</w:t>
      </w:r>
      <w:r w:rsidR="003F2F7C">
        <w:rPr>
          <w:rStyle w:val="FootnoteReference"/>
          <w:rFonts w:cs="Arial"/>
        </w:rPr>
        <w:footnoteReference w:id="3"/>
      </w:r>
      <w:r w:rsidR="003D39F7" w:rsidRPr="00736B68">
        <w:rPr>
          <w:rFonts w:cs="Arial"/>
        </w:rPr>
        <w:t xml:space="preserve"> </w:t>
      </w:r>
    </w:p>
    <w:p w:rsidR="00E375E8" w:rsidRPr="00E375E8" w:rsidRDefault="00E375E8" w:rsidP="00E375E8">
      <w:pPr>
        <w:pStyle w:val="NormalParagraph"/>
        <w:tabs>
          <w:tab w:val="clear" w:pos="360"/>
          <w:tab w:val="num" w:pos="567"/>
        </w:tabs>
        <w:ind w:left="567" w:hanging="567"/>
        <w:rPr>
          <w:rFonts w:cs="Arial"/>
        </w:rPr>
      </w:pPr>
      <w:r w:rsidRPr="00E375E8">
        <w:rPr>
          <w:rFonts w:cs="Arial"/>
        </w:rPr>
        <w:t>T</w:t>
      </w:r>
      <w:r w:rsidR="001C64F2" w:rsidRPr="00E375E8">
        <w:rPr>
          <w:rFonts w:cs="Arial"/>
        </w:rPr>
        <w:t>here is a general tren</w:t>
      </w:r>
      <w:r w:rsidR="00EF5481" w:rsidRPr="00E375E8">
        <w:rPr>
          <w:rFonts w:cs="Arial"/>
        </w:rPr>
        <w:t>d towards greater use of mobile data</w:t>
      </w:r>
      <w:r w:rsidR="00EF5481" w:rsidRPr="00736B68">
        <w:rPr>
          <w:rFonts w:cs="Arial"/>
        </w:rPr>
        <w:t>.</w:t>
      </w:r>
      <w:r w:rsidR="00E54A8A">
        <w:rPr>
          <w:rFonts w:cs="Arial"/>
        </w:rPr>
        <w:t xml:space="preserve"> </w:t>
      </w:r>
      <w:r w:rsidR="0098701E">
        <w:rPr>
          <w:rFonts w:cs="Arial"/>
        </w:rPr>
        <w:t xml:space="preserve">However, if there were a small but significant (5-10 per cent) increase in the price of fixed broadband, the ACCC considered it unlikely that enough customers would switch to mobile broadband for </w:t>
      </w:r>
      <w:r w:rsidR="00904E4E">
        <w:rPr>
          <w:rFonts w:cs="Arial"/>
        </w:rPr>
        <w:t>these services</w:t>
      </w:r>
      <w:r w:rsidR="0098701E">
        <w:rPr>
          <w:rFonts w:cs="Arial"/>
        </w:rPr>
        <w:t xml:space="preserve"> to be viewed as </w:t>
      </w:r>
      <w:r w:rsidR="005C1731">
        <w:rPr>
          <w:rFonts w:cs="Arial"/>
        </w:rPr>
        <w:t>sufficiently close substitutes.</w:t>
      </w:r>
      <w:r w:rsidR="00904E4E">
        <w:rPr>
          <w:rFonts w:cs="Arial"/>
        </w:rPr>
        <w:t xml:space="preserve"> </w:t>
      </w:r>
      <w:r w:rsidR="005C1731">
        <w:rPr>
          <w:rFonts w:cs="Arial"/>
        </w:rPr>
        <w:t>This is because of the functional differences between the two services. Moreover, where mobile broadband is priced significantly above fixed broadband, it seems unlikely that enough switching</w:t>
      </w:r>
      <w:r w:rsidR="00904E4E">
        <w:rPr>
          <w:rFonts w:cs="Arial"/>
        </w:rPr>
        <w:t xml:space="preserve"> would occur.</w:t>
      </w:r>
      <w:r w:rsidR="005C1731">
        <w:rPr>
          <w:rFonts w:cs="Arial"/>
        </w:rPr>
        <w:t xml:space="preserve"> </w:t>
      </w:r>
      <w:r w:rsidRPr="00E375E8">
        <w:rPr>
          <w:rFonts w:cs="Arial"/>
        </w:rPr>
        <w:t xml:space="preserve">The ACCC </w:t>
      </w:r>
      <w:r w:rsidRPr="00E375E8">
        <w:rPr>
          <w:rFonts w:cs="Arial"/>
        </w:rPr>
        <w:lastRenderedPageBreak/>
        <w:t xml:space="preserve">therefore assessed the proposed acquisition on the basis of a market for </w:t>
      </w:r>
      <w:r w:rsidR="00D16CC1">
        <w:rPr>
          <w:rFonts w:cs="Arial"/>
        </w:rPr>
        <w:t xml:space="preserve">the supply of </w:t>
      </w:r>
      <w:r w:rsidRPr="00E375E8">
        <w:rPr>
          <w:rFonts w:cs="Arial"/>
        </w:rPr>
        <w:t>fixed broadband, ex</w:t>
      </w:r>
      <w:r w:rsidR="007762AA">
        <w:rPr>
          <w:rFonts w:cs="Arial"/>
        </w:rPr>
        <w:t>c</w:t>
      </w:r>
      <w:r w:rsidRPr="00E375E8">
        <w:rPr>
          <w:rFonts w:cs="Arial"/>
        </w:rPr>
        <w:t>luding mobile broadband.</w:t>
      </w:r>
    </w:p>
    <w:p w:rsidR="005B5180" w:rsidRPr="005B5180" w:rsidRDefault="005B5180" w:rsidP="005B5180">
      <w:pPr>
        <w:pStyle w:val="NormalParagraph"/>
        <w:tabs>
          <w:tab w:val="clear" w:pos="360"/>
          <w:tab w:val="num" w:pos="567"/>
        </w:tabs>
        <w:ind w:left="567" w:hanging="567"/>
        <w:rPr>
          <w:rFonts w:cs="Arial"/>
        </w:rPr>
      </w:pPr>
      <w:r w:rsidRPr="00736B68">
        <w:rPr>
          <w:rFonts w:cs="Arial"/>
        </w:rPr>
        <w:t xml:space="preserve">For the purpose of assessing the </w:t>
      </w:r>
      <w:r w:rsidR="001C1E2D">
        <w:rPr>
          <w:rFonts w:cs="Arial"/>
        </w:rPr>
        <w:t xml:space="preserve">proposed </w:t>
      </w:r>
      <w:r>
        <w:rPr>
          <w:rFonts w:cs="Arial"/>
        </w:rPr>
        <w:t>acquisition, t</w:t>
      </w:r>
      <w:r w:rsidRPr="00736B68">
        <w:rPr>
          <w:rFonts w:cs="Arial"/>
        </w:rPr>
        <w:t>he ACCC co</w:t>
      </w:r>
      <w:r>
        <w:rPr>
          <w:rFonts w:cs="Arial"/>
        </w:rPr>
        <w:t>nsidered</w:t>
      </w:r>
      <w:r w:rsidRPr="00736B68">
        <w:rPr>
          <w:rFonts w:cs="Arial"/>
        </w:rPr>
        <w:t xml:space="preserve"> that the </w:t>
      </w:r>
      <w:r>
        <w:rPr>
          <w:rFonts w:cs="Arial"/>
        </w:rPr>
        <w:t>fixed broadband market included</w:t>
      </w:r>
      <w:r w:rsidRPr="00736B68">
        <w:rPr>
          <w:rFonts w:cs="Arial"/>
        </w:rPr>
        <w:t xml:space="preserve"> broadband services provided over</w:t>
      </w:r>
      <w:r>
        <w:rPr>
          <w:rFonts w:cs="Arial"/>
        </w:rPr>
        <w:t xml:space="preserve"> different fixed line technolog</w:t>
      </w:r>
      <w:r w:rsidR="00255644">
        <w:rPr>
          <w:rFonts w:cs="Arial"/>
        </w:rPr>
        <w:t>ies</w:t>
      </w:r>
      <w:r>
        <w:rPr>
          <w:rFonts w:cs="Arial"/>
        </w:rPr>
        <w:t xml:space="preserve"> such as copper and fibre</w:t>
      </w:r>
      <w:r w:rsidRPr="00736B68">
        <w:rPr>
          <w:rFonts w:cs="Arial"/>
        </w:rPr>
        <w:t>.</w:t>
      </w:r>
    </w:p>
    <w:p w:rsidR="000F5DAC" w:rsidRPr="00736B68" w:rsidRDefault="000F5DAC" w:rsidP="00814638">
      <w:pPr>
        <w:pStyle w:val="Heading5"/>
      </w:pPr>
      <w:r w:rsidRPr="00736B68">
        <w:t>Geographic dimension</w:t>
      </w:r>
      <w:r w:rsidR="00D07EF1" w:rsidRPr="00736B68">
        <w:t xml:space="preserve"> of the market</w:t>
      </w:r>
    </w:p>
    <w:p w:rsidR="00F155CD" w:rsidRPr="00736B68" w:rsidRDefault="001955E2" w:rsidP="00F155CD">
      <w:pPr>
        <w:pStyle w:val="NormalParagraph"/>
        <w:tabs>
          <w:tab w:val="clear" w:pos="360"/>
          <w:tab w:val="num" w:pos="567"/>
        </w:tabs>
        <w:ind w:left="567" w:hanging="567"/>
        <w:rPr>
          <w:rFonts w:cs="Arial"/>
        </w:rPr>
      </w:pPr>
      <w:r>
        <w:rPr>
          <w:rFonts w:cs="Arial"/>
        </w:rPr>
        <w:t xml:space="preserve">As discussed earlier, market </w:t>
      </w:r>
      <w:r w:rsidRPr="00736B68">
        <w:rPr>
          <w:rFonts w:cs="Arial"/>
        </w:rPr>
        <w:t xml:space="preserve">definition </w:t>
      </w:r>
      <w:r>
        <w:rPr>
          <w:rFonts w:cs="Arial"/>
        </w:rPr>
        <w:t xml:space="preserve">is purposive, and it depends on the specific facts and circumstances of a merger. </w:t>
      </w:r>
      <w:r w:rsidR="00F155CD" w:rsidRPr="00736B68">
        <w:rPr>
          <w:rFonts w:cs="Arial"/>
        </w:rPr>
        <w:t xml:space="preserve">In this respect it is relevant that both TPG and iiNet provide on-net services in the majority of states and territories. In addition, they both </w:t>
      </w:r>
      <w:r>
        <w:rPr>
          <w:rFonts w:cs="Arial"/>
        </w:rPr>
        <w:t xml:space="preserve">also </w:t>
      </w:r>
      <w:r w:rsidR="00F155CD" w:rsidRPr="00736B68">
        <w:rPr>
          <w:rFonts w:cs="Arial"/>
        </w:rPr>
        <w:t xml:space="preserve">provide off-net services, including through Telstra’s wholesale ADSL product, which is available </w:t>
      </w:r>
      <w:r w:rsidR="00D4719D">
        <w:rPr>
          <w:rFonts w:cs="Arial"/>
        </w:rPr>
        <w:t xml:space="preserve">in metropolitan, regional and </w:t>
      </w:r>
      <w:r w:rsidR="00DA7FC7">
        <w:rPr>
          <w:rFonts w:cs="Arial"/>
        </w:rPr>
        <w:t xml:space="preserve">some </w:t>
      </w:r>
      <w:r w:rsidR="00D4719D">
        <w:rPr>
          <w:rFonts w:cs="Arial"/>
        </w:rPr>
        <w:t>rural areas</w:t>
      </w:r>
      <w:r w:rsidR="00F155CD" w:rsidRPr="00736B68">
        <w:rPr>
          <w:rFonts w:cs="Arial"/>
        </w:rPr>
        <w:t xml:space="preserve">. </w:t>
      </w:r>
    </w:p>
    <w:p w:rsidR="00F155CD" w:rsidRPr="00736B68" w:rsidRDefault="00F155CD" w:rsidP="00F155CD">
      <w:pPr>
        <w:pStyle w:val="NormalParagraph"/>
        <w:tabs>
          <w:tab w:val="clear" w:pos="360"/>
          <w:tab w:val="num" w:pos="567"/>
        </w:tabs>
        <w:ind w:left="567" w:hanging="567"/>
        <w:rPr>
          <w:rFonts w:cs="Arial"/>
        </w:rPr>
      </w:pPr>
      <w:r w:rsidRPr="00736B68">
        <w:rPr>
          <w:rFonts w:cs="Arial"/>
        </w:rPr>
        <w:t>From a consumer perspective, the ACCC note</w:t>
      </w:r>
      <w:r w:rsidR="00B70818">
        <w:rPr>
          <w:rFonts w:cs="Arial"/>
        </w:rPr>
        <w:t>d</w:t>
      </w:r>
      <w:r w:rsidR="00DA7FC7">
        <w:rPr>
          <w:rFonts w:cs="Arial"/>
        </w:rPr>
        <w:t xml:space="preserve"> </w:t>
      </w:r>
      <w:r w:rsidRPr="00736B68">
        <w:rPr>
          <w:rFonts w:cs="Arial"/>
        </w:rPr>
        <w:t xml:space="preserve">that </w:t>
      </w:r>
      <w:r w:rsidR="00122A54">
        <w:rPr>
          <w:rFonts w:cs="Arial"/>
        </w:rPr>
        <w:t xml:space="preserve">those </w:t>
      </w:r>
      <w:r w:rsidRPr="00736B68">
        <w:rPr>
          <w:rFonts w:cs="Arial"/>
        </w:rPr>
        <w:t xml:space="preserve">residential end-users </w:t>
      </w:r>
      <w:r w:rsidR="00122A54">
        <w:rPr>
          <w:rFonts w:cs="Arial"/>
        </w:rPr>
        <w:t xml:space="preserve">that </w:t>
      </w:r>
      <w:r w:rsidRPr="00736B68">
        <w:rPr>
          <w:rFonts w:cs="Arial"/>
        </w:rPr>
        <w:t xml:space="preserve">require fixed line services at their premises can only substitute between products available in their area. There may be areas in which local competition is present and where retail service providers operating on a national basis may respond to competition on a local basis. </w:t>
      </w:r>
    </w:p>
    <w:p w:rsidR="00F155CD" w:rsidRPr="00736B68" w:rsidRDefault="00F155CD" w:rsidP="00F155CD">
      <w:pPr>
        <w:pStyle w:val="NormalParagraph"/>
        <w:tabs>
          <w:tab w:val="clear" w:pos="360"/>
          <w:tab w:val="num" w:pos="567"/>
        </w:tabs>
        <w:ind w:left="567" w:hanging="567"/>
        <w:rPr>
          <w:rFonts w:cs="Arial"/>
        </w:rPr>
      </w:pPr>
      <w:r w:rsidRPr="00736B68">
        <w:rPr>
          <w:rFonts w:cs="Arial"/>
        </w:rPr>
        <w:t>However, retail service providers with national brands generally compete nationally for end-users and adopt a national approach to setting prices and service levels. Additionally, the ACCC note</w:t>
      </w:r>
      <w:r w:rsidR="00B70818">
        <w:rPr>
          <w:rFonts w:cs="Arial"/>
        </w:rPr>
        <w:t>d</w:t>
      </w:r>
      <w:r w:rsidR="00DA7FC7">
        <w:rPr>
          <w:rFonts w:cs="Arial"/>
        </w:rPr>
        <w:t xml:space="preserve"> </w:t>
      </w:r>
      <w:r w:rsidRPr="00736B68">
        <w:rPr>
          <w:rFonts w:cs="Arial"/>
        </w:rPr>
        <w:t xml:space="preserve">that business customers often have premises in multiple geographic locations. </w:t>
      </w:r>
    </w:p>
    <w:p w:rsidR="00F155CD" w:rsidRPr="00736B68" w:rsidRDefault="003051AC" w:rsidP="00F155CD">
      <w:pPr>
        <w:pStyle w:val="NormalParagraph"/>
        <w:tabs>
          <w:tab w:val="clear" w:pos="360"/>
          <w:tab w:val="num" w:pos="567"/>
        </w:tabs>
        <w:ind w:left="567" w:hanging="567"/>
        <w:rPr>
          <w:rFonts w:cs="Arial"/>
        </w:rPr>
      </w:pPr>
      <w:r>
        <w:rPr>
          <w:rFonts w:cs="Arial"/>
        </w:rPr>
        <w:t>In this case,</w:t>
      </w:r>
      <w:r w:rsidR="00467343" w:rsidRPr="00736B68">
        <w:rPr>
          <w:rFonts w:cs="Arial"/>
        </w:rPr>
        <w:t xml:space="preserve"> </w:t>
      </w:r>
      <w:r w:rsidR="00CD3843">
        <w:rPr>
          <w:rFonts w:cs="Arial"/>
        </w:rPr>
        <w:t xml:space="preserve">both the merger parties compete on a national basis. Therefore, </w:t>
      </w:r>
      <w:r w:rsidR="00467343" w:rsidRPr="00736B68">
        <w:rPr>
          <w:rFonts w:cs="Arial"/>
        </w:rPr>
        <w:t xml:space="preserve">the ACCC considered </w:t>
      </w:r>
      <w:r>
        <w:rPr>
          <w:rFonts w:cs="Arial"/>
        </w:rPr>
        <w:t xml:space="preserve">it was appropriate to analyse </w:t>
      </w:r>
      <w:r w:rsidR="00F155CD" w:rsidRPr="00736B68">
        <w:rPr>
          <w:rFonts w:cs="Arial"/>
        </w:rPr>
        <w:t xml:space="preserve">the competitive effects of the </w:t>
      </w:r>
      <w:r w:rsidR="001C1E2D">
        <w:rPr>
          <w:rFonts w:cs="Arial"/>
        </w:rPr>
        <w:t xml:space="preserve">proposed </w:t>
      </w:r>
      <w:r w:rsidR="00F155CD" w:rsidRPr="00736B68">
        <w:rPr>
          <w:rFonts w:cs="Arial"/>
        </w:rPr>
        <w:t xml:space="preserve">acquisition in </w:t>
      </w:r>
      <w:r w:rsidR="00467343" w:rsidRPr="00736B68">
        <w:rPr>
          <w:rFonts w:cs="Arial"/>
        </w:rPr>
        <w:t xml:space="preserve">the </w:t>
      </w:r>
      <w:r w:rsidR="00A8044C" w:rsidRPr="00736B68">
        <w:rPr>
          <w:rFonts w:cs="Arial"/>
        </w:rPr>
        <w:t xml:space="preserve">national </w:t>
      </w:r>
      <w:r w:rsidR="00F155CD" w:rsidRPr="00736B68">
        <w:rPr>
          <w:rFonts w:cs="Arial"/>
        </w:rPr>
        <w:t>market for the supply of retail fixed broadband services.</w:t>
      </w:r>
      <w:r w:rsidR="003C5959" w:rsidRPr="00736B68">
        <w:rPr>
          <w:rFonts w:cs="Arial"/>
        </w:rPr>
        <w:t xml:space="preserve"> The ACCC </w:t>
      </w:r>
      <w:r w:rsidR="007B78C5">
        <w:rPr>
          <w:rFonts w:cs="Arial"/>
        </w:rPr>
        <w:t>noted</w:t>
      </w:r>
      <w:r w:rsidRPr="00736B68">
        <w:rPr>
          <w:rFonts w:cs="Arial"/>
        </w:rPr>
        <w:t xml:space="preserve"> </w:t>
      </w:r>
      <w:r w:rsidR="003C5959" w:rsidRPr="00736B68">
        <w:rPr>
          <w:rFonts w:cs="Arial"/>
        </w:rPr>
        <w:t>that within this market, suppliers have different geographic strengths and varying degrees of overlap.</w:t>
      </w:r>
    </w:p>
    <w:p w:rsidR="000E366B" w:rsidRPr="00736B68" w:rsidRDefault="00A8105D" w:rsidP="006E4E89">
      <w:pPr>
        <w:pStyle w:val="Heading4"/>
      </w:pPr>
      <w:r w:rsidRPr="00736B68">
        <w:t>Wholesale supply of transmission services</w:t>
      </w:r>
    </w:p>
    <w:p w:rsidR="006E4E89" w:rsidRPr="00C67CB6" w:rsidRDefault="00A868F1" w:rsidP="00C67CB6">
      <w:pPr>
        <w:pStyle w:val="NormalParagraph"/>
        <w:tabs>
          <w:tab w:val="clear" w:pos="360"/>
          <w:tab w:val="num" w:pos="567"/>
        </w:tabs>
        <w:ind w:left="567" w:hanging="567"/>
      </w:pPr>
      <w:r w:rsidRPr="00736B68">
        <w:rPr>
          <w:rFonts w:cs="Arial"/>
        </w:rPr>
        <w:t xml:space="preserve">Consistent with its preliminary view in the Statement of Issues, the ACCC </w:t>
      </w:r>
      <w:r w:rsidR="00A8105D" w:rsidRPr="00736B68">
        <w:rPr>
          <w:rFonts w:cs="Arial"/>
        </w:rPr>
        <w:t>consider</w:t>
      </w:r>
      <w:r w:rsidR="0021482A" w:rsidRPr="00736B68">
        <w:rPr>
          <w:rFonts w:cs="Arial"/>
        </w:rPr>
        <w:t>ed</w:t>
      </w:r>
      <w:r w:rsidR="00000960" w:rsidRPr="00736B68">
        <w:rPr>
          <w:rFonts w:cs="Arial"/>
        </w:rPr>
        <w:t xml:space="preserve"> that </w:t>
      </w:r>
      <w:r w:rsidR="00A8105D" w:rsidRPr="00736B68">
        <w:rPr>
          <w:rFonts w:cs="Arial"/>
        </w:rPr>
        <w:t xml:space="preserve">for the purposes of this review it was relevant to assess competition for </w:t>
      </w:r>
      <w:r w:rsidR="00000960" w:rsidRPr="00736B68">
        <w:rPr>
          <w:rFonts w:cs="Arial"/>
        </w:rPr>
        <w:t xml:space="preserve">the wholesale supply of </w:t>
      </w:r>
      <w:r w:rsidR="00A8105D" w:rsidRPr="00736B68">
        <w:rPr>
          <w:rFonts w:cs="Arial"/>
        </w:rPr>
        <w:t>tran</w:t>
      </w:r>
      <w:r w:rsidR="0021482A" w:rsidRPr="00736B68">
        <w:rPr>
          <w:rFonts w:cs="Arial"/>
        </w:rPr>
        <w:t>smission services in Australia.</w:t>
      </w:r>
      <w:r w:rsidR="00C67CB6">
        <w:rPr>
          <w:rFonts w:cs="Arial"/>
        </w:rPr>
        <w:t xml:space="preserve"> </w:t>
      </w:r>
    </w:p>
    <w:p w:rsidR="000D0F1F" w:rsidRPr="00736B68" w:rsidRDefault="000D0F1F" w:rsidP="000D0F1F">
      <w:pPr>
        <w:pStyle w:val="NormalParagraph"/>
        <w:tabs>
          <w:tab w:val="clear" w:pos="360"/>
          <w:tab w:val="num" w:pos="567"/>
        </w:tabs>
        <w:ind w:left="567" w:hanging="567"/>
        <w:rPr>
          <w:rFonts w:cs="Arial"/>
        </w:rPr>
      </w:pPr>
      <w:r w:rsidRPr="00736B68">
        <w:rPr>
          <w:rFonts w:cs="Arial"/>
        </w:rPr>
        <w:t xml:space="preserve">Wholesale transmission services are generally provided over optical fibre and are usually used in combination with local access network infrastructure to provide end-to-end telecommunications services. </w:t>
      </w:r>
    </w:p>
    <w:p w:rsidR="000D0F1F" w:rsidRPr="00736B68" w:rsidRDefault="000D0F1F" w:rsidP="000D0F1F">
      <w:pPr>
        <w:pStyle w:val="NormalParagraph"/>
        <w:tabs>
          <w:tab w:val="clear" w:pos="360"/>
          <w:tab w:val="num" w:pos="567"/>
        </w:tabs>
        <w:ind w:left="567" w:hanging="567"/>
        <w:rPr>
          <w:rFonts w:cs="Arial"/>
        </w:rPr>
      </w:pPr>
      <w:r w:rsidRPr="00736B68">
        <w:rPr>
          <w:rFonts w:cs="Arial"/>
        </w:rPr>
        <w:t xml:space="preserve">Telstra is the only owner of a nationwide ubiquitous wholesale transmission network. Competition has emerged from other wholesale transmission service providers on particular geographic routes where it is economically efficient for those other service providers to invest in duplicate transmission infrastructure. As indicated earlier, the ACCC regulates wholesale transmission services only along specific geographic routes where there is insufficient competition. </w:t>
      </w:r>
    </w:p>
    <w:p w:rsidR="00467343" w:rsidRPr="00736B68" w:rsidRDefault="00467343" w:rsidP="000D0F1F">
      <w:pPr>
        <w:pStyle w:val="NormalParagraph"/>
        <w:tabs>
          <w:tab w:val="clear" w:pos="360"/>
          <w:tab w:val="num" w:pos="567"/>
        </w:tabs>
        <w:ind w:left="567" w:hanging="567"/>
        <w:rPr>
          <w:rFonts w:cs="Arial"/>
        </w:rPr>
      </w:pPr>
      <w:r w:rsidRPr="00736B68">
        <w:rPr>
          <w:rFonts w:cs="Arial"/>
        </w:rPr>
        <w:t xml:space="preserve">The ACCC noted that the concerns raised by some interested parties in respect of wholesale transmission were in the context of competition between national wholesale providers of transmission services. However, the ACCC also noted </w:t>
      </w:r>
      <w:r w:rsidRPr="00736B68">
        <w:rPr>
          <w:rFonts w:cs="Arial"/>
        </w:rPr>
        <w:lastRenderedPageBreak/>
        <w:t>that concerns may be more pronounced on routes where there is less competition.</w:t>
      </w:r>
    </w:p>
    <w:p w:rsidR="00924BAA" w:rsidRPr="00736B68" w:rsidRDefault="00924BAA" w:rsidP="00814638">
      <w:pPr>
        <w:pStyle w:val="Heading5"/>
      </w:pPr>
      <w:r w:rsidRPr="00736B68">
        <w:t>Functional levels of the supply chain</w:t>
      </w:r>
    </w:p>
    <w:p w:rsidR="0002530B" w:rsidRDefault="00924BAA" w:rsidP="00924BAA">
      <w:pPr>
        <w:pStyle w:val="NormalParagraph"/>
        <w:tabs>
          <w:tab w:val="clear" w:pos="360"/>
          <w:tab w:val="num" w:pos="567"/>
        </w:tabs>
        <w:ind w:left="567" w:hanging="567"/>
      </w:pPr>
      <w:r w:rsidRPr="00736B68">
        <w:t xml:space="preserve">The ACCC noted that </w:t>
      </w:r>
      <w:r w:rsidR="00804174">
        <w:t xml:space="preserve">there </w:t>
      </w:r>
      <w:r w:rsidRPr="00736B68">
        <w:t>are different functional levels of the supply chain</w:t>
      </w:r>
      <w:r w:rsidR="00A8044C" w:rsidRPr="00736B68">
        <w:t xml:space="preserve"> in the telecommunications industry</w:t>
      </w:r>
      <w:r w:rsidRPr="00736B68">
        <w:t xml:space="preserve">. Some parties are vertically integrated in </w:t>
      </w:r>
      <w:r w:rsidR="00A8044C" w:rsidRPr="00736B68">
        <w:t xml:space="preserve">both </w:t>
      </w:r>
      <w:r w:rsidRPr="00736B68">
        <w:t xml:space="preserve">wholesale and retail </w:t>
      </w:r>
      <w:r w:rsidR="00A8044C" w:rsidRPr="00736B68">
        <w:t xml:space="preserve">(at least </w:t>
      </w:r>
      <w:r w:rsidRPr="00736B68">
        <w:t>to some extent</w:t>
      </w:r>
      <w:r w:rsidR="00A8044C" w:rsidRPr="00736B68">
        <w:t>)</w:t>
      </w:r>
      <w:r w:rsidRPr="00736B68">
        <w:t xml:space="preserve">, </w:t>
      </w:r>
      <w:r w:rsidR="007B1B50">
        <w:t>while</w:t>
      </w:r>
      <w:r w:rsidR="007B1B50" w:rsidRPr="00736B68">
        <w:t xml:space="preserve"> </w:t>
      </w:r>
      <w:r w:rsidRPr="00736B68">
        <w:t xml:space="preserve">others are </w:t>
      </w:r>
      <w:r w:rsidR="00255644">
        <w:t>not</w:t>
      </w:r>
      <w:r w:rsidRPr="00736B68">
        <w:t xml:space="preserve">. The ACCC considered that the competition analysis in this matter was best conducted with reference to separate but related markets (as </w:t>
      </w:r>
      <w:r w:rsidR="00A8044C" w:rsidRPr="00736B68">
        <w:t>detailed</w:t>
      </w:r>
      <w:r w:rsidRPr="00736B68">
        <w:t xml:space="preserve"> above), with each market comprising a different stage of the supply chain. </w:t>
      </w:r>
    </w:p>
    <w:p w:rsidR="00AF1C87" w:rsidRPr="00736B68" w:rsidRDefault="00AF1C87" w:rsidP="0002530B">
      <w:pPr>
        <w:pStyle w:val="Heading3"/>
      </w:pPr>
      <w:r w:rsidRPr="00736B68">
        <w:t>Competition analysis</w:t>
      </w:r>
    </w:p>
    <w:p w:rsidR="000250BC" w:rsidRDefault="000250BC" w:rsidP="000250BC">
      <w:pPr>
        <w:pStyle w:val="Heading4"/>
      </w:pPr>
      <w:r w:rsidRPr="00736B68">
        <w:t xml:space="preserve">Horizontal </w:t>
      </w:r>
      <w:r w:rsidR="00404B24">
        <w:t>effects</w:t>
      </w:r>
      <w:r w:rsidR="00404B24" w:rsidRPr="00736B68">
        <w:t xml:space="preserve"> </w:t>
      </w:r>
      <w:r w:rsidRPr="00736B68">
        <w:t xml:space="preserve">in </w:t>
      </w:r>
      <w:r w:rsidR="004A3065" w:rsidRPr="00736B68">
        <w:t xml:space="preserve">the </w:t>
      </w:r>
      <w:r w:rsidR="00E46D1B" w:rsidRPr="00736B68">
        <w:t>retail</w:t>
      </w:r>
      <w:r w:rsidRPr="00736B68">
        <w:t xml:space="preserve"> </w:t>
      </w:r>
      <w:r w:rsidR="004A3065" w:rsidRPr="00736B68">
        <w:t>fixed broadband market</w:t>
      </w:r>
    </w:p>
    <w:p w:rsidR="001C1E2D" w:rsidRPr="00736B68" w:rsidRDefault="001C1E2D" w:rsidP="001C1E2D">
      <w:pPr>
        <w:pStyle w:val="NormalParagraph"/>
        <w:tabs>
          <w:tab w:val="clear" w:pos="360"/>
          <w:tab w:val="num" w:pos="567"/>
        </w:tabs>
        <w:ind w:left="567" w:hanging="567"/>
      </w:pPr>
      <w:bookmarkStart w:id="10" w:name="_Ref427850187"/>
      <w:r w:rsidRPr="00736B68">
        <w:t xml:space="preserve">The ACCC considered whether the acquisition of iiNet as an independent competitor would be likely </w:t>
      </w:r>
      <w:r w:rsidR="003202FC">
        <w:t xml:space="preserve">to </w:t>
      </w:r>
      <w:r w:rsidRPr="00736B68">
        <w:t>lead to a substantial lessening of competition in the market for the supply of r</w:t>
      </w:r>
      <w:r w:rsidR="00DA7FC7">
        <w:t xml:space="preserve">etail fixed broadband services. The ACCC examined the potential for </w:t>
      </w:r>
      <w:r w:rsidRPr="00736B68">
        <w:t>a loss of competiti</w:t>
      </w:r>
      <w:r>
        <w:t>ve</w:t>
      </w:r>
      <w:r w:rsidRPr="00736B68">
        <w:t xml:space="preserve"> tension in respect of prices, innovation and/or quality of service in this market.</w:t>
      </w:r>
      <w:bookmarkEnd w:id="10"/>
    </w:p>
    <w:p w:rsidR="00404B24" w:rsidRPr="00404B24" w:rsidRDefault="00404B24" w:rsidP="00814638">
      <w:pPr>
        <w:pStyle w:val="Heading5"/>
      </w:pPr>
      <w:r>
        <w:t>Market concentration</w:t>
      </w:r>
    </w:p>
    <w:p w:rsidR="004A3065" w:rsidRPr="00736B68" w:rsidRDefault="003002B8" w:rsidP="000250BC">
      <w:pPr>
        <w:pStyle w:val="NormalParagraph"/>
        <w:tabs>
          <w:tab w:val="clear" w:pos="360"/>
          <w:tab w:val="num" w:pos="567"/>
        </w:tabs>
        <w:ind w:left="567" w:hanging="567"/>
      </w:pPr>
      <w:r>
        <w:t xml:space="preserve">Prior to the proposed </w:t>
      </w:r>
      <w:r w:rsidR="00433DEF" w:rsidRPr="00736B68">
        <w:t>acquisition there were</w:t>
      </w:r>
      <w:r w:rsidR="004A3065" w:rsidRPr="00736B68">
        <w:t xml:space="preserve"> five ma</w:t>
      </w:r>
      <w:r w:rsidR="001C1E2D">
        <w:t>jor</w:t>
      </w:r>
      <w:r w:rsidR="004A3065" w:rsidRPr="00736B68">
        <w:t xml:space="preserve"> suppliers of fixed broadband services – Telstra, Optus, iiNet, TPG and M2. </w:t>
      </w:r>
      <w:r w:rsidR="00404B24">
        <w:t>T</w:t>
      </w:r>
      <w:r w:rsidR="004A3065" w:rsidRPr="00736B68">
        <w:t xml:space="preserve">he </w:t>
      </w:r>
      <w:r w:rsidR="001C1E2D">
        <w:t xml:space="preserve">proposed </w:t>
      </w:r>
      <w:r w:rsidR="004A3065" w:rsidRPr="00736B68">
        <w:t xml:space="preserve">acquisition </w:t>
      </w:r>
      <w:r w:rsidR="00404B24">
        <w:t xml:space="preserve">would reduce </w:t>
      </w:r>
      <w:r w:rsidR="004A3065" w:rsidRPr="00736B68">
        <w:t xml:space="preserve">the number of major </w:t>
      </w:r>
      <w:r w:rsidR="001C1E2D">
        <w:t>supplier</w:t>
      </w:r>
      <w:r w:rsidR="001C1E2D" w:rsidRPr="00736B68">
        <w:t xml:space="preserve">s </w:t>
      </w:r>
      <w:r w:rsidR="004A3065" w:rsidRPr="00736B68">
        <w:t>from five to four.</w:t>
      </w:r>
    </w:p>
    <w:p w:rsidR="003C5959" w:rsidRPr="00736B68" w:rsidRDefault="003C5959" w:rsidP="003C5959">
      <w:pPr>
        <w:pStyle w:val="NormalParagraph"/>
        <w:tabs>
          <w:tab w:val="clear" w:pos="360"/>
          <w:tab w:val="num" w:pos="567"/>
        </w:tabs>
        <w:ind w:left="567" w:hanging="567"/>
      </w:pPr>
      <w:r w:rsidRPr="00736B68">
        <w:t>As shown in Table 1, following the</w:t>
      </w:r>
      <w:r w:rsidR="001C1E2D">
        <w:t xml:space="preserve"> proposed</w:t>
      </w:r>
      <w:r w:rsidRPr="00736B68">
        <w:t xml:space="preserve"> acquisition</w:t>
      </w:r>
      <w:r w:rsidR="00E66DC5" w:rsidRPr="00736B68">
        <w:t>,</w:t>
      </w:r>
      <w:r w:rsidRPr="00736B68">
        <w:t xml:space="preserve"> </w:t>
      </w:r>
      <w:r w:rsidR="00E66DC5" w:rsidRPr="00736B68">
        <w:t xml:space="preserve">the merged entity </w:t>
      </w:r>
      <w:r w:rsidRPr="00736B68">
        <w:t xml:space="preserve">would be the second largest supplier of fixed broadband </w:t>
      </w:r>
      <w:r w:rsidR="00433DEF" w:rsidRPr="00736B68">
        <w:t>with a market share of 27 per cent</w:t>
      </w:r>
      <w:r w:rsidR="00D16CC1">
        <w:t xml:space="preserve"> based on </w:t>
      </w:r>
      <w:r w:rsidR="0066578A">
        <w:t xml:space="preserve">the number of </w:t>
      </w:r>
      <w:r w:rsidR="00776BB8">
        <w:t>subscriber</w:t>
      </w:r>
      <w:r w:rsidR="0066578A">
        <w:t>s</w:t>
      </w:r>
      <w:r w:rsidR="00433DEF" w:rsidRPr="00736B68">
        <w:t xml:space="preserve">. </w:t>
      </w:r>
      <w:r w:rsidRPr="00736B68">
        <w:t>Telstra</w:t>
      </w:r>
      <w:r w:rsidR="00433DEF" w:rsidRPr="00736B68">
        <w:t xml:space="preserve"> would remain the largest provider, supplying 41 per cent of the market.</w:t>
      </w:r>
    </w:p>
    <w:p w:rsidR="003C5959" w:rsidRPr="00736B68" w:rsidRDefault="003C5959" w:rsidP="003C5959">
      <w:pPr>
        <w:pStyle w:val="Numbered"/>
        <w:keepNext/>
        <w:numPr>
          <w:ilvl w:val="0"/>
          <w:numId w:val="0"/>
        </w:numPr>
        <w:ind w:left="567"/>
        <w:rPr>
          <w:b/>
        </w:rPr>
      </w:pPr>
      <w:r w:rsidRPr="00736B68">
        <w:rPr>
          <w:b/>
        </w:rPr>
        <w:t>Table 1: Retail fixed broadband market shares as at June 2014</w:t>
      </w:r>
    </w:p>
    <w:tbl>
      <w:tblPr>
        <w:tblW w:w="8548" w:type="dxa"/>
        <w:jc w:val="center"/>
        <w:tblInd w:w="-697" w:type="dxa"/>
        <w:tblCellMar>
          <w:left w:w="0" w:type="dxa"/>
          <w:right w:w="0" w:type="dxa"/>
        </w:tblCellMar>
        <w:tblLook w:val="04A0" w:firstRow="1" w:lastRow="0" w:firstColumn="1" w:lastColumn="0" w:noHBand="0" w:noVBand="1"/>
      </w:tblPr>
      <w:tblGrid>
        <w:gridCol w:w="2035"/>
        <w:gridCol w:w="3260"/>
        <w:gridCol w:w="3253"/>
      </w:tblGrid>
      <w:tr w:rsidR="00BC1F20" w:rsidRPr="00736B68" w:rsidTr="00EC1A4A">
        <w:trPr>
          <w:trHeight w:val="396"/>
          <w:jc w:val="center"/>
        </w:trPr>
        <w:tc>
          <w:tcPr>
            <w:tcW w:w="2035" w:type="dxa"/>
            <w:vMerge w:val="restart"/>
            <w:tcBorders>
              <w:top w:val="single" w:sz="8" w:space="0" w:color="auto"/>
              <w:left w:val="single" w:sz="8" w:space="0" w:color="auto"/>
              <w:right w:val="single" w:sz="8" w:space="0" w:color="auto"/>
            </w:tcBorders>
            <w:shd w:val="pct25" w:color="auto" w:fill="auto"/>
            <w:tcMar>
              <w:top w:w="0" w:type="dxa"/>
              <w:left w:w="108" w:type="dxa"/>
              <w:bottom w:w="0" w:type="dxa"/>
              <w:right w:w="108" w:type="dxa"/>
            </w:tcMar>
            <w:vAlign w:val="bottom"/>
            <w:hideMark/>
          </w:tcPr>
          <w:p w:rsidR="00BC1F20" w:rsidRPr="008B2D2F" w:rsidRDefault="00BC1F20" w:rsidP="00EC1A4A">
            <w:pPr>
              <w:keepNext/>
              <w:spacing w:after="120"/>
              <w:rPr>
                <w:rFonts w:ascii="Arial" w:eastAsia="Calibri" w:hAnsi="Arial" w:cs="Arial"/>
                <w:b/>
                <w:bCs/>
                <w:sz w:val="22"/>
                <w:szCs w:val="22"/>
              </w:rPr>
            </w:pPr>
            <w:r w:rsidRPr="008B2D2F">
              <w:rPr>
                <w:rFonts w:ascii="Arial" w:hAnsi="Arial" w:cs="Arial"/>
                <w:b/>
                <w:bCs/>
                <w:sz w:val="22"/>
                <w:szCs w:val="22"/>
              </w:rPr>
              <w:t>Service provider</w:t>
            </w:r>
          </w:p>
        </w:tc>
        <w:tc>
          <w:tcPr>
            <w:tcW w:w="6513" w:type="dxa"/>
            <w:gridSpan w:val="2"/>
            <w:tcBorders>
              <w:top w:val="single" w:sz="8" w:space="0" w:color="auto"/>
              <w:left w:val="single" w:sz="8" w:space="0" w:color="auto"/>
              <w:bottom w:val="single" w:sz="8" w:space="0" w:color="auto"/>
              <w:right w:val="single" w:sz="8" w:space="0" w:color="auto"/>
            </w:tcBorders>
            <w:shd w:val="pct25" w:color="auto" w:fill="auto"/>
            <w:vAlign w:val="bottom"/>
          </w:tcPr>
          <w:p w:rsidR="00BC1F20" w:rsidRPr="008B2D2F" w:rsidRDefault="00BC1F20" w:rsidP="00EC1A4A">
            <w:pPr>
              <w:keepNext/>
              <w:spacing w:after="120"/>
              <w:jc w:val="center"/>
              <w:rPr>
                <w:rFonts w:ascii="Arial" w:hAnsi="Arial" w:cs="Arial"/>
                <w:b/>
                <w:bCs/>
                <w:sz w:val="22"/>
                <w:szCs w:val="22"/>
              </w:rPr>
            </w:pPr>
            <w:r w:rsidRPr="008B2D2F">
              <w:rPr>
                <w:rFonts w:ascii="Arial" w:hAnsi="Arial" w:cs="Arial"/>
                <w:b/>
                <w:bCs/>
                <w:sz w:val="22"/>
                <w:szCs w:val="22"/>
              </w:rPr>
              <w:t xml:space="preserve">Retail share </w:t>
            </w:r>
            <w:r>
              <w:rPr>
                <w:rFonts w:ascii="Arial" w:hAnsi="Arial" w:cs="Arial"/>
                <w:b/>
                <w:bCs/>
                <w:sz w:val="22"/>
                <w:szCs w:val="22"/>
              </w:rPr>
              <w:t xml:space="preserve">(per cent) </w:t>
            </w:r>
            <w:r w:rsidRPr="008B2D2F">
              <w:rPr>
                <w:rFonts w:ascii="Arial" w:hAnsi="Arial" w:cs="Arial"/>
                <w:b/>
                <w:bCs/>
                <w:sz w:val="22"/>
                <w:szCs w:val="22"/>
              </w:rPr>
              <w:t>for fixed broadband (DSL and cable)</w:t>
            </w:r>
          </w:p>
        </w:tc>
      </w:tr>
      <w:tr w:rsidR="00C1000C" w:rsidRPr="00736B68" w:rsidTr="00EC1A4A">
        <w:trPr>
          <w:trHeight w:val="396"/>
          <w:jc w:val="center"/>
        </w:trPr>
        <w:tc>
          <w:tcPr>
            <w:tcW w:w="2035" w:type="dxa"/>
            <w:vMerge/>
            <w:tcBorders>
              <w:left w:val="single" w:sz="8" w:space="0" w:color="auto"/>
              <w:bottom w:val="single" w:sz="8" w:space="0" w:color="auto"/>
              <w:right w:val="single" w:sz="8" w:space="0" w:color="auto"/>
            </w:tcBorders>
            <w:shd w:val="pct25" w:color="auto" w:fill="auto"/>
            <w:tcMar>
              <w:top w:w="0" w:type="dxa"/>
              <w:left w:w="108" w:type="dxa"/>
              <w:bottom w:w="0" w:type="dxa"/>
              <w:right w:w="108" w:type="dxa"/>
            </w:tcMar>
          </w:tcPr>
          <w:p w:rsidR="00C1000C" w:rsidRPr="008B2D2F" w:rsidRDefault="00C1000C" w:rsidP="0052333B">
            <w:pPr>
              <w:keepNext/>
              <w:spacing w:after="120"/>
              <w:rPr>
                <w:rFonts w:ascii="Arial" w:hAnsi="Arial" w:cs="Arial"/>
                <w:b/>
                <w:bCs/>
                <w:sz w:val="22"/>
                <w:szCs w:val="22"/>
              </w:rPr>
            </w:pPr>
          </w:p>
        </w:tc>
        <w:tc>
          <w:tcPr>
            <w:tcW w:w="3260" w:type="dxa"/>
            <w:tcBorders>
              <w:top w:val="single" w:sz="8" w:space="0" w:color="auto"/>
              <w:left w:val="single" w:sz="8" w:space="0" w:color="auto"/>
              <w:bottom w:val="single" w:sz="8" w:space="0" w:color="auto"/>
              <w:right w:val="single" w:sz="8" w:space="0" w:color="auto"/>
            </w:tcBorders>
            <w:shd w:val="pct25" w:color="auto" w:fill="auto"/>
            <w:vAlign w:val="bottom"/>
          </w:tcPr>
          <w:p w:rsidR="00C1000C" w:rsidRPr="008B2D2F" w:rsidRDefault="00FF13AD" w:rsidP="00EC1A4A">
            <w:pPr>
              <w:keepNext/>
              <w:spacing w:after="120"/>
              <w:jc w:val="center"/>
              <w:rPr>
                <w:rFonts w:ascii="Arial" w:hAnsi="Arial" w:cs="Arial"/>
                <w:b/>
                <w:bCs/>
                <w:sz w:val="22"/>
                <w:szCs w:val="22"/>
              </w:rPr>
            </w:pPr>
            <w:r w:rsidRPr="008B2D2F">
              <w:rPr>
                <w:rFonts w:ascii="Arial" w:hAnsi="Arial" w:cs="Arial"/>
                <w:b/>
                <w:bCs/>
                <w:sz w:val="22"/>
                <w:szCs w:val="22"/>
              </w:rPr>
              <w:t xml:space="preserve">Without </w:t>
            </w:r>
            <w:r w:rsidR="008B2D2F" w:rsidRPr="008B2D2F">
              <w:rPr>
                <w:rFonts w:ascii="Arial" w:hAnsi="Arial" w:cs="Arial"/>
                <w:b/>
                <w:bCs/>
                <w:sz w:val="22"/>
                <w:szCs w:val="22"/>
              </w:rPr>
              <w:t>proposed acquisition</w:t>
            </w:r>
          </w:p>
        </w:tc>
        <w:tc>
          <w:tcPr>
            <w:tcW w:w="3253" w:type="dxa"/>
            <w:tcBorders>
              <w:top w:val="single" w:sz="8" w:space="0" w:color="auto"/>
              <w:left w:val="single" w:sz="8" w:space="0" w:color="auto"/>
              <w:bottom w:val="single" w:sz="8" w:space="0" w:color="auto"/>
              <w:right w:val="single" w:sz="8" w:space="0" w:color="auto"/>
            </w:tcBorders>
            <w:shd w:val="pct25" w:color="auto" w:fill="auto"/>
            <w:vAlign w:val="bottom"/>
          </w:tcPr>
          <w:p w:rsidR="00C1000C" w:rsidRPr="008B2D2F" w:rsidRDefault="00FF13AD" w:rsidP="00EC1A4A">
            <w:pPr>
              <w:keepNext/>
              <w:spacing w:after="120"/>
              <w:jc w:val="center"/>
              <w:rPr>
                <w:rFonts w:ascii="Arial" w:hAnsi="Arial" w:cs="Arial"/>
                <w:b/>
                <w:bCs/>
                <w:sz w:val="22"/>
                <w:szCs w:val="22"/>
              </w:rPr>
            </w:pPr>
            <w:r w:rsidRPr="008B2D2F">
              <w:rPr>
                <w:rFonts w:ascii="Arial" w:hAnsi="Arial" w:cs="Arial"/>
                <w:b/>
                <w:bCs/>
                <w:sz w:val="22"/>
                <w:szCs w:val="22"/>
              </w:rPr>
              <w:t xml:space="preserve">With </w:t>
            </w:r>
            <w:r w:rsidR="008B2D2F" w:rsidRPr="008B2D2F">
              <w:rPr>
                <w:rFonts w:ascii="Arial" w:hAnsi="Arial" w:cs="Arial"/>
                <w:b/>
                <w:bCs/>
                <w:sz w:val="22"/>
                <w:szCs w:val="22"/>
              </w:rPr>
              <w:t>proposed acquisition</w:t>
            </w:r>
          </w:p>
        </w:tc>
      </w:tr>
      <w:tr w:rsidR="008B2D2F" w:rsidRPr="00736B68" w:rsidTr="008D403B">
        <w:trPr>
          <w:jc w:val="center"/>
        </w:trPr>
        <w:tc>
          <w:tcPr>
            <w:tcW w:w="2035" w:type="dxa"/>
            <w:tcBorders>
              <w:top w:val="nil"/>
              <w:left w:val="single" w:sz="8" w:space="0" w:color="auto"/>
              <w:bottom w:val="single" w:sz="6" w:space="0" w:color="auto"/>
              <w:right w:val="single" w:sz="8" w:space="0" w:color="auto"/>
            </w:tcBorders>
            <w:tcMar>
              <w:top w:w="0" w:type="dxa"/>
              <w:left w:w="108" w:type="dxa"/>
              <w:bottom w:w="0" w:type="dxa"/>
              <w:right w:w="108" w:type="dxa"/>
            </w:tcMar>
            <w:hideMark/>
          </w:tcPr>
          <w:p w:rsidR="008B2D2F" w:rsidRPr="008B2D2F" w:rsidRDefault="008B2D2F" w:rsidP="0052333B">
            <w:pPr>
              <w:keepNext/>
              <w:spacing w:after="120"/>
              <w:rPr>
                <w:rFonts w:ascii="Arial" w:eastAsia="Calibri" w:hAnsi="Arial" w:cs="Arial"/>
                <w:sz w:val="22"/>
                <w:szCs w:val="22"/>
              </w:rPr>
            </w:pPr>
            <w:r w:rsidRPr="008B2D2F">
              <w:rPr>
                <w:rFonts w:ascii="Arial" w:hAnsi="Arial" w:cs="Arial"/>
                <w:sz w:val="22"/>
                <w:szCs w:val="22"/>
              </w:rPr>
              <w:t>Telstra</w:t>
            </w:r>
          </w:p>
        </w:tc>
        <w:tc>
          <w:tcPr>
            <w:tcW w:w="3260" w:type="dxa"/>
            <w:tcBorders>
              <w:top w:val="nil"/>
              <w:left w:val="single" w:sz="8" w:space="0" w:color="auto"/>
              <w:bottom w:val="single" w:sz="6" w:space="0" w:color="auto"/>
              <w:right w:val="single" w:sz="8" w:space="0" w:color="auto"/>
            </w:tcBorders>
          </w:tcPr>
          <w:p w:rsidR="008B2D2F" w:rsidRPr="008B2D2F" w:rsidRDefault="008B2D2F" w:rsidP="008B2D2F">
            <w:pPr>
              <w:jc w:val="center"/>
              <w:rPr>
                <w:rFonts w:ascii="Arial" w:hAnsi="Arial" w:cs="Arial"/>
                <w:sz w:val="22"/>
                <w:szCs w:val="22"/>
              </w:rPr>
            </w:pPr>
            <w:r w:rsidRPr="008B2D2F">
              <w:rPr>
                <w:rFonts w:ascii="Arial" w:hAnsi="Arial" w:cs="Arial"/>
                <w:sz w:val="22"/>
                <w:szCs w:val="22"/>
              </w:rPr>
              <w:t>41</w:t>
            </w:r>
          </w:p>
        </w:tc>
        <w:tc>
          <w:tcPr>
            <w:tcW w:w="3253" w:type="dxa"/>
            <w:tcBorders>
              <w:top w:val="nil"/>
              <w:left w:val="single" w:sz="8" w:space="0" w:color="auto"/>
              <w:bottom w:val="single" w:sz="6" w:space="0" w:color="auto"/>
              <w:right w:val="single" w:sz="8" w:space="0" w:color="auto"/>
            </w:tcBorders>
          </w:tcPr>
          <w:p w:rsidR="008B2D2F" w:rsidRPr="008B2D2F" w:rsidRDefault="008B2D2F" w:rsidP="008B2D2F">
            <w:pPr>
              <w:jc w:val="center"/>
              <w:rPr>
                <w:rFonts w:ascii="Arial" w:hAnsi="Arial" w:cs="Arial"/>
                <w:sz w:val="22"/>
                <w:szCs w:val="22"/>
              </w:rPr>
            </w:pPr>
            <w:r w:rsidRPr="008B2D2F">
              <w:rPr>
                <w:rFonts w:ascii="Arial" w:hAnsi="Arial" w:cs="Arial"/>
                <w:sz w:val="22"/>
                <w:szCs w:val="22"/>
              </w:rPr>
              <w:t>41</w:t>
            </w:r>
          </w:p>
        </w:tc>
      </w:tr>
      <w:tr w:rsidR="008B2D2F" w:rsidRPr="00736B68" w:rsidTr="008D403B">
        <w:trPr>
          <w:jc w:val="center"/>
        </w:trPr>
        <w:tc>
          <w:tcPr>
            <w:tcW w:w="2035" w:type="dxa"/>
            <w:tcBorders>
              <w:top w:val="single" w:sz="6" w:space="0" w:color="auto"/>
              <w:left w:val="single" w:sz="8" w:space="0" w:color="auto"/>
              <w:bottom w:val="single" w:sz="6" w:space="0" w:color="auto"/>
              <w:right w:val="single" w:sz="8" w:space="0" w:color="auto"/>
            </w:tcBorders>
            <w:shd w:val="pct10" w:color="auto" w:fill="auto"/>
            <w:tcMar>
              <w:top w:w="0" w:type="dxa"/>
              <w:left w:w="108" w:type="dxa"/>
              <w:bottom w:w="0" w:type="dxa"/>
              <w:right w:w="108" w:type="dxa"/>
            </w:tcMar>
            <w:hideMark/>
          </w:tcPr>
          <w:p w:rsidR="008B2D2F" w:rsidRPr="008B2D2F" w:rsidRDefault="008B2D2F" w:rsidP="0052333B">
            <w:pPr>
              <w:keepNext/>
              <w:spacing w:after="120"/>
              <w:rPr>
                <w:rFonts w:ascii="Arial" w:eastAsia="Calibri" w:hAnsi="Arial" w:cs="Arial"/>
                <w:sz w:val="22"/>
                <w:szCs w:val="22"/>
              </w:rPr>
            </w:pPr>
            <w:r w:rsidRPr="008B2D2F">
              <w:rPr>
                <w:rFonts w:ascii="Arial" w:hAnsi="Arial" w:cs="Arial"/>
                <w:sz w:val="22"/>
                <w:szCs w:val="22"/>
              </w:rPr>
              <w:t>iiNet</w:t>
            </w:r>
          </w:p>
        </w:tc>
        <w:tc>
          <w:tcPr>
            <w:tcW w:w="3260" w:type="dxa"/>
            <w:tcBorders>
              <w:top w:val="single" w:sz="6" w:space="0" w:color="auto"/>
              <w:left w:val="single" w:sz="8" w:space="0" w:color="auto"/>
              <w:bottom w:val="single" w:sz="6" w:space="0" w:color="auto"/>
              <w:right w:val="single" w:sz="8" w:space="0" w:color="auto"/>
            </w:tcBorders>
            <w:shd w:val="pct10" w:color="auto" w:fill="auto"/>
          </w:tcPr>
          <w:p w:rsidR="008B2D2F" w:rsidRPr="008B2D2F" w:rsidRDefault="008B2D2F" w:rsidP="008B2D2F">
            <w:pPr>
              <w:jc w:val="center"/>
              <w:rPr>
                <w:rFonts w:ascii="Arial" w:hAnsi="Arial" w:cs="Arial"/>
                <w:sz w:val="22"/>
                <w:szCs w:val="22"/>
              </w:rPr>
            </w:pPr>
            <w:r w:rsidRPr="008B2D2F">
              <w:rPr>
                <w:rFonts w:ascii="Arial" w:hAnsi="Arial" w:cs="Arial"/>
                <w:sz w:val="22"/>
                <w:szCs w:val="22"/>
              </w:rPr>
              <w:t>15</w:t>
            </w:r>
          </w:p>
        </w:tc>
        <w:tc>
          <w:tcPr>
            <w:tcW w:w="3253" w:type="dxa"/>
            <w:tcBorders>
              <w:top w:val="single" w:sz="6" w:space="0" w:color="auto"/>
              <w:left w:val="single" w:sz="8" w:space="0" w:color="auto"/>
              <w:bottom w:val="single" w:sz="6" w:space="0" w:color="auto"/>
              <w:right w:val="single" w:sz="8" w:space="0" w:color="auto"/>
            </w:tcBorders>
            <w:shd w:val="pct10" w:color="auto" w:fill="auto"/>
          </w:tcPr>
          <w:p w:rsidR="008B2D2F" w:rsidRPr="008B2D2F" w:rsidRDefault="008B2D2F" w:rsidP="008B2D2F">
            <w:pPr>
              <w:jc w:val="center"/>
              <w:rPr>
                <w:rFonts w:ascii="Arial" w:hAnsi="Arial" w:cs="Arial"/>
                <w:sz w:val="22"/>
                <w:szCs w:val="22"/>
              </w:rPr>
            </w:pPr>
            <w:r w:rsidRPr="008B2D2F">
              <w:rPr>
                <w:rFonts w:ascii="Arial" w:hAnsi="Arial" w:cs="Arial"/>
                <w:sz w:val="22"/>
                <w:szCs w:val="22"/>
              </w:rPr>
              <w:t>-</w:t>
            </w:r>
          </w:p>
        </w:tc>
      </w:tr>
      <w:tr w:rsidR="008B2D2F" w:rsidRPr="00736B68" w:rsidTr="008D403B">
        <w:trPr>
          <w:jc w:val="center"/>
        </w:trPr>
        <w:tc>
          <w:tcPr>
            <w:tcW w:w="2035" w:type="dxa"/>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hideMark/>
          </w:tcPr>
          <w:p w:rsidR="008B2D2F" w:rsidRPr="008B2D2F" w:rsidRDefault="008B2D2F" w:rsidP="0052333B">
            <w:pPr>
              <w:keepNext/>
              <w:spacing w:after="120"/>
              <w:rPr>
                <w:rFonts w:ascii="Arial" w:eastAsia="Calibri" w:hAnsi="Arial" w:cs="Arial"/>
                <w:sz w:val="22"/>
                <w:szCs w:val="22"/>
              </w:rPr>
            </w:pPr>
            <w:r w:rsidRPr="008B2D2F">
              <w:rPr>
                <w:rFonts w:ascii="Arial" w:hAnsi="Arial" w:cs="Arial"/>
                <w:sz w:val="22"/>
                <w:szCs w:val="22"/>
              </w:rPr>
              <w:t>Optus</w:t>
            </w:r>
          </w:p>
        </w:tc>
        <w:tc>
          <w:tcPr>
            <w:tcW w:w="3260" w:type="dxa"/>
            <w:tcBorders>
              <w:top w:val="single" w:sz="6" w:space="0" w:color="auto"/>
              <w:left w:val="single" w:sz="8" w:space="0" w:color="auto"/>
              <w:bottom w:val="single" w:sz="6" w:space="0" w:color="auto"/>
              <w:right w:val="single" w:sz="8" w:space="0" w:color="auto"/>
            </w:tcBorders>
          </w:tcPr>
          <w:p w:rsidR="008B2D2F" w:rsidRPr="008B2D2F" w:rsidRDefault="008B2D2F" w:rsidP="008B2D2F">
            <w:pPr>
              <w:jc w:val="center"/>
              <w:rPr>
                <w:rFonts w:ascii="Arial" w:hAnsi="Arial" w:cs="Arial"/>
                <w:sz w:val="22"/>
                <w:szCs w:val="22"/>
              </w:rPr>
            </w:pPr>
            <w:r w:rsidRPr="008B2D2F">
              <w:rPr>
                <w:rFonts w:ascii="Arial" w:hAnsi="Arial" w:cs="Arial"/>
                <w:sz w:val="22"/>
                <w:szCs w:val="22"/>
              </w:rPr>
              <w:t>14</w:t>
            </w:r>
          </w:p>
        </w:tc>
        <w:tc>
          <w:tcPr>
            <w:tcW w:w="3253" w:type="dxa"/>
            <w:tcBorders>
              <w:top w:val="single" w:sz="6" w:space="0" w:color="auto"/>
              <w:left w:val="single" w:sz="8" w:space="0" w:color="auto"/>
              <w:bottom w:val="single" w:sz="6" w:space="0" w:color="auto"/>
              <w:right w:val="single" w:sz="8" w:space="0" w:color="auto"/>
            </w:tcBorders>
          </w:tcPr>
          <w:p w:rsidR="008B2D2F" w:rsidRPr="008B2D2F" w:rsidRDefault="008B2D2F" w:rsidP="008B2D2F">
            <w:pPr>
              <w:jc w:val="center"/>
              <w:rPr>
                <w:rFonts w:ascii="Arial" w:hAnsi="Arial" w:cs="Arial"/>
                <w:sz w:val="22"/>
                <w:szCs w:val="22"/>
              </w:rPr>
            </w:pPr>
            <w:r w:rsidRPr="008B2D2F">
              <w:rPr>
                <w:rFonts w:ascii="Arial" w:hAnsi="Arial" w:cs="Arial"/>
                <w:sz w:val="22"/>
                <w:szCs w:val="22"/>
              </w:rPr>
              <w:t>14</w:t>
            </w:r>
          </w:p>
        </w:tc>
      </w:tr>
      <w:tr w:rsidR="008B2D2F" w:rsidRPr="00736B68" w:rsidTr="008D403B">
        <w:trPr>
          <w:jc w:val="center"/>
        </w:trPr>
        <w:tc>
          <w:tcPr>
            <w:tcW w:w="2035" w:type="dxa"/>
            <w:tcBorders>
              <w:top w:val="single" w:sz="6" w:space="0" w:color="auto"/>
              <w:left w:val="single" w:sz="8" w:space="0" w:color="auto"/>
              <w:bottom w:val="single" w:sz="6" w:space="0" w:color="auto"/>
              <w:right w:val="single" w:sz="8" w:space="0" w:color="auto"/>
            </w:tcBorders>
            <w:shd w:val="pct10" w:color="auto" w:fill="auto"/>
            <w:tcMar>
              <w:top w:w="0" w:type="dxa"/>
              <w:left w:w="108" w:type="dxa"/>
              <w:bottom w:w="0" w:type="dxa"/>
              <w:right w:w="108" w:type="dxa"/>
            </w:tcMar>
            <w:hideMark/>
          </w:tcPr>
          <w:p w:rsidR="008B2D2F" w:rsidRPr="008B2D2F" w:rsidRDefault="008B2D2F" w:rsidP="0052333B">
            <w:pPr>
              <w:keepNext/>
              <w:spacing w:after="120"/>
              <w:rPr>
                <w:rFonts w:ascii="Arial" w:eastAsia="Calibri" w:hAnsi="Arial" w:cs="Arial"/>
                <w:sz w:val="22"/>
                <w:szCs w:val="22"/>
              </w:rPr>
            </w:pPr>
            <w:r w:rsidRPr="008B2D2F">
              <w:rPr>
                <w:rFonts w:ascii="Arial" w:hAnsi="Arial" w:cs="Arial"/>
                <w:sz w:val="22"/>
                <w:szCs w:val="22"/>
              </w:rPr>
              <w:t>TPG</w:t>
            </w:r>
          </w:p>
        </w:tc>
        <w:tc>
          <w:tcPr>
            <w:tcW w:w="3260" w:type="dxa"/>
            <w:tcBorders>
              <w:top w:val="single" w:sz="6" w:space="0" w:color="auto"/>
              <w:left w:val="single" w:sz="8" w:space="0" w:color="auto"/>
              <w:bottom w:val="single" w:sz="6" w:space="0" w:color="auto"/>
              <w:right w:val="single" w:sz="8" w:space="0" w:color="auto"/>
            </w:tcBorders>
            <w:shd w:val="pct10" w:color="auto" w:fill="auto"/>
          </w:tcPr>
          <w:p w:rsidR="008B2D2F" w:rsidRPr="008B2D2F" w:rsidRDefault="008B2D2F" w:rsidP="008B2D2F">
            <w:pPr>
              <w:jc w:val="center"/>
              <w:rPr>
                <w:rFonts w:ascii="Arial" w:hAnsi="Arial" w:cs="Arial"/>
                <w:sz w:val="22"/>
                <w:szCs w:val="22"/>
              </w:rPr>
            </w:pPr>
            <w:r w:rsidRPr="008B2D2F">
              <w:rPr>
                <w:rFonts w:ascii="Arial" w:hAnsi="Arial" w:cs="Arial"/>
                <w:sz w:val="22"/>
                <w:szCs w:val="22"/>
              </w:rPr>
              <w:t>12</w:t>
            </w:r>
          </w:p>
        </w:tc>
        <w:tc>
          <w:tcPr>
            <w:tcW w:w="3253" w:type="dxa"/>
            <w:tcBorders>
              <w:top w:val="single" w:sz="6" w:space="0" w:color="auto"/>
              <w:left w:val="single" w:sz="8" w:space="0" w:color="auto"/>
              <w:bottom w:val="single" w:sz="6" w:space="0" w:color="auto"/>
              <w:right w:val="single" w:sz="8" w:space="0" w:color="auto"/>
            </w:tcBorders>
            <w:shd w:val="pct10" w:color="auto" w:fill="auto"/>
          </w:tcPr>
          <w:p w:rsidR="008B2D2F" w:rsidRPr="008B2D2F" w:rsidRDefault="008B2D2F" w:rsidP="008B2D2F">
            <w:pPr>
              <w:jc w:val="center"/>
              <w:rPr>
                <w:rFonts w:ascii="Arial" w:hAnsi="Arial" w:cs="Arial"/>
                <w:sz w:val="22"/>
                <w:szCs w:val="22"/>
              </w:rPr>
            </w:pPr>
            <w:r w:rsidRPr="008B2D2F">
              <w:rPr>
                <w:rFonts w:ascii="Arial" w:hAnsi="Arial" w:cs="Arial"/>
                <w:sz w:val="22"/>
                <w:szCs w:val="22"/>
              </w:rPr>
              <w:t>27</w:t>
            </w:r>
          </w:p>
        </w:tc>
      </w:tr>
      <w:tr w:rsidR="008B2D2F" w:rsidRPr="00736B68" w:rsidTr="008D403B">
        <w:trPr>
          <w:jc w:val="center"/>
        </w:trPr>
        <w:tc>
          <w:tcPr>
            <w:tcW w:w="2035" w:type="dxa"/>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hideMark/>
          </w:tcPr>
          <w:p w:rsidR="008B2D2F" w:rsidRPr="008B2D2F" w:rsidRDefault="008B2D2F" w:rsidP="0052333B">
            <w:pPr>
              <w:keepNext/>
              <w:spacing w:after="120"/>
              <w:rPr>
                <w:rFonts w:ascii="Arial" w:eastAsia="Calibri" w:hAnsi="Arial" w:cs="Arial"/>
                <w:sz w:val="22"/>
                <w:szCs w:val="22"/>
              </w:rPr>
            </w:pPr>
            <w:r w:rsidRPr="008B2D2F">
              <w:rPr>
                <w:rFonts w:ascii="Arial" w:hAnsi="Arial" w:cs="Arial"/>
                <w:sz w:val="22"/>
                <w:szCs w:val="22"/>
              </w:rPr>
              <w:t>M2</w:t>
            </w:r>
          </w:p>
        </w:tc>
        <w:tc>
          <w:tcPr>
            <w:tcW w:w="3260" w:type="dxa"/>
            <w:tcBorders>
              <w:top w:val="single" w:sz="6" w:space="0" w:color="auto"/>
              <w:left w:val="single" w:sz="8" w:space="0" w:color="auto"/>
              <w:bottom w:val="single" w:sz="6" w:space="0" w:color="auto"/>
              <w:right w:val="single" w:sz="8" w:space="0" w:color="auto"/>
            </w:tcBorders>
          </w:tcPr>
          <w:p w:rsidR="008B2D2F" w:rsidRPr="008B2D2F" w:rsidRDefault="008B2D2F" w:rsidP="008B2D2F">
            <w:pPr>
              <w:jc w:val="center"/>
              <w:rPr>
                <w:rFonts w:ascii="Arial" w:hAnsi="Arial" w:cs="Arial"/>
                <w:sz w:val="22"/>
                <w:szCs w:val="22"/>
              </w:rPr>
            </w:pPr>
            <w:r w:rsidRPr="008B2D2F">
              <w:rPr>
                <w:rFonts w:ascii="Arial" w:hAnsi="Arial" w:cs="Arial"/>
                <w:sz w:val="22"/>
                <w:szCs w:val="22"/>
              </w:rPr>
              <w:t>8</w:t>
            </w:r>
          </w:p>
        </w:tc>
        <w:tc>
          <w:tcPr>
            <w:tcW w:w="3253" w:type="dxa"/>
            <w:tcBorders>
              <w:top w:val="single" w:sz="6" w:space="0" w:color="auto"/>
              <w:left w:val="single" w:sz="8" w:space="0" w:color="auto"/>
              <w:bottom w:val="single" w:sz="6" w:space="0" w:color="auto"/>
              <w:right w:val="single" w:sz="8" w:space="0" w:color="auto"/>
            </w:tcBorders>
          </w:tcPr>
          <w:p w:rsidR="008B2D2F" w:rsidRPr="008B2D2F" w:rsidRDefault="008B2D2F" w:rsidP="008B2D2F">
            <w:pPr>
              <w:jc w:val="center"/>
              <w:rPr>
                <w:rFonts w:ascii="Arial" w:hAnsi="Arial" w:cs="Arial"/>
                <w:sz w:val="22"/>
                <w:szCs w:val="22"/>
              </w:rPr>
            </w:pPr>
            <w:r w:rsidRPr="008B2D2F">
              <w:rPr>
                <w:rFonts w:ascii="Arial" w:hAnsi="Arial" w:cs="Arial"/>
                <w:sz w:val="22"/>
                <w:szCs w:val="22"/>
              </w:rPr>
              <w:t>8</w:t>
            </w:r>
          </w:p>
        </w:tc>
      </w:tr>
      <w:tr w:rsidR="008B2D2F" w:rsidRPr="00736B68" w:rsidTr="008D403B">
        <w:trPr>
          <w:jc w:val="center"/>
        </w:trPr>
        <w:tc>
          <w:tcPr>
            <w:tcW w:w="2035" w:type="dxa"/>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hideMark/>
          </w:tcPr>
          <w:p w:rsidR="008B2D2F" w:rsidRPr="008B2D2F" w:rsidRDefault="008B2D2F" w:rsidP="0052333B">
            <w:pPr>
              <w:keepNext/>
              <w:spacing w:after="120"/>
              <w:rPr>
                <w:rFonts w:ascii="Arial" w:eastAsia="Calibri" w:hAnsi="Arial" w:cs="Arial"/>
                <w:sz w:val="22"/>
                <w:szCs w:val="22"/>
              </w:rPr>
            </w:pPr>
            <w:r w:rsidRPr="008B2D2F">
              <w:rPr>
                <w:rFonts w:ascii="Arial" w:hAnsi="Arial" w:cs="Arial"/>
                <w:sz w:val="22"/>
                <w:szCs w:val="22"/>
              </w:rPr>
              <w:t>Other</w:t>
            </w:r>
          </w:p>
        </w:tc>
        <w:tc>
          <w:tcPr>
            <w:tcW w:w="3260" w:type="dxa"/>
            <w:tcBorders>
              <w:top w:val="single" w:sz="6" w:space="0" w:color="auto"/>
              <w:left w:val="single" w:sz="8" w:space="0" w:color="auto"/>
              <w:bottom w:val="single" w:sz="6" w:space="0" w:color="auto"/>
              <w:right w:val="single" w:sz="8" w:space="0" w:color="auto"/>
            </w:tcBorders>
          </w:tcPr>
          <w:p w:rsidR="008B2D2F" w:rsidRPr="008B2D2F" w:rsidRDefault="008B2D2F" w:rsidP="008B2D2F">
            <w:pPr>
              <w:jc w:val="center"/>
              <w:rPr>
                <w:rFonts w:ascii="Arial" w:hAnsi="Arial" w:cs="Arial"/>
                <w:sz w:val="22"/>
                <w:szCs w:val="22"/>
              </w:rPr>
            </w:pPr>
            <w:r w:rsidRPr="008B2D2F">
              <w:rPr>
                <w:rFonts w:ascii="Arial" w:hAnsi="Arial" w:cs="Arial"/>
                <w:sz w:val="22"/>
                <w:szCs w:val="22"/>
              </w:rPr>
              <w:t>10</w:t>
            </w:r>
          </w:p>
        </w:tc>
        <w:tc>
          <w:tcPr>
            <w:tcW w:w="3253" w:type="dxa"/>
            <w:tcBorders>
              <w:top w:val="single" w:sz="6" w:space="0" w:color="auto"/>
              <w:left w:val="single" w:sz="8" w:space="0" w:color="auto"/>
              <w:bottom w:val="single" w:sz="6" w:space="0" w:color="auto"/>
              <w:right w:val="single" w:sz="8" w:space="0" w:color="auto"/>
            </w:tcBorders>
          </w:tcPr>
          <w:p w:rsidR="008B2D2F" w:rsidRPr="008B2D2F" w:rsidRDefault="008B2D2F" w:rsidP="008B2D2F">
            <w:pPr>
              <w:jc w:val="center"/>
              <w:rPr>
                <w:rFonts w:ascii="Arial" w:hAnsi="Arial" w:cs="Arial"/>
                <w:sz w:val="22"/>
                <w:szCs w:val="22"/>
              </w:rPr>
            </w:pPr>
            <w:r w:rsidRPr="008B2D2F">
              <w:rPr>
                <w:rFonts w:ascii="Arial" w:hAnsi="Arial" w:cs="Arial"/>
                <w:sz w:val="22"/>
                <w:szCs w:val="22"/>
              </w:rPr>
              <w:t>10</w:t>
            </w:r>
          </w:p>
        </w:tc>
      </w:tr>
      <w:tr w:rsidR="008B2D2F" w:rsidRPr="00736B68" w:rsidTr="008D403B">
        <w:trPr>
          <w:jc w:val="center"/>
        </w:trPr>
        <w:tc>
          <w:tcPr>
            <w:tcW w:w="2035" w:type="dxa"/>
            <w:tcBorders>
              <w:top w:val="single" w:sz="6"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B2D2F" w:rsidRPr="008B2D2F" w:rsidRDefault="008B2D2F" w:rsidP="0052333B">
            <w:pPr>
              <w:spacing w:after="120"/>
              <w:rPr>
                <w:rFonts w:ascii="Arial" w:eastAsia="Calibri" w:hAnsi="Arial" w:cs="Arial"/>
                <w:b/>
                <w:bCs/>
                <w:sz w:val="22"/>
                <w:szCs w:val="22"/>
              </w:rPr>
            </w:pPr>
            <w:r w:rsidRPr="008B2D2F">
              <w:rPr>
                <w:rFonts w:ascii="Arial" w:hAnsi="Arial" w:cs="Arial"/>
                <w:b/>
                <w:bCs/>
                <w:sz w:val="22"/>
                <w:szCs w:val="22"/>
              </w:rPr>
              <w:t>Total</w:t>
            </w:r>
          </w:p>
        </w:tc>
        <w:tc>
          <w:tcPr>
            <w:tcW w:w="3260" w:type="dxa"/>
            <w:tcBorders>
              <w:top w:val="single" w:sz="6" w:space="0" w:color="auto"/>
              <w:left w:val="single" w:sz="8" w:space="0" w:color="auto"/>
              <w:bottom w:val="single" w:sz="8" w:space="0" w:color="auto"/>
              <w:right w:val="single" w:sz="8" w:space="0" w:color="auto"/>
            </w:tcBorders>
          </w:tcPr>
          <w:p w:rsidR="008B2D2F" w:rsidRPr="00D74DC6" w:rsidRDefault="008B2D2F" w:rsidP="008B2D2F">
            <w:pPr>
              <w:jc w:val="center"/>
              <w:rPr>
                <w:rFonts w:ascii="Arial" w:hAnsi="Arial" w:cs="Arial"/>
                <w:b/>
                <w:sz w:val="22"/>
                <w:szCs w:val="22"/>
              </w:rPr>
            </w:pPr>
            <w:r w:rsidRPr="00D74DC6">
              <w:rPr>
                <w:rFonts w:ascii="Arial" w:hAnsi="Arial" w:cs="Arial"/>
                <w:b/>
                <w:sz w:val="22"/>
                <w:szCs w:val="22"/>
              </w:rPr>
              <w:t>100</w:t>
            </w:r>
          </w:p>
        </w:tc>
        <w:tc>
          <w:tcPr>
            <w:tcW w:w="3253" w:type="dxa"/>
            <w:tcBorders>
              <w:top w:val="single" w:sz="6" w:space="0" w:color="auto"/>
              <w:left w:val="single" w:sz="8" w:space="0" w:color="auto"/>
              <w:bottom w:val="single" w:sz="8" w:space="0" w:color="auto"/>
              <w:right w:val="single" w:sz="8" w:space="0" w:color="auto"/>
            </w:tcBorders>
          </w:tcPr>
          <w:p w:rsidR="008B2D2F" w:rsidRPr="00D74DC6" w:rsidRDefault="008B2D2F" w:rsidP="008B2D2F">
            <w:pPr>
              <w:jc w:val="center"/>
              <w:rPr>
                <w:rFonts w:ascii="Arial" w:hAnsi="Arial" w:cs="Arial"/>
                <w:b/>
                <w:sz w:val="22"/>
                <w:szCs w:val="22"/>
              </w:rPr>
            </w:pPr>
            <w:r w:rsidRPr="00D74DC6">
              <w:rPr>
                <w:rFonts w:ascii="Arial" w:hAnsi="Arial" w:cs="Arial"/>
                <w:b/>
                <w:sz w:val="22"/>
                <w:szCs w:val="22"/>
              </w:rPr>
              <w:t>100</w:t>
            </w:r>
          </w:p>
        </w:tc>
      </w:tr>
    </w:tbl>
    <w:p w:rsidR="003C5959" w:rsidRPr="00736B68" w:rsidRDefault="003C5959" w:rsidP="003C5959">
      <w:pPr>
        <w:spacing w:before="120"/>
      </w:pPr>
      <w:r w:rsidRPr="00736B68">
        <w:rPr>
          <w:rFonts w:ascii="Arial" w:hAnsi="Arial" w:cs="Arial"/>
          <w:sz w:val="18"/>
          <w:szCs w:val="18"/>
        </w:rPr>
        <w:t xml:space="preserve">Source: Based on ACCC, </w:t>
      </w:r>
      <w:r w:rsidRPr="00736B68">
        <w:rPr>
          <w:rFonts w:ascii="Arial" w:hAnsi="Arial" w:cs="Arial"/>
          <w:i/>
          <w:sz w:val="18"/>
          <w:szCs w:val="18"/>
        </w:rPr>
        <w:t>Telecommunications competitive safeguards for 2013-14</w:t>
      </w:r>
      <w:r w:rsidRPr="00736B68">
        <w:rPr>
          <w:rFonts w:ascii="Arial" w:hAnsi="Arial" w:cs="Arial"/>
          <w:sz w:val="18"/>
          <w:szCs w:val="18"/>
        </w:rPr>
        <w:t>, February 2015, page </w:t>
      </w:r>
      <w:r w:rsidR="00814638">
        <w:rPr>
          <w:rFonts w:ascii="Arial" w:hAnsi="Arial" w:cs="Arial"/>
          <w:sz w:val="18"/>
          <w:szCs w:val="18"/>
        </w:rPr>
        <w:t>23</w:t>
      </w:r>
      <w:r w:rsidRPr="00736B68">
        <w:rPr>
          <w:rFonts w:ascii="Arial" w:hAnsi="Arial" w:cs="Arial"/>
          <w:sz w:val="18"/>
          <w:szCs w:val="18"/>
        </w:rPr>
        <w:t>, and other information available to the ACCC.</w:t>
      </w:r>
    </w:p>
    <w:p w:rsidR="007F5555" w:rsidRDefault="00433DEF" w:rsidP="00EC4A29">
      <w:pPr>
        <w:pStyle w:val="NormalParagraph"/>
        <w:tabs>
          <w:tab w:val="clear" w:pos="360"/>
          <w:tab w:val="num" w:pos="567"/>
        </w:tabs>
        <w:ind w:left="567" w:hanging="567"/>
      </w:pPr>
      <w:r w:rsidRPr="00736B68">
        <w:lastRenderedPageBreak/>
        <w:t xml:space="preserve">After the </w:t>
      </w:r>
      <w:r w:rsidR="001C1E2D">
        <w:t xml:space="preserve">proposed </w:t>
      </w:r>
      <w:r w:rsidRPr="00736B68">
        <w:t xml:space="preserve">acquisition, the combined share of the four largest </w:t>
      </w:r>
      <w:r w:rsidR="00E66DC5" w:rsidRPr="00736B68">
        <w:t>firms</w:t>
      </w:r>
      <w:r w:rsidRPr="00736B68">
        <w:t xml:space="preserve"> </w:t>
      </w:r>
      <w:r w:rsidR="00E66DC5" w:rsidRPr="00736B68">
        <w:t xml:space="preserve">in this market </w:t>
      </w:r>
      <w:r w:rsidRPr="00736B68">
        <w:t>would be</w:t>
      </w:r>
      <w:r w:rsidR="001955E2">
        <w:t xml:space="preserve"> around</w:t>
      </w:r>
      <w:r w:rsidRPr="00736B68">
        <w:t xml:space="preserve"> 90 per cent. </w:t>
      </w:r>
      <w:r w:rsidR="001F74CE">
        <w:t xml:space="preserve">The ACCC’s views on competition in the market, given this level of concentration, are set out below. </w:t>
      </w:r>
    </w:p>
    <w:p w:rsidR="00A75A49" w:rsidRPr="00736B68" w:rsidRDefault="00A75A49" w:rsidP="007F5555">
      <w:pPr>
        <w:pStyle w:val="Heading5"/>
      </w:pPr>
      <w:r w:rsidRPr="00736B68">
        <w:t>C</w:t>
      </w:r>
      <w:r w:rsidR="0042722A" w:rsidRPr="00736B68">
        <w:t xml:space="preserve">loseness of competition </w:t>
      </w:r>
      <w:r w:rsidR="00AF77C8" w:rsidRPr="00736B68">
        <w:t xml:space="preserve">between </w:t>
      </w:r>
      <w:r w:rsidR="003925D3">
        <w:t>broadband suppliers</w:t>
      </w:r>
    </w:p>
    <w:p w:rsidR="003925D3" w:rsidRDefault="00503CC3" w:rsidP="00B17D79">
      <w:pPr>
        <w:pStyle w:val="NormalParagraph"/>
        <w:tabs>
          <w:tab w:val="clear" w:pos="360"/>
          <w:tab w:val="num" w:pos="567"/>
        </w:tabs>
        <w:ind w:left="567" w:hanging="567"/>
      </w:pPr>
      <w:r w:rsidRPr="00736B68">
        <w:t xml:space="preserve">TPG and iiNet </w:t>
      </w:r>
      <w:r w:rsidR="006621E4">
        <w:t>are two of five major broadband suppliers who all compete with each other</w:t>
      </w:r>
      <w:r w:rsidR="00BF57D6">
        <w:t>,</w:t>
      </w:r>
      <w:r w:rsidR="00C763CA">
        <w:t xml:space="preserve"> but often with a particular focus on certain aspects by</w:t>
      </w:r>
      <w:r w:rsidR="00BD6DDB">
        <w:t xml:space="preserve"> differentiat</w:t>
      </w:r>
      <w:r w:rsidR="00C763CA">
        <w:t>ing</w:t>
      </w:r>
      <w:r w:rsidR="00BD6DDB">
        <w:t xml:space="preserve"> their offers.</w:t>
      </w:r>
    </w:p>
    <w:p w:rsidR="00F73AC8" w:rsidRDefault="00BD6DDB" w:rsidP="0066000A">
      <w:pPr>
        <w:pStyle w:val="NormalParagraph"/>
        <w:tabs>
          <w:tab w:val="clear" w:pos="360"/>
          <w:tab w:val="num" w:pos="567"/>
        </w:tabs>
        <w:ind w:left="567" w:hanging="567"/>
      </w:pPr>
      <w:r>
        <w:t xml:space="preserve">TPG </w:t>
      </w:r>
      <w:r w:rsidR="005E5144">
        <w:t xml:space="preserve">has a particular focus on price. It competes more closely with other low price broadband suppliers, </w:t>
      </w:r>
      <w:r w:rsidR="00F73AC8">
        <w:t xml:space="preserve">such as </w:t>
      </w:r>
      <w:r>
        <w:t xml:space="preserve">M2 </w:t>
      </w:r>
      <w:r w:rsidR="0066000A">
        <w:t>with</w:t>
      </w:r>
      <w:r>
        <w:t xml:space="preserve"> its budget Dodo brand</w:t>
      </w:r>
      <w:r w:rsidR="0066000A">
        <w:t>, while</w:t>
      </w:r>
      <w:r w:rsidR="00F73AC8">
        <w:t xml:space="preserve"> </w:t>
      </w:r>
      <w:r>
        <w:t>iiNet has a particular</w:t>
      </w:r>
      <w:r w:rsidR="005E5144">
        <w:t xml:space="preserve"> </w:t>
      </w:r>
      <w:r>
        <w:t>focus on service</w:t>
      </w:r>
      <w:r w:rsidR="005E5144">
        <w:t xml:space="preserve"> and competes closely with </w:t>
      </w:r>
      <w:r w:rsidR="00F73AC8">
        <w:t xml:space="preserve">other perceived premium brands such as </w:t>
      </w:r>
      <w:r>
        <w:t>Telstra and Optus</w:t>
      </w:r>
      <w:r w:rsidR="00F73AC8">
        <w:t xml:space="preserve">. That said, there was evidence available to the ACCC of broadband suppliers </w:t>
      </w:r>
      <w:r w:rsidR="0066000A">
        <w:t>seeking to change</w:t>
      </w:r>
      <w:r w:rsidR="00F73AC8">
        <w:t xml:space="preserve"> </w:t>
      </w:r>
      <w:r w:rsidR="0066000A">
        <w:t>their offers over time in targeting rivals or niches in the market.</w:t>
      </w:r>
    </w:p>
    <w:p w:rsidR="00526526" w:rsidRDefault="00F73AC8">
      <w:pPr>
        <w:pStyle w:val="NormalParagraph"/>
        <w:tabs>
          <w:tab w:val="clear" w:pos="360"/>
          <w:tab w:val="num" w:pos="567"/>
        </w:tabs>
        <w:ind w:left="567" w:hanging="567"/>
      </w:pPr>
      <w:r>
        <w:t>I</w:t>
      </w:r>
      <w:r w:rsidR="00526526">
        <w:t xml:space="preserve">nformation available to the ACCC </w:t>
      </w:r>
      <w:r>
        <w:t xml:space="preserve">also </w:t>
      </w:r>
      <w:r w:rsidR="00526526">
        <w:t xml:space="preserve">suggested that customers make trade-offs between </w:t>
      </w:r>
      <w:r w:rsidR="000D7BD1">
        <w:t>the differentiated offers available</w:t>
      </w:r>
      <w:r w:rsidR="00526526">
        <w:t xml:space="preserve">. </w:t>
      </w:r>
      <w:r w:rsidR="00526526" w:rsidRPr="00F73AC8">
        <w:rPr>
          <w:rFonts w:cs="Arial"/>
        </w:rPr>
        <w:t xml:space="preserve">Submissions </w:t>
      </w:r>
      <w:r w:rsidR="00696C01" w:rsidRPr="00F73AC8">
        <w:rPr>
          <w:rFonts w:cs="Arial"/>
        </w:rPr>
        <w:t xml:space="preserve">from interested parties </w:t>
      </w:r>
      <w:r w:rsidR="00526526" w:rsidRPr="00F73AC8">
        <w:rPr>
          <w:rFonts w:cs="Arial"/>
        </w:rPr>
        <w:t>discussed customers switching from TPG to iiNet in search of a higher level of customer service, or switching from iiNet to TPG for a low cost option.</w:t>
      </w:r>
      <w:r w:rsidR="00434887" w:rsidRPr="00F73AC8">
        <w:rPr>
          <w:rFonts w:cs="Arial"/>
        </w:rPr>
        <w:t xml:space="preserve"> Similarly, </w:t>
      </w:r>
      <w:r w:rsidRPr="00F73AC8">
        <w:rPr>
          <w:rFonts w:cs="Arial"/>
        </w:rPr>
        <w:t xml:space="preserve">there was evidence of </w:t>
      </w:r>
      <w:r w:rsidR="00434887" w:rsidRPr="00F73AC8">
        <w:rPr>
          <w:rFonts w:cs="Arial"/>
        </w:rPr>
        <w:t>customers switch</w:t>
      </w:r>
      <w:r w:rsidRPr="00F73AC8">
        <w:rPr>
          <w:rFonts w:cs="Arial"/>
        </w:rPr>
        <w:t>ing</w:t>
      </w:r>
      <w:r w:rsidR="00434887" w:rsidRPr="00F73AC8">
        <w:rPr>
          <w:rFonts w:cs="Arial"/>
        </w:rPr>
        <w:t xml:space="preserve"> between TPG, iiNet and other providers to access the price and service combination that best meets their needs.</w:t>
      </w:r>
    </w:p>
    <w:p w:rsidR="0018205A" w:rsidRPr="00736B68" w:rsidRDefault="0018205A" w:rsidP="0018205A">
      <w:pPr>
        <w:pStyle w:val="Heading5"/>
      </w:pPr>
      <w:r w:rsidRPr="00736B68">
        <w:t>Threat of entry or expansion</w:t>
      </w:r>
    </w:p>
    <w:p w:rsidR="0018205A" w:rsidRPr="00736B68" w:rsidRDefault="0018205A" w:rsidP="0018205A">
      <w:pPr>
        <w:pStyle w:val="NormalParagraph"/>
        <w:tabs>
          <w:tab w:val="clear" w:pos="360"/>
          <w:tab w:val="num" w:pos="567"/>
        </w:tabs>
        <w:ind w:left="567" w:hanging="567"/>
      </w:pPr>
      <w:r w:rsidRPr="00736B68">
        <w:t xml:space="preserve">In considering the issue of entry or expansion, the ACCC made the following observations based on </w:t>
      </w:r>
      <w:r>
        <w:t>information obtained during the review</w:t>
      </w:r>
      <w:r w:rsidRPr="00736B68">
        <w:t>:</w:t>
      </w:r>
    </w:p>
    <w:p w:rsidR="0018205A" w:rsidRDefault="0018205A" w:rsidP="0018205A">
      <w:pPr>
        <w:pStyle w:val="ListParagraph"/>
        <w:numPr>
          <w:ilvl w:val="0"/>
          <w:numId w:val="6"/>
        </w:numPr>
      </w:pPr>
      <w:r w:rsidRPr="00736B68">
        <w:t>A feature of the fixed broadband market over a number of years has been consolidation through acquisition, with no large</w:t>
      </w:r>
      <w:r>
        <w:noBreakHyphen/>
      </w:r>
      <w:r w:rsidRPr="00736B68">
        <w:t>scale new entry</w:t>
      </w:r>
      <w:r>
        <w:t xml:space="preserve"> or significant organic growth</w:t>
      </w:r>
      <w:r w:rsidRPr="00736B68">
        <w:t>.</w:t>
      </w:r>
    </w:p>
    <w:p w:rsidR="0018205A" w:rsidRPr="00736B68" w:rsidRDefault="0018205A" w:rsidP="0018205A">
      <w:pPr>
        <w:pStyle w:val="ListParagraph"/>
        <w:numPr>
          <w:ilvl w:val="0"/>
          <w:numId w:val="6"/>
        </w:numPr>
      </w:pPr>
      <w:r>
        <w:t>Existing suppliers enjoy advantages over new entrants, including economies of scale, economies of scope and established brands</w:t>
      </w:r>
      <w:r w:rsidR="003A259D">
        <w:t xml:space="preserve"> which present</w:t>
      </w:r>
      <w:r>
        <w:t xml:space="preserve"> barriers to entry</w:t>
      </w:r>
      <w:r w:rsidR="003A259D">
        <w:t xml:space="preserve"> for new entrants</w:t>
      </w:r>
      <w:r>
        <w:t>. Smaller suppliers wishing to expand face similar barriers.</w:t>
      </w:r>
    </w:p>
    <w:p w:rsidR="0018205A" w:rsidRPr="00736B68" w:rsidRDefault="0018205A" w:rsidP="0018205A">
      <w:pPr>
        <w:pStyle w:val="ListParagraph"/>
        <w:numPr>
          <w:ilvl w:val="0"/>
          <w:numId w:val="6"/>
        </w:numPr>
      </w:pPr>
      <w:r w:rsidRPr="00736B68">
        <w:t>Access to wholesale infrastructure on competitive terms is an important component of being able to compete effectively at the retail level. The transition to the NBN offers some prospect of new entry because a wholesale-only network operator</w:t>
      </w:r>
      <w:r>
        <w:t xml:space="preserve"> better enables retail service providers to compete on their merits against Telstra and each other. In contrast, in the pre-NBN environment many retail service providers rely on access to </w:t>
      </w:r>
      <w:r w:rsidRPr="00736B68">
        <w:t>Telstra</w:t>
      </w:r>
      <w:r>
        <w:t>’s network to compete against Telstra in downstream retail markets</w:t>
      </w:r>
      <w:r w:rsidRPr="00736B68">
        <w:t>.</w:t>
      </w:r>
    </w:p>
    <w:p w:rsidR="0018205A" w:rsidRDefault="0018205A" w:rsidP="0018205A">
      <w:pPr>
        <w:pStyle w:val="ListParagraph"/>
        <w:numPr>
          <w:ilvl w:val="0"/>
          <w:numId w:val="6"/>
        </w:numPr>
      </w:pPr>
      <w:r w:rsidRPr="00736B68">
        <w:t xml:space="preserve">The </w:t>
      </w:r>
      <w:r>
        <w:t>deployment</w:t>
      </w:r>
      <w:r w:rsidRPr="00736B68">
        <w:t xml:space="preserve"> of the NBN is expected to increase the volume of traffic that will be carried on wholesale transmission networks, which is likely to promote </w:t>
      </w:r>
      <w:r>
        <w:t xml:space="preserve">use of and </w:t>
      </w:r>
      <w:r w:rsidRPr="00736B68">
        <w:t>investment in these networks. This may assist competition in the retail supply of fixed broadband services.</w:t>
      </w:r>
      <w:r>
        <w:t xml:space="preserve"> New entrants on a small scale can provide additional consumer choice even if they do not reach the mass market.</w:t>
      </w:r>
    </w:p>
    <w:p w:rsidR="0018205A" w:rsidRDefault="0018205A" w:rsidP="0018205A">
      <w:pPr>
        <w:pStyle w:val="ListParagraph"/>
        <w:numPr>
          <w:ilvl w:val="0"/>
          <w:numId w:val="6"/>
        </w:numPr>
      </w:pPr>
      <w:r>
        <w:lastRenderedPageBreak/>
        <w:t>There are already a number of small players that provide varying degrees of constraint, and there are reports of possible new entrants such as Woolworths, Coles and MyRepublic.</w:t>
      </w:r>
    </w:p>
    <w:p w:rsidR="0018205A" w:rsidRPr="00736B68" w:rsidRDefault="0018205A" w:rsidP="0018205A">
      <w:pPr>
        <w:pStyle w:val="ListParagraph"/>
        <w:numPr>
          <w:ilvl w:val="0"/>
          <w:numId w:val="6"/>
        </w:numPr>
      </w:pPr>
      <w:r>
        <w:t xml:space="preserve">However, the barriers to entry or expansion mentioned above limit the </w:t>
      </w:r>
      <w:r w:rsidRPr="00736B68">
        <w:t>prospect of large</w:t>
      </w:r>
      <w:r>
        <w:noBreakHyphen/>
      </w:r>
      <w:r w:rsidRPr="00736B68">
        <w:t xml:space="preserve">scale new entry </w:t>
      </w:r>
      <w:r>
        <w:t xml:space="preserve">or expansion </w:t>
      </w:r>
      <w:r w:rsidRPr="00736B68">
        <w:t xml:space="preserve">that would constrain </w:t>
      </w:r>
      <w:r>
        <w:t xml:space="preserve">TPG and/or </w:t>
      </w:r>
      <w:r w:rsidRPr="00736B68">
        <w:t xml:space="preserve">the </w:t>
      </w:r>
      <w:r>
        <w:t xml:space="preserve">other </w:t>
      </w:r>
      <w:r w:rsidRPr="00736B68">
        <w:t xml:space="preserve">major </w:t>
      </w:r>
      <w:r>
        <w:t>suppliers</w:t>
      </w:r>
      <w:r w:rsidRPr="00736B68">
        <w:t xml:space="preserve"> </w:t>
      </w:r>
      <w:r>
        <w:t xml:space="preserve">of fixed broadband </w:t>
      </w:r>
      <w:r w:rsidRPr="00736B68">
        <w:t>in the foreseeable future.</w:t>
      </w:r>
    </w:p>
    <w:p w:rsidR="0018205A" w:rsidRPr="00736B68" w:rsidRDefault="0018205A" w:rsidP="0018205A">
      <w:pPr>
        <w:pStyle w:val="NormalParagraph"/>
        <w:tabs>
          <w:tab w:val="clear" w:pos="360"/>
          <w:tab w:val="num" w:pos="567"/>
        </w:tabs>
        <w:ind w:left="567" w:hanging="567"/>
      </w:pPr>
      <w:r>
        <w:t>The ACCC did not consider that the threat of new entry, or expansion by existing small players, was sufficient in its own right to constrain the merged entity. However, g</w:t>
      </w:r>
      <w:r w:rsidRPr="00736B68">
        <w:t xml:space="preserve">iven </w:t>
      </w:r>
      <w:r>
        <w:t>that it considered there were</w:t>
      </w:r>
      <w:r w:rsidRPr="00736B68">
        <w:t xml:space="preserve"> sufficient constraints posed by other </w:t>
      </w:r>
      <w:r>
        <w:t xml:space="preserve">existing major </w:t>
      </w:r>
      <w:r w:rsidRPr="00736B68">
        <w:t xml:space="preserve">broadband suppliers, the ACCC did not consider it necessary to </w:t>
      </w:r>
      <w:r>
        <w:t>rely on</w:t>
      </w:r>
      <w:r w:rsidRPr="00736B68">
        <w:t xml:space="preserve"> the threat of entry or expansion</w:t>
      </w:r>
      <w:r>
        <w:t xml:space="preserve"> as a key constraint</w:t>
      </w:r>
      <w:r w:rsidRPr="00736B68">
        <w:t xml:space="preserve">. </w:t>
      </w:r>
    </w:p>
    <w:p w:rsidR="00814638" w:rsidRPr="00736B68" w:rsidRDefault="00814638" w:rsidP="00814638">
      <w:pPr>
        <w:pStyle w:val="Heading5"/>
      </w:pPr>
      <w:r>
        <w:t>Removal of a vigorous and effective competitor</w:t>
      </w:r>
    </w:p>
    <w:p w:rsidR="00814638" w:rsidRDefault="00814638" w:rsidP="00924A2A">
      <w:pPr>
        <w:pStyle w:val="NormalParagraph"/>
        <w:tabs>
          <w:tab w:val="clear" w:pos="360"/>
          <w:tab w:val="num" w:pos="567"/>
        </w:tabs>
        <w:ind w:left="567" w:hanging="567"/>
      </w:pPr>
      <w:r>
        <w:t xml:space="preserve">The ACCC had regard to the competitive influence of iiNet in the relevant market. The ACCC found that although </w:t>
      </w:r>
      <w:r w:rsidR="00F07D9C">
        <w:t>ii</w:t>
      </w:r>
      <w:r>
        <w:t xml:space="preserve">Net is a vigorous and effective competitor, the acquisition would not fundamentally alter the incentives of other market participants, including </w:t>
      </w:r>
      <w:r w:rsidR="00956D52">
        <w:t>the merged firm</w:t>
      </w:r>
      <w:r>
        <w:t>, to innovate or act as disruptors in the market.</w:t>
      </w:r>
    </w:p>
    <w:p w:rsidR="00814638" w:rsidRDefault="00814638" w:rsidP="00814638">
      <w:pPr>
        <w:pStyle w:val="NormalParagraph"/>
        <w:tabs>
          <w:tab w:val="clear" w:pos="360"/>
          <w:tab w:val="num" w:pos="567"/>
        </w:tabs>
        <w:ind w:left="567" w:hanging="567"/>
      </w:pPr>
      <w:r>
        <w:t xml:space="preserve">iiNet’s competitive influence is </w:t>
      </w:r>
      <w:r w:rsidR="007602E0">
        <w:t xml:space="preserve">particularly strong </w:t>
      </w:r>
      <w:r>
        <w:t xml:space="preserve">on product innovation and customer service. For example, iiNet </w:t>
      </w:r>
      <w:r w:rsidR="0045420E">
        <w:t>was</w:t>
      </w:r>
      <w:r>
        <w:t xml:space="preserve"> the first to offer naked ADSL</w:t>
      </w:r>
      <w:r w:rsidR="007D11E4">
        <w:t>.</w:t>
      </w:r>
      <w:r>
        <w:t xml:space="preserve"> </w:t>
      </w:r>
      <w:r w:rsidR="007D11E4">
        <w:t>It also has a strong reputation amongst consumers for delivering</w:t>
      </w:r>
      <w:r>
        <w:t xml:space="preserve"> high standard</w:t>
      </w:r>
      <w:r w:rsidR="007D11E4">
        <w:t>s</w:t>
      </w:r>
      <w:r>
        <w:t xml:space="preserve"> of customer service.</w:t>
      </w:r>
    </w:p>
    <w:p w:rsidR="00814638" w:rsidRDefault="00814638" w:rsidP="00286DBC">
      <w:pPr>
        <w:pStyle w:val="NormalParagraph"/>
        <w:tabs>
          <w:tab w:val="clear" w:pos="360"/>
          <w:tab w:val="num" w:pos="567"/>
        </w:tabs>
        <w:ind w:left="567" w:hanging="567"/>
      </w:pPr>
      <w:r>
        <w:t xml:space="preserve">iiNet </w:t>
      </w:r>
      <w:r w:rsidR="00373BE9">
        <w:t xml:space="preserve">also </w:t>
      </w:r>
      <w:r>
        <w:t xml:space="preserve">competes on price but </w:t>
      </w:r>
      <w:r w:rsidR="00924A2A">
        <w:t>t</w:t>
      </w:r>
      <w:r>
        <w:t xml:space="preserve">here are other </w:t>
      </w:r>
      <w:r w:rsidR="00373BE9">
        <w:t xml:space="preserve">major </w:t>
      </w:r>
      <w:r>
        <w:t>competitors who deliver particularly strong price-based competition such as M2</w:t>
      </w:r>
      <w:r w:rsidR="009E67A7">
        <w:t>,</w:t>
      </w:r>
      <w:r>
        <w:t xml:space="preserve"> </w:t>
      </w:r>
      <w:r w:rsidR="00924A2A">
        <w:t xml:space="preserve">with </w:t>
      </w:r>
      <w:r w:rsidR="00924A2A" w:rsidRPr="00736B68">
        <w:t>its Dodo brand</w:t>
      </w:r>
      <w:r w:rsidR="009E67A7">
        <w:t>,</w:t>
      </w:r>
      <w:r w:rsidR="00924A2A">
        <w:t xml:space="preserve"> </w:t>
      </w:r>
      <w:r w:rsidR="00286DBC">
        <w:t xml:space="preserve">and TPG. </w:t>
      </w:r>
      <w:r w:rsidR="00377E61">
        <w:t xml:space="preserve">Telstra also competes on price through its relatively new Belong brand. </w:t>
      </w:r>
      <w:r w:rsidR="009E67A7">
        <w:t xml:space="preserve">The ACCC considered whether TPG and other providers would retain an incentive to engage in vigorous </w:t>
      </w:r>
      <w:r w:rsidR="00373BE9">
        <w:t xml:space="preserve">price and </w:t>
      </w:r>
      <w:r w:rsidR="009E67A7">
        <w:t xml:space="preserve">non-price </w:t>
      </w:r>
      <w:r w:rsidR="00373BE9">
        <w:t xml:space="preserve">based </w:t>
      </w:r>
      <w:r w:rsidR="009E67A7">
        <w:t xml:space="preserve">competition. This is discussed </w:t>
      </w:r>
      <w:r w:rsidR="005F5441">
        <w:t>below</w:t>
      </w:r>
      <w:r w:rsidR="009E67A7">
        <w:t>.</w:t>
      </w:r>
    </w:p>
    <w:p w:rsidR="00EB22F7" w:rsidRPr="00736B68" w:rsidRDefault="009E67A7" w:rsidP="00814638">
      <w:pPr>
        <w:pStyle w:val="Heading5"/>
      </w:pPr>
      <w:r>
        <w:t>Competition</w:t>
      </w:r>
      <w:r w:rsidR="00723005" w:rsidRPr="00736B68">
        <w:t xml:space="preserve"> </w:t>
      </w:r>
      <w:r w:rsidR="00236FAE">
        <w:t>from</w:t>
      </w:r>
      <w:r w:rsidR="00EB22F7" w:rsidRPr="00736B68">
        <w:t xml:space="preserve"> </w:t>
      </w:r>
      <w:r w:rsidR="00304325" w:rsidRPr="00736B68">
        <w:t xml:space="preserve">other </w:t>
      </w:r>
      <w:r w:rsidR="00E46D1B" w:rsidRPr="00736B68">
        <w:t>broadband suppliers</w:t>
      </w:r>
      <w:r w:rsidR="002823E2">
        <w:t xml:space="preserve"> and constraint on TPG after the proposed acquisition</w:t>
      </w:r>
    </w:p>
    <w:p w:rsidR="0083111E" w:rsidRPr="00736B68" w:rsidRDefault="009E67A7" w:rsidP="00370605">
      <w:pPr>
        <w:pStyle w:val="NormalParagraph"/>
        <w:tabs>
          <w:tab w:val="clear" w:pos="360"/>
          <w:tab w:val="num" w:pos="567"/>
        </w:tabs>
        <w:ind w:left="567" w:hanging="567"/>
      </w:pPr>
      <w:r>
        <w:t>T</w:t>
      </w:r>
      <w:r w:rsidR="00370605" w:rsidRPr="00736B68">
        <w:t>he ACCC considered</w:t>
      </w:r>
      <w:r w:rsidR="00AF3A62" w:rsidRPr="00736B68">
        <w:t xml:space="preserve"> the extent of </w:t>
      </w:r>
      <w:r w:rsidR="00370605" w:rsidRPr="00736B68">
        <w:t xml:space="preserve">competitive </w:t>
      </w:r>
      <w:r w:rsidR="00AF3A62" w:rsidRPr="00736B68">
        <w:t xml:space="preserve">constraints </w:t>
      </w:r>
      <w:r w:rsidR="00477260">
        <w:t>im</w:t>
      </w:r>
      <w:r w:rsidR="00370605" w:rsidRPr="00736B68">
        <w:t>posed by other suppliers</w:t>
      </w:r>
      <w:r w:rsidR="00AF3A62" w:rsidRPr="00736B68">
        <w:t xml:space="preserve"> in the relev</w:t>
      </w:r>
      <w:r w:rsidR="00370605" w:rsidRPr="00736B68">
        <w:t>ant market</w:t>
      </w:r>
      <w:r w:rsidR="00FE77DB">
        <w:t xml:space="preserve"> and whether TPG would have an incentive to increase prices or downgrade iiNet’s differentiated offer following the proposed acquisition</w:t>
      </w:r>
      <w:r w:rsidR="00370605" w:rsidRPr="00736B68">
        <w:t xml:space="preserve">. </w:t>
      </w:r>
      <w:r w:rsidR="00404B24">
        <w:t>T</w:t>
      </w:r>
      <w:r w:rsidR="00AF3A62" w:rsidRPr="00736B68">
        <w:t xml:space="preserve">he ACCC received mixed views </w:t>
      </w:r>
      <w:r w:rsidR="00370605" w:rsidRPr="00736B68">
        <w:t xml:space="preserve">from interested parties </w:t>
      </w:r>
      <w:r w:rsidR="00AF3A62" w:rsidRPr="00736B68">
        <w:t>regarding the</w:t>
      </w:r>
      <w:r w:rsidR="00370605" w:rsidRPr="00736B68">
        <w:t>se</w:t>
      </w:r>
      <w:r w:rsidR="00AF3A62" w:rsidRPr="00736B68">
        <w:t xml:space="preserve"> </w:t>
      </w:r>
      <w:r w:rsidR="00370605" w:rsidRPr="00736B68">
        <w:t xml:space="preserve">constraints. </w:t>
      </w:r>
    </w:p>
    <w:p w:rsidR="00AF3A62" w:rsidRPr="00736B68" w:rsidRDefault="00AF3A62" w:rsidP="00370605">
      <w:pPr>
        <w:pStyle w:val="NormalParagraph"/>
        <w:tabs>
          <w:tab w:val="clear" w:pos="360"/>
          <w:tab w:val="num" w:pos="567"/>
        </w:tabs>
        <w:ind w:left="567" w:hanging="567"/>
      </w:pPr>
      <w:r w:rsidRPr="00736B68">
        <w:t xml:space="preserve">Some </w:t>
      </w:r>
      <w:r w:rsidR="00370605" w:rsidRPr="00736B68">
        <w:t xml:space="preserve">interested </w:t>
      </w:r>
      <w:r w:rsidRPr="00736B68">
        <w:t xml:space="preserve">parties </w:t>
      </w:r>
      <w:r w:rsidR="00B94043">
        <w:t>considered</w:t>
      </w:r>
      <w:r w:rsidRPr="00736B68">
        <w:t xml:space="preserve"> that TPG would continue to be constrained after the acquisition, given</w:t>
      </w:r>
      <w:r w:rsidR="009E67A7">
        <w:t xml:space="preserve"> existing competition in the market</w:t>
      </w:r>
      <w:r w:rsidR="0066000A">
        <w:t xml:space="preserve"> and </w:t>
      </w:r>
      <w:r w:rsidR="009E67A7">
        <w:t>the continued</w:t>
      </w:r>
      <w:r w:rsidRPr="00736B68">
        <w:t xml:space="preserve"> presence of other large suppliers of retail fixed broadband services</w:t>
      </w:r>
      <w:r w:rsidR="009E67A7">
        <w:t>,</w:t>
      </w:r>
      <w:r w:rsidRPr="00736B68">
        <w:t xml:space="preserve"> and the threat that TPG would lose customers to those competitors if it increased prices or reduced service levels. </w:t>
      </w:r>
    </w:p>
    <w:p w:rsidR="00F20DF1" w:rsidRPr="00736B68" w:rsidRDefault="00AF3A62" w:rsidP="00370605">
      <w:pPr>
        <w:pStyle w:val="NormalParagraph"/>
        <w:tabs>
          <w:tab w:val="clear" w:pos="360"/>
          <w:tab w:val="num" w:pos="567"/>
        </w:tabs>
        <w:ind w:left="567" w:hanging="567"/>
      </w:pPr>
      <w:r w:rsidRPr="00736B68">
        <w:t xml:space="preserve">Other </w:t>
      </w:r>
      <w:r w:rsidR="00370605" w:rsidRPr="00736B68">
        <w:t xml:space="preserve">interested </w:t>
      </w:r>
      <w:r w:rsidRPr="00736B68">
        <w:t xml:space="preserve">parties </w:t>
      </w:r>
      <w:r w:rsidR="00370605" w:rsidRPr="00736B68">
        <w:t>were</w:t>
      </w:r>
      <w:r w:rsidRPr="00736B68">
        <w:t xml:space="preserve"> concerned that TPG may not maintain, and other competitors would not have the ability and incentive to match or better, iiNet’s offer</w:t>
      </w:r>
      <w:r w:rsidR="00370605" w:rsidRPr="00736B68">
        <w:t xml:space="preserve"> (</w:t>
      </w:r>
      <w:r w:rsidRPr="00736B68">
        <w:t>including its</w:t>
      </w:r>
      <w:r w:rsidR="005F43CA">
        <w:t xml:space="preserve"> high</w:t>
      </w:r>
      <w:r w:rsidRPr="00736B68">
        <w:t xml:space="preserve"> standard of customer service</w:t>
      </w:r>
      <w:r w:rsidR="00370605" w:rsidRPr="00736B68">
        <w:t>)</w:t>
      </w:r>
      <w:r w:rsidR="00CD7AD8">
        <w:t xml:space="preserve"> after the acquisition</w:t>
      </w:r>
      <w:r w:rsidR="00696C01">
        <w:t>.</w:t>
      </w:r>
    </w:p>
    <w:p w:rsidR="00526526" w:rsidRDefault="00526526" w:rsidP="0083111E">
      <w:pPr>
        <w:pStyle w:val="NormalParagraph"/>
        <w:tabs>
          <w:tab w:val="clear" w:pos="360"/>
          <w:tab w:val="num" w:pos="567"/>
        </w:tabs>
        <w:ind w:left="567" w:hanging="567"/>
      </w:pPr>
      <w:r>
        <w:lastRenderedPageBreak/>
        <w:t xml:space="preserve">Much of the value of the proposed acquisition for TPG appeared to be in the opportunity to </w:t>
      </w:r>
      <w:r w:rsidR="00956D52">
        <w:t xml:space="preserve">acquire and supply </w:t>
      </w:r>
      <w:r>
        <w:t xml:space="preserve">iiNet’s large customer base. These customers </w:t>
      </w:r>
      <w:r w:rsidR="0066000A">
        <w:t>in general were</w:t>
      </w:r>
      <w:r>
        <w:t xml:space="preserve"> attracted to iiNet by its particular combination of price and service. TPG would only have an incentive to </w:t>
      </w:r>
      <w:r w:rsidR="00956D52">
        <w:t xml:space="preserve">degrade </w:t>
      </w:r>
      <w:r>
        <w:t xml:space="preserve">this offer if it could be confident that </w:t>
      </w:r>
      <w:r w:rsidR="00122A54">
        <w:t xml:space="preserve">substantial </w:t>
      </w:r>
      <w:r w:rsidR="00B0557D">
        <w:t>numbers</w:t>
      </w:r>
      <w:r w:rsidR="00122A54">
        <w:t xml:space="preserve"> of </w:t>
      </w:r>
      <w:r>
        <w:t>custome</w:t>
      </w:r>
      <w:r w:rsidR="00434887">
        <w:t>r</w:t>
      </w:r>
      <w:r>
        <w:t xml:space="preserve">s would not be </w:t>
      </w:r>
      <w:r w:rsidR="00236FAE">
        <w:t xml:space="preserve">lost </w:t>
      </w:r>
      <w:r>
        <w:t>to other competitors.</w:t>
      </w:r>
    </w:p>
    <w:p w:rsidR="00956D52" w:rsidRDefault="00306377" w:rsidP="00956D52">
      <w:pPr>
        <w:pStyle w:val="NormalParagraph"/>
        <w:tabs>
          <w:tab w:val="clear" w:pos="360"/>
          <w:tab w:val="num" w:pos="567"/>
        </w:tabs>
        <w:ind w:left="567" w:hanging="567"/>
      </w:pPr>
      <w:r>
        <w:t>During the course of the</w:t>
      </w:r>
      <w:r w:rsidR="00956D52">
        <w:t xml:space="preserve"> </w:t>
      </w:r>
      <w:r>
        <w:t>review</w:t>
      </w:r>
      <w:r w:rsidR="00956D52">
        <w:t xml:space="preserve">, </w:t>
      </w:r>
      <w:r>
        <w:t>the ACCC examined</w:t>
      </w:r>
      <w:r w:rsidR="00956D52">
        <w:t xml:space="preserve"> diversion ratios </w:t>
      </w:r>
      <w:r>
        <w:t>that applied</w:t>
      </w:r>
      <w:r w:rsidR="00956D52">
        <w:t xml:space="preserve"> to the merger parties </w:t>
      </w:r>
      <w:r w:rsidR="0066000A">
        <w:t>and</w:t>
      </w:r>
      <w:r>
        <w:t xml:space="preserve"> customer switching behaviour.</w:t>
      </w:r>
      <w:r w:rsidR="00956D52">
        <w:t xml:space="preserve"> </w:t>
      </w:r>
      <w:r>
        <w:t xml:space="preserve">The </w:t>
      </w:r>
      <w:r w:rsidR="00956D52">
        <w:t xml:space="preserve">internal company documents of the merger parties </w:t>
      </w:r>
      <w:r>
        <w:t>provided insight into how TPG and iiNet</w:t>
      </w:r>
      <w:r w:rsidR="00956D52">
        <w:t xml:space="preserve"> </w:t>
      </w:r>
      <w:r>
        <w:t>formulated</w:t>
      </w:r>
      <w:r w:rsidR="00956D52">
        <w:t xml:space="preserve"> their offers</w:t>
      </w:r>
      <w:r>
        <w:t xml:space="preserve"> and</w:t>
      </w:r>
      <w:r w:rsidR="00BF57D6">
        <w:t>,</w:t>
      </w:r>
      <w:r>
        <w:t xml:space="preserve"> in particular</w:t>
      </w:r>
      <w:r w:rsidR="00BF57D6">
        <w:t>,</w:t>
      </w:r>
      <w:r>
        <w:t xml:space="preserve"> which other suppliers each saw as a competitive threat</w:t>
      </w:r>
      <w:r w:rsidR="00956D52">
        <w:t>.</w:t>
      </w:r>
    </w:p>
    <w:p w:rsidR="0066000A" w:rsidRDefault="0066000A" w:rsidP="0066000A">
      <w:pPr>
        <w:pStyle w:val="NormalParagraph"/>
        <w:tabs>
          <w:tab w:val="clear" w:pos="360"/>
          <w:tab w:val="num" w:pos="567"/>
        </w:tabs>
        <w:ind w:left="567" w:hanging="567"/>
      </w:pPr>
      <w:r w:rsidRPr="00736B68">
        <w:t>Th</w:t>
      </w:r>
      <w:r w:rsidR="002823E2">
        <w:t xml:space="preserve">is information indicated </w:t>
      </w:r>
      <w:r w:rsidRPr="00736B68">
        <w:t xml:space="preserve">that the </w:t>
      </w:r>
      <w:r>
        <w:t xml:space="preserve">merged entity would continue to be competitively constrained </w:t>
      </w:r>
      <w:r w:rsidRPr="00736B68">
        <w:t xml:space="preserve">by </w:t>
      </w:r>
      <w:r>
        <w:t xml:space="preserve">the </w:t>
      </w:r>
      <w:r w:rsidRPr="00736B68">
        <w:t xml:space="preserve">other </w:t>
      </w:r>
      <w:r w:rsidR="004462F4">
        <w:t>major</w:t>
      </w:r>
      <w:r w:rsidRPr="00736B68">
        <w:t xml:space="preserve"> </w:t>
      </w:r>
      <w:r w:rsidR="004462F4">
        <w:t xml:space="preserve">broadband </w:t>
      </w:r>
      <w:r w:rsidRPr="00736B68">
        <w:t>suppliers</w:t>
      </w:r>
      <w:r w:rsidR="004462F4">
        <w:t>, Telstra, Optus and M2</w:t>
      </w:r>
      <w:r w:rsidRPr="00736B68">
        <w:t xml:space="preserve">. </w:t>
      </w:r>
      <w:r>
        <w:t xml:space="preserve">In the event that TPG sought to materially decrease service levels or raise prices post-acquisition, it would risk substantial losses of customers to rival suppliers of fixed broadband services that would be likely to make any such action unprofitable. </w:t>
      </w:r>
    </w:p>
    <w:p w:rsidR="004462F4" w:rsidRDefault="00306377" w:rsidP="00306377">
      <w:pPr>
        <w:pStyle w:val="NormalParagraph"/>
        <w:tabs>
          <w:tab w:val="clear" w:pos="360"/>
          <w:tab w:val="num" w:pos="567"/>
        </w:tabs>
        <w:ind w:left="567" w:hanging="567"/>
      </w:pPr>
      <w:r w:rsidRPr="00736B68">
        <w:t>The ACCC’s inquiries also revealed that small competitors can be disruptive on certain aspects of the competitive process such as service, but are limited in geographic reach and do not enjoy the same economies of scale and scope as large incumbents.</w:t>
      </w:r>
      <w:r>
        <w:t xml:space="preserve"> </w:t>
      </w:r>
    </w:p>
    <w:p w:rsidR="00306377" w:rsidRPr="00736B68" w:rsidRDefault="00306377" w:rsidP="00306377">
      <w:pPr>
        <w:pStyle w:val="NormalParagraph"/>
        <w:tabs>
          <w:tab w:val="clear" w:pos="360"/>
          <w:tab w:val="num" w:pos="567"/>
        </w:tabs>
        <w:ind w:left="567" w:hanging="567"/>
      </w:pPr>
      <w:r w:rsidRPr="00736B68">
        <w:t>Given large incumbents have a national presence</w:t>
      </w:r>
      <w:r>
        <w:t xml:space="preserve"> and are in a better position to bundle fixed broadband services with other services</w:t>
      </w:r>
      <w:r w:rsidRPr="00736B68">
        <w:t xml:space="preserve">, the ACCC placed more weight on </w:t>
      </w:r>
      <w:r w:rsidR="004462F4">
        <w:t>them</w:t>
      </w:r>
      <w:r>
        <w:t xml:space="preserve"> </w:t>
      </w:r>
      <w:r w:rsidRPr="00736B68">
        <w:t>as being capable of constraining the merged entity.</w:t>
      </w:r>
    </w:p>
    <w:p w:rsidR="0018205A" w:rsidRDefault="0018205A" w:rsidP="0018205A">
      <w:pPr>
        <w:pStyle w:val="Heading5"/>
      </w:pPr>
      <w:r>
        <w:t>Conclusion: retail fixed broadband market</w:t>
      </w:r>
    </w:p>
    <w:p w:rsidR="0018205A" w:rsidRDefault="0018205A" w:rsidP="0018205A">
      <w:pPr>
        <w:pStyle w:val="NormalParagraph"/>
        <w:tabs>
          <w:tab w:val="clear" w:pos="360"/>
          <w:tab w:val="num" w:pos="567"/>
        </w:tabs>
        <w:ind w:left="567" w:hanging="567"/>
      </w:pPr>
      <w:r>
        <w:t>The ACCC concluded that:</w:t>
      </w:r>
    </w:p>
    <w:p w:rsidR="0018205A" w:rsidRDefault="0018205A" w:rsidP="0018205A">
      <w:pPr>
        <w:pStyle w:val="ListParagraph"/>
        <w:numPr>
          <w:ilvl w:val="0"/>
          <w:numId w:val="6"/>
        </w:numPr>
      </w:pPr>
      <w:r>
        <w:t xml:space="preserve">TPG and </w:t>
      </w:r>
      <w:proofErr w:type="spellStart"/>
      <w:r>
        <w:t>iiNet</w:t>
      </w:r>
      <w:proofErr w:type="spellEnd"/>
      <w:r>
        <w:t xml:space="preserve"> are competitors in the national market for the retail supply of fixed broadband services. The proposed acquisition would eliminate competition between them – leading to a lessening of competition in the relevant market.</w:t>
      </w:r>
    </w:p>
    <w:p w:rsidR="0018205A" w:rsidRDefault="0018205A" w:rsidP="0018205A">
      <w:pPr>
        <w:pStyle w:val="ListParagraph"/>
        <w:numPr>
          <w:ilvl w:val="0"/>
          <w:numId w:val="6"/>
        </w:numPr>
      </w:pPr>
      <w:r>
        <w:t xml:space="preserve">However, the merged entity would remain constrained by other major suppliers – Telstra, Optus and M2. </w:t>
      </w:r>
    </w:p>
    <w:p w:rsidR="0018205A" w:rsidRDefault="0018205A" w:rsidP="0018205A">
      <w:pPr>
        <w:pStyle w:val="ListParagraph"/>
        <w:numPr>
          <w:ilvl w:val="0"/>
          <w:numId w:val="6"/>
        </w:numPr>
      </w:pPr>
      <w:r>
        <w:t>In this context, if TPG downgraded service standards or increased prices after the proposed acquisition, it would be likely to lose substantial numbers of customers to the other major suppliers such that any such actions would be likely to be unprofitable.</w:t>
      </w:r>
    </w:p>
    <w:p w:rsidR="0018205A" w:rsidRDefault="0018205A" w:rsidP="0018205A">
      <w:pPr>
        <w:pStyle w:val="ListParagraph"/>
        <w:numPr>
          <w:ilvl w:val="0"/>
          <w:numId w:val="6"/>
        </w:numPr>
      </w:pPr>
      <w:r>
        <w:t>There</w:t>
      </w:r>
      <w:r w:rsidR="00BF57D6">
        <w:t xml:space="preserve">fore </w:t>
      </w:r>
      <w:r>
        <w:t xml:space="preserve">the ACCC concluded </w:t>
      </w:r>
      <w:r w:rsidR="00BF57D6">
        <w:t xml:space="preserve">that, while the proposed acquisition would lessen competition, </w:t>
      </w:r>
      <w:r w:rsidR="008A1E82">
        <w:t>it</w:t>
      </w:r>
      <w:r>
        <w:t xml:space="preserve"> was not likely to lead to a substantial lessening of competition in the retail fixed broadband market.</w:t>
      </w:r>
    </w:p>
    <w:p w:rsidR="00402BEB" w:rsidRPr="00736B68" w:rsidRDefault="00402BEB" w:rsidP="00402BEB">
      <w:pPr>
        <w:pStyle w:val="NormalParagraph"/>
        <w:tabs>
          <w:tab w:val="clear" w:pos="360"/>
          <w:tab w:val="num" w:pos="567"/>
        </w:tabs>
        <w:ind w:left="567" w:hanging="567"/>
      </w:pPr>
      <w:r>
        <w:t xml:space="preserve">Notwithstanding its decision not </w:t>
      </w:r>
      <w:r w:rsidR="008A1E82">
        <w:t xml:space="preserve">to </w:t>
      </w:r>
      <w:r>
        <w:t>oppose the proposed acquisition, the ACCC noted the growing consolidation in what will now become a relatively concentrated broadband market. Any future proposed merger between two of the remaining four large suppliers of retail fixed broadband services</w:t>
      </w:r>
      <w:r w:rsidR="00B17D79">
        <w:t xml:space="preserve"> will face very close scrutiny</w:t>
      </w:r>
      <w:r>
        <w:t xml:space="preserve">. </w:t>
      </w:r>
    </w:p>
    <w:p w:rsidR="004A3065" w:rsidRPr="00736B68" w:rsidRDefault="00E46D1B" w:rsidP="004A3065">
      <w:pPr>
        <w:pStyle w:val="Heading4"/>
      </w:pPr>
      <w:r w:rsidRPr="00736B68">
        <w:lastRenderedPageBreak/>
        <w:t xml:space="preserve">Vertical </w:t>
      </w:r>
      <w:r w:rsidR="004A3065" w:rsidRPr="00736B68">
        <w:t xml:space="preserve">effects in the wholesale transmission </w:t>
      </w:r>
      <w:r w:rsidR="00F056A1" w:rsidRPr="00736B68">
        <w:t xml:space="preserve">market </w:t>
      </w:r>
    </w:p>
    <w:p w:rsidR="009A3B31" w:rsidRDefault="00F056A1">
      <w:pPr>
        <w:pStyle w:val="NormalParagraph"/>
        <w:tabs>
          <w:tab w:val="clear" w:pos="360"/>
          <w:tab w:val="num" w:pos="567"/>
        </w:tabs>
        <w:ind w:left="567" w:hanging="567"/>
      </w:pPr>
      <w:r>
        <w:t xml:space="preserve">The ACCC considered the vertical effects of the acquisition in the market for the supply of wholesale transmission services. </w:t>
      </w:r>
    </w:p>
    <w:p w:rsidR="004A3065" w:rsidRPr="00736B68" w:rsidRDefault="004A3065" w:rsidP="00022913">
      <w:pPr>
        <w:pStyle w:val="NormalParagraph"/>
        <w:tabs>
          <w:tab w:val="clear" w:pos="360"/>
          <w:tab w:val="num" w:pos="567"/>
        </w:tabs>
        <w:ind w:left="567" w:hanging="567"/>
      </w:pPr>
      <w:r w:rsidRPr="00736B68">
        <w:t>Of the five largest suppliers of retail broadband</w:t>
      </w:r>
      <w:r w:rsidR="007D7B79">
        <w:t xml:space="preserve">, </w:t>
      </w:r>
      <w:r w:rsidRPr="00736B68">
        <w:t>iiNet and M2 are the only retailers without their own substantial wholesale transmission networks. They acquire most of their transmission services from third party suppliers.</w:t>
      </w:r>
      <w:r w:rsidR="005B5180">
        <w:t xml:space="preserve"> </w:t>
      </w:r>
      <w:r w:rsidR="009F1B51">
        <w:t>These include their vertically integrated rivals (Telstra, Optus and TPG) and other non-integrated transmission suppliers</w:t>
      </w:r>
      <w:r w:rsidR="002F454F">
        <w:t xml:space="preserve"> such as Nextgen</w:t>
      </w:r>
      <w:r w:rsidR="009F1B51">
        <w:t>.</w:t>
      </w:r>
    </w:p>
    <w:p w:rsidR="00F056A1" w:rsidRDefault="00C86BF5" w:rsidP="009A3B31">
      <w:pPr>
        <w:pStyle w:val="NormalParagraph"/>
        <w:tabs>
          <w:tab w:val="clear" w:pos="360"/>
          <w:tab w:val="num" w:pos="567"/>
        </w:tabs>
        <w:ind w:left="567" w:hanging="567"/>
      </w:pPr>
      <w:r w:rsidRPr="00736B68">
        <w:t xml:space="preserve">During the ACCC’s review, some </w:t>
      </w:r>
      <w:r w:rsidR="004A3065" w:rsidRPr="00736B68">
        <w:t xml:space="preserve">parties raised </w:t>
      </w:r>
      <w:r w:rsidR="00664036" w:rsidRPr="00736B68">
        <w:t xml:space="preserve">concern that </w:t>
      </w:r>
      <w:r w:rsidR="00F056A1">
        <w:t xml:space="preserve">iiNet would no longer acquire wholesale transmission services from </w:t>
      </w:r>
      <w:r w:rsidR="009A3B31">
        <w:t>suppliers</w:t>
      </w:r>
      <w:r w:rsidR="00F056A1">
        <w:t xml:space="preserve"> other than TPG and this would threaten the commercial viability of non-vertically integrated wholesale transmission </w:t>
      </w:r>
      <w:r w:rsidR="009A3B31">
        <w:t>providers</w:t>
      </w:r>
      <w:r w:rsidR="00F056A1">
        <w:t>.</w:t>
      </w:r>
    </w:p>
    <w:p w:rsidR="00B8067D" w:rsidRPr="00736B68" w:rsidRDefault="00A31500" w:rsidP="00CD7AD8">
      <w:pPr>
        <w:pStyle w:val="NormalParagraph"/>
        <w:tabs>
          <w:tab w:val="clear" w:pos="360"/>
          <w:tab w:val="num" w:pos="567"/>
        </w:tabs>
        <w:ind w:left="567" w:hanging="567"/>
      </w:pPr>
      <w:r>
        <w:t xml:space="preserve">Some parties also expressed concern that this </w:t>
      </w:r>
      <w:r w:rsidR="008226BA">
        <w:t xml:space="preserve">would </w:t>
      </w:r>
      <w:r>
        <w:t xml:space="preserve">have consequences for competition in downstream markets, with </w:t>
      </w:r>
      <w:r w:rsidR="00805320" w:rsidRPr="00736B68">
        <w:t>r</w:t>
      </w:r>
      <w:r w:rsidR="00E20A7E" w:rsidRPr="00736B68">
        <w:t xml:space="preserve">etail </w:t>
      </w:r>
      <w:r>
        <w:t>broadband</w:t>
      </w:r>
      <w:r w:rsidR="00E20A7E" w:rsidRPr="00736B68">
        <w:t xml:space="preserve"> </w:t>
      </w:r>
      <w:r w:rsidR="009A3B31">
        <w:t>suppliers</w:t>
      </w:r>
      <w:r w:rsidR="002F454F">
        <w:t xml:space="preserve"> being forced to</w:t>
      </w:r>
      <w:r w:rsidR="009A3B31" w:rsidRPr="00736B68">
        <w:t xml:space="preserve"> </w:t>
      </w:r>
      <w:r w:rsidR="00BD0946">
        <w:t>rely on</w:t>
      </w:r>
      <w:r w:rsidR="00E20A7E" w:rsidRPr="00736B68">
        <w:t xml:space="preserve"> their vertically integrated competitors for wholesale transmission services.</w:t>
      </w:r>
    </w:p>
    <w:p w:rsidR="00022913" w:rsidRDefault="009A3B31">
      <w:pPr>
        <w:pStyle w:val="NormalParagraph"/>
        <w:tabs>
          <w:tab w:val="clear" w:pos="360"/>
          <w:tab w:val="num" w:pos="567"/>
        </w:tabs>
        <w:ind w:left="567" w:hanging="567"/>
      </w:pPr>
      <w:r>
        <w:t xml:space="preserve">On the basis of the information available, the ACCC </w:t>
      </w:r>
      <w:r w:rsidR="00022913">
        <w:t>concluded</w:t>
      </w:r>
      <w:r>
        <w:t xml:space="preserve"> </w:t>
      </w:r>
      <w:r w:rsidRPr="00736B68">
        <w:t>that the acquisition would be unlikely to result in a substantial lessening of competition in th</w:t>
      </w:r>
      <w:r w:rsidR="00BD1975">
        <w:t>e wholesale transmission</w:t>
      </w:r>
      <w:r w:rsidRPr="00736B68">
        <w:t xml:space="preserve"> market or any other market</w:t>
      </w:r>
      <w:r w:rsidR="00DA7FC7">
        <w:t>.</w:t>
      </w:r>
    </w:p>
    <w:p w:rsidR="00E07AB9" w:rsidRDefault="00022913" w:rsidP="00434887">
      <w:pPr>
        <w:pStyle w:val="NormalParagraph"/>
        <w:tabs>
          <w:tab w:val="clear" w:pos="360"/>
          <w:tab w:val="num" w:pos="567"/>
        </w:tabs>
        <w:ind w:left="567" w:hanging="567"/>
      </w:pPr>
      <w:r>
        <w:t>T</w:t>
      </w:r>
      <w:r w:rsidR="004A3065" w:rsidRPr="00736B68">
        <w:t>he</w:t>
      </w:r>
      <w:r>
        <w:t xml:space="preserve"> ACCC considered that </w:t>
      </w:r>
      <w:r w:rsidR="004A3065" w:rsidRPr="00736B68">
        <w:t>a number of purchasers (and suppliers)</w:t>
      </w:r>
      <w:r>
        <w:t xml:space="preserve"> of wholesale transmission services would remain, </w:t>
      </w:r>
      <w:r w:rsidR="004A3065" w:rsidRPr="00736B68">
        <w:t>even if iiNet reduce</w:t>
      </w:r>
      <w:r w:rsidR="00104938" w:rsidRPr="00736B68">
        <w:t>d</w:t>
      </w:r>
      <w:r w:rsidR="004A3065" w:rsidRPr="00736B68">
        <w:t xml:space="preserve"> its demand </w:t>
      </w:r>
      <w:r w:rsidR="00A31500">
        <w:t xml:space="preserve">from non-vertically </w:t>
      </w:r>
      <w:r w:rsidR="00104938" w:rsidRPr="00736B68">
        <w:t xml:space="preserve">integrated </w:t>
      </w:r>
      <w:r w:rsidR="00A31500">
        <w:t xml:space="preserve">transmission </w:t>
      </w:r>
      <w:r w:rsidR="00104938" w:rsidRPr="00736B68">
        <w:t xml:space="preserve">suppliers </w:t>
      </w:r>
      <w:r w:rsidR="004A3065" w:rsidRPr="00736B68">
        <w:t xml:space="preserve">following the </w:t>
      </w:r>
      <w:r w:rsidR="005F43CA">
        <w:t xml:space="preserve">proposed </w:t>
      </w:r>
      <w:r w:rsidR="004A3065" w:rsidRPr="00736B68">
        <w:t>acquisition.</w:t>
      </w:r>
      <w:r w:rsidR="00D15B0E">
        <w:t xml:space="preserve"> </w:t>
      </w:r>
    </w:p>
    <w:p w:rsidR="00CD7AD8" w:rsidRPr="00736B68" w:rsidRDefault="00D15B0E" w:rsidP="00434887">
      <w:pPr>
        <w:pStyle w:val="NormalParagraph"/>
        <w:tabs>
          <w:tab w:val="clear" w:pos="360"/>
          <w:tab w:val="num" w:pos="567"/>
        </w:tabs>
        <w:ind w:left="567" w:hanging="567"/>
      </w:pPr>
      <w:r>
        <w:t xml:space="preserve">Given that most of the major transmission suppliers are vertically integrated, non-integrated suppliers are important </w:t>
      </w:r>
      <w:r w:rsidR="00CD7AD8">
        <w:t>to competition in wholesale transmission</w:t>
      </w:r>
      <w:r>
        <w:t>. They</w:t>
      </w:r>
      <w:r w:rsidR="00CD7AD8">
        <w:t xml:space="preserve"> help facilitate retail competition, including by lowering barriers to retail entry and expansion</w:t>
      </w:r>
      <w:r>
        <w:t>. Accordingly</w:t>
      </w:r>
      <w:r w:rsidR="00CD7AD8">
        <w:t>, the ACCC would be concerned about any future acquisition by one of the large four retail service providers that would remove an important independent supplier.</w:t>
      </w:r>
    </w:p>
    <w:p w:rsidR="003163FF" w:rsidRPr="00736B68" w:rsidRDefault="000B31D7" w:rsidP="00B17D79">
      <w:pPr>
        <w:pStyle w:val="Heading3"/>
      </w:pPr>
      <w:bookmarkStart w:id="11" w:name="Target4"/>
      <w:bookmarkStart w:id="12" w:name="Acquirer6"/>
      <w:bookmarkEnd w:id="11"/>
      <w:bookmarkEnd w:id="12"/>
      <w:r w:rsidRPr="00736B68">
        <w:t>Conclusion</w:t>
      </w:r>
    </w:p>
    <w:p w:rsidR="003925D3" w:rsidRPr="00736B68" w:rsidRDefault="00E014DB" w:rsidP="00BD7E1A">
      <w:pPr>
        <w:pStyle w:val="NormalParagraph"/>
        <w:tabs>
          <w:tab w:val="clear" w:pos="360"/>
          <w:tab w:val="num" w:pos="567"/>
        </w:tabs>
        <w:ind w:left="567" w:hanging="567"/>
      </w:pPr>
      <w:r w:rsidRPr="00736B68">
        <w:t>Based on</w:t>
      </w:r>
      <w:r w:rsidR="000B31D7" w:rsidRPr="00736B68">
        <w:t xml:space="preserve"> the </w:t>
      </w:r>
      <w:r w:rsidRPr="00736B68">
        <w:t>above analysis</w:t>
      </w:r>
      <w:r w:rsidR="000B31D7" w:rsidRPr="00736B68">
        <w:t xml:space="preserve">, the ACCC concluded that the acquisition of </w:t>
      </w:r>
      <w:r w:rsidRPr="00736B68">
        <w:t xml:space="preserve">iiNet </w:t>
      </w:r>
      <w:r w:rsidR="000B31D7" w:rsidRPr="00736B68">
        <w:t xml:space="preserve">by </w:t>
      </w:r>
      <w:r w:rsidRPr="00736B68">
        <w:t>TPG</w:t>
      </w:r>
      <w:r w:rsidR="000B31D7" w:rsidRPr="00736B68">
        <w:t xml:space="preserve"> would not be likely to </w:t>
      </w:r>
      <w:r w:rsidR="003237F4" w:rsidRPr="00736B68">
        <w:t xml:space="preserve">have the effect of </w:t>
      </w:r>
      <w:r w:rsidR="000B31D7" w:rsidRPr="00736B68">
        <w:t>substantial</w:t>
      </w:r>
      <w:r w:rsidR="003237F4" w:rsidRPr="00736B68">
        <w:t>ly</w:t>
      </w:r>
      <w:r w:rsidR="000B31D7" w:rsidRPr="00736B68">
        <w:t xml:space="preserve"> lessening competition in any market.</w:t>
      </w:r>
    </w:p>
    <w:sectPr w:rsidR="003925D3" w:rsidRPr="00736B68" w:rsidSect="00EE022E">
      <w:headerReference w:type="even" r:id="rId10"/>
      <w:headerReference w:type="default" r:id="rId11"/>
      <w:footerReference w:type="even" r:id="rId12"/>
      <w:footerReference w:type="default" r:id="rId13"/>
      <w:headerReference w:type="first" r:id="rId14"/>
      <w:footerReference w:type="first" r:id="rId15"/>
      <w:pgSz w:w="11906" w:h="16838" w:code="9"/>
      <w:pgMar w:top="1559" w:right="1729" w:bottom="1582" w:left="1729" w:header="720" w:footer="10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6013" w:rsidRDefault="00BB6013">
      <w:r>
        <w:separator/>
      </w:r>
    </w:p>
  </w:endnote>
  <w:endnote w:type="continuationSeparator" w:id="0">
    <w:p w:rsidR="00BB6013" w:rsidRDefault="00BB6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Bold">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013" w:rsidRDefault="00BB6013">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BB6013" w:rsidRDefault="00BB6013">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013" w:rsidRPr="001E2914" w:rsidRDefault="00BB6013">
    <w:pPr>
      <w:pStyle w:val="Footer"/>
      <w:jc w:val="right"/>
      <w:rPr>
        <w:rFonts w:ascii="Arial" w:hAnsi="Arial" w:cs="Arial"/>
        <w:sz w:val="22"/>
        <w:szCs w:val="22"/>
      </w:rPr>
    </w:pPr>
    <w:r w:rsidRPr="001E2914">
      <w:rPr>
        <w:rFonts w:ascii="Arial" w:hAnsi="Arial" w:cs="Arial"/>
        <w:sz w:val="22"/>
        <w:szCs w:val="22"/>
      </w:rPr>
      <w:t xml:space="preserve">Page </w:t>
    </w:r>
    <w:r w:rsidRPr="001E2914">
      <w:rPr>
        <w:rFonts w:ascii="Arial" w:hAnsi="Arial" w:cs="Arial"/>
        <w:b/>
        <w:sz w:val="22"/>
        <w:szCs w:val="22"/>
      </w:rPr>
      <w:fldChar w:fldCharType="begin"/>
    </w:r>
    <w:r w:rsidRPr="001E2914">
      <w:rPr>
        <w:rFonts w:ascii="Arial" w:hAnsi="Arial" w:cs="Arial"/>
        <w:b/>
        <w:sz w:val="22"/>
        <w:szCs w:val="22"/>
      </w:rPr>
      <w:instrText xml:space="preserve"> PAGE </w:instrText>
    </w:r>
    <w:r w:rsidRPr="001E2914">
      <w:rPr>
        <w:rFonts w:ascii="Arial" w:hAnsi="Arial" w:cs="Arial"/>
        <w:b/>
        <w:sz w:val="22"/>
        <w:szCs w:val="22"/>
      </w:rPr>
      <w:fldChar w:fldCharType="separate"/>
    </w:r>
    <w:r w:rsidR="00AF3C30">
      <w:rPr>
        <w:rFonts w:ascii="Arial" w:hAnsi="Arial" w:cs="Arial"/>
        <w:b/>
        <w:noProof/>
        <w:sz w:val="22"/>
        <w:szCs w:val="22"/>
      </w:rPr>
      <w:t>15</w:t>
    </w:r>
    <w:r w:rsidRPr="001E2914">
      <w:rPr>
        <w:rFonts w:ascii="Arial" w:hAnsi="Arial" w:cs="Arial"/>
        <w:b/>
        <w:sz w:val="22"/>
        <w:szCs w:val="22"/>
      </w:rPr>
      <w:fldChar w:fldCharType="end"/>
    </w:r>
    <w:r w:rsidRPr="001E2914">
      <w:rPr>
        <w:rFonts w:ascii="Arial" w:hAnsi="Arial" w:cs="Arial"/>
        <w:sz w:val="22"/>
        <w:szCs w:val="22"/>
      </w:rPr>
      <w:t xml:space="preserve"> of </w:t>
    </w:r>
    <w:r w:rsidRPr="001E2914">
      <w:rPr>
        <w:rFonts w:ascii="Arial" w:hAnsi="Arial" w:cs="Arial"/>
        <w:b/>
        <w:sz w:val="22"/>
        <w:szCs w:val="22"/>
      </w:rPr>
      <w:fldChar w:fldCharType="begin"/>
    </w:r>
    <w:r w:rsidRPr="001E2914">
      <w:rPr>
        <w:rFonts w:ascii="Arial" w:hAnsi="Arial" w:cs="Arial"/>
        <w:b/>
        <w:sz w:val="22"/>
        <w:szCs w:val="22"/>
      </w:rPr>
      <w:instrText xml:space="preserve"> NUMPAGES  </w:instrText>
    </w:r>
    <w:r w:rsidRPr="001E2914">
      <w:rPr>
        <w:rFonts w:ascii="Arial" w:hAnsi="Arial" w:cs="Arial"/>
        <w:b/>
        <w:sz w:val="22"/>
        <w:szCs w:val="22"/>
      </w:rPr>
      <w:fldChar w:fldCharType="separate"/>
    </w:r>
    <w:r w:rsidR="00AF3C30">
      <w:rPr>
        <w:rFonts w:ascii="Arial" w:hAnsi="Arial" w:cs="Arial"/>
        <w:b/>
        <w:noProof/>
        <w:sz w:val="22"/>
        <w:szCs w:val="22"/>
      </w:rPr>
      <w:t>15</w:t>
    </w:r>
    <w:r w:rsidRPr="001E2914">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22E" w:rsidRPr="00EE022E" w:rsidRDefault="00EE022E">
    <w:pPr>
      <w:pStyle w:val="Footer"/>
      <w:jc w:val="right"/>
      <w:rPr>
        <w:rFonts w:ascii="Arial" w:hAnsi="Arial" w:cs="Arial"/>
        <w:sz w:val="22"/>
      </w:rPr>
    </w:pPr>
    <w:r w:rsidRPr="00EE022E">
      <w:rPr>
        <w:rFonts w:ascii="Arial" w:hAnsi="Arial" w:cs="Arial"/>
        <w:sz w:val="22"/>
      </w:rPr>
      <w:t xml:space="preserve">Page </w:t>
    </w:r>
    <w:r w:rsidRPr="00EE022E">
      <w:rPr>
        <w:rFonts w:ascii="Arial" w:hAnsi="Arial" w:cs="Arial"/>
        <w:b/>
        <w:bCs/>
        <w:sz w:val="22"/>
      </w:rPr>
      <w:fldChar w:fldCharType="begin"/>
    </w:r>
    <w:r w:rsidRPr="00EE022E">
      <w:rPr>
        <w:rFonts w:ascii="Arial" w:hAnsi="Arial" w:cs="Arial"/>
        <w:b/>
        <w:bCs/>
        <w:sz w:val="22"/>
      </w:rPr>
      <w:instrText xml:space="preserve"> PAGE </w:instrText>
    </w:r>
    <w:r w:rsidRPr="00EE022E">
      <w:rPr>
        <w:rFonts w:ascii="Arial" w:hAnsi="Arial" w:cs="Arial"/>
        <w:b/>
        <w:bCs/>
        <w:sz w:val="22"/>
      </w:rPr>
      <w:fldChar w:fldCharType="separate"/>
    </w:r>
    <w:r w:rsidR="00AF3C30">
      <w:rPr>
        <w:rFonts w:ascii="Arial" w:hAnsi="Arial" w:cs="Arial"/>
        <w:b/>
        <w:bCs/>
        <w:noProof/>
        <w:sz w:val="22"/>
      </w:rPr>
      <w:t>1</w:t>
    </w:r>
    <w:r w:rsidRPr="00EE022E">
      <w:rPr>
        <w:rFonts w:ascii="Arial" w:hAnsi="Arial" w:cs="Arial"/>
        <w:b/>
        <w:bCs/>
        <w:sz w:val="22"/>
      </w:rPr>
      <w:fldChar w:fldCharType="end"/>
    </w:r>
    <w:r w:rsidRPr="00EE022E">
      <w:rPr>
        <w:rFonts w:ascii="Arial" w:hAnsi="Arial" w:cs="Arial"/>
        <w:sz w:val="22"/>
      </w:rPr>
      <w:t xml:space="preserve"> of </w:t>
    </w:r>
    <w:r w:rsidRPr="00EE022E">
      <w:rPr>
        <w:rFonts w:ascii="Arial" w:hAnsi="Arial" w:cs="Arial"/>
        <w:b/>
        <w:bCs/>
        <w:sz w:val="22"/>
      </w:rPr>
      <w:fldChar w:fldCharType="begin"/>
    </w:r>
    <w:r w:rsidRPr="00EE022E">
      <w:rPr>
        <w:rFonts w:ascii="Arial" w:hAnsi="Arial" w:cs="Arial"/>
        <w:b/>
        <w:bCs/>
        <w:sz w:val="22"/>
      </w:rPr>
      <w:instrText xml:space="preserve"> NUMPAGES  </w:instrText>
    </w:r>
    <w:r w:rsidRPr="00EE022E">
      <w:rPr>
        <w:rFonts w:ascii="Arial" w:hAnsi="Arial" w:cs="Arial"/>
        <w:b/>
        <w:bCs/>
        <w:sz w:val="22"/>
      </w:rPr>
      <w:fldChar w:fldCharType="separate"/>
    </w:r>
    <w:r w:rsidR="00AF3C30">
      <w:rPr>
        <w:rFonts w:ascii="Arial" w:hAnsi="Arial" w:cs="Arial"/>
        <w:b/>
        <w:bCs/>
        <w:noProof/>
        <w:sz w:val="22"/>
      </w:rPr>
      <w:t>15</w:t>
    </w:r>
    <w:r w:rsidRPr="00EE022E">
      <w:rPr>
        <w:rFonts w:ascii="Arial" w:hAnsi="Arial" w:cs="Arial"/>
        <w:b/>
        <w:bCs/>
        <w:sz w:val="22"/>
      </w:rPr>
      <w:fldChar w:fldCharType="end"/>
    </w:r>
  </w:p>
  <w:p w:rsidR="00BB6013" w:rsidRPr="00D11F62" w:rsidRDefault="00BB6013">
    <w:pPr>
      <w:pStyle w:val="Footer"/>
      <w:jc w:val="right"/>
      <w:rPr>
        <w:rFonts w:ascii="Arial" w:hAnsi="Arial" w:cs="Arial"/>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6013" w:rsidRDefault="00BB6013">
      <w:r>
        <w:separator/>
      </w:r>
    </w:p>
  </w:footnote>
  <w:footnote w:type="continuationSeparator" w:id="0">
    <w:p w:rsidR="00BB6013" w:rsidRDefault="00BB6013">
      <w:r>
        <w:continuationSeparator/>
      </w:r>
    </w:p>
  </w:footnote>
  <w:footnote w:id="1">
    <w:p w:rsidR="005A25FE" w:rsidRPr="00063E11" w:rsidRDefault="005A25FE" w:rsidP="005A25FE">
      <w:pPr>
        <w:pStyle w:val="FootnoteText"/>
        <w:rPr>
          <w:rFonts w:ascii="Arial" w:hAnsi="Arial" w:cs="Arial"/>
          <w:sz w:val="18"/>
          <w:szCs w:val="18"/>
        </w:rPr>
      </w:pPr>
      <w:r w:rsidRPr="00063E11">
        <w:rPr>
          <w:rStyle w:val="FootnoteReference"/>
          <w:rFonts w:ascii="Arial" w:hAnsi="Arial" w:cs="Arial"/>
          <w:szCs w:val="18"/>
        </w:rPr>
        <w:footnoteRef/>
      </w:r>
      <w:r w:rsidRPr="00063E11">
        <w:rPr>
          <w:rFonts w:ascii="Arial" w:hAnsi="Arial" w:cs="Arial"/>
          <w:sz w:val="18"/>
          <w:szCs w:val="18"/>
        </w:rPr>
        <w:t xml:space="preserve"> ACCC, </w:t>
      </w:r>
      <w:r w:rsidRPr="00063E11">
        <w:rPr>
          <w:rFonts w:ascii="Arial" w:hAnsi="Arial" w:cs="Arial"/>
          <w:i/>
          <w:sz w:val="18"/>
          <w:szCs w:val="18"/>
        </w:rPr>
        <w:t>Telecommunications competitive safeguards for 201</w:t>
      </w:r>
      <w:r>
        <w:rPr>
          <w:rFonts w:ascii="Arial" w:hAnsi="Arial" w:cs="Arial"/>
          <w:i/>
          <w:sz w:val="18"/>
          <w:szCs w:val="18"/>
        </w:rPr>
        <w:t>3</w:t>
      </w:r>
      <w:r w:rsidRPr="00063E11">
        <w:rPr>
          <w:rFonts w:ascii="Arial" w:hAnsi="Arial" w:cs="Arial"/>
          <w:i/>
          <w:sz w:val="18"/>
          <w:szCs w:val="18"/>
        </w:rPr>
        <w:t>-14</w:t>
      </w:r>
      <w:r w:rsidRPr="00063E11">
        <w:rPr>
          <w:rFonts w:ascii="Arial" w:hAnsi="Arial" w:cs="Arial"/>
          <w:sz w:val="18"/>
          <w:szCs w:val="18"/>
        </w:rPr>
        <w:t>, February 2015, p.</w:t>
      </w:r>
      <w:r w:rsidR="00EC4A29">
        <w:rPr>
          <w:rFonts w:ascii="Arial" w:hAnsi="Arial" w:cs="Arial"/>
          <w:sz w:val="18"/>
          <w:szCs w:val="18"/>
        </w:rPr>
        <w:t> </w:t>
      </w:r>
      <w:r w:rsidRPr="00063E11">
        <w:rPr>
          <w:rFonts w:ascii="Arial" w:hAnsi="Arial" w:cs="Arial"/>
          <w:sz w:val="18"/>
          <w:szCs w:val="18"/>
        </w:rPr>
        <w:t>22.</w:t>
      </w:r>
    </w:p>
  </w:footnote>
  <w:footnote w:id="2">
    <w:p w:rsidR="005A25FE" w:rsidRDefault="005A25FE" w:rsidP="005A25FE">
      <w:pPr>
        <w:pStyle w:val="FootnoteText"/>
      </w:pPr>
      <w:r>
        <w:rPr>
          <w:rStyle w:val="FootnoteReference"/>
        </w:rPr>
        <w:footnoteRef/>
      </w:r>
      <w:r>
        <w:t xml:space="preserve"> </w:t>
      </w:r>
      <w:r w:rsidRPr="00063E11">
        <w:rPr>
          <w:rFonts w:ascii="Arial" w:hAnsi="Arial" w:cs="Arial"/>
          <w:sz w:val="18"/>
          <w:szCs w:val="18"/>
        </w:rPr>
        <w:t xml:space="preserve">ACCC, </w:t>
      </w:r>
      <w:r w:rsidRPr="00063E11">
        <w:rPr>
          <w:rFonts w:ascii="Arial" w:hAnsi="Arial" w:cs="Arial"/>
          <w:i/>
          <w:sz w:val="18"/>
          <w:szCs w:val="18"/>
        </w:rPr>
        <w:t>Telecommunications competitive safeguards for 201</w:t>
      </w:r>
      <w:r>
        <w:rPr>
          <w:rFonts w:ascii="Arial" w:hAnsi="Arial" w:cs="Arial"/>
          <w:i/>
          <w:sz w:val="18"/>
          <w:szCs w:val="18"/>
        </w:rPr>
        <w:t>3</w:t>
      </w:r>
      <w:r w:rsidRPr="00063E11">
        <w:rPr>
          <w:rFonts w:ascii="Arial" w:hAnsi="Arial" w:cs="Arial"/>
          <w:i/>
          <w:sz w:val="18"/>
          <w:szCs w:val="18"/>
        </w:rPr>
        <w:t>-14</w:t>
      </w:r>
      <w:r w:rsidRPr="00063E11">
        <w:rPr>
          <w:rFonts w:ascii="Arial" w:hAnsi="Arial" w:cs="Arial"/>
          <w:sz w:val="18"/>
          <w:szCs w:val="18"/>
        </w:rPr>
        <w:t>, February 2015, p.</w:t>
      </w:r>
      <w:r w:rsidR="003202FC">
        <w:rPr>
          <w:rFonts w:ascii="Arial" w:hAnsi="Arial" w:cs="Arial"/>
          <w:sz w:val="18"/>
          <w:szCs w:val="18"/>
        </w:rPr>
        <w:t> </w:t>
      </w:r>
      <w:r>
        <w:rPr>
          <w:rFonts w:ascii="Arial" w:hAnsi="Arial" w:cs="Arial"/>
          <w:sz w:val="18"/>
          <w:szCs w:val="18"/>
        </w:rPr>
        <w:t>30</w:t>
      </w:r>
      <w:r w:rsidRPr="00063E11">
        <w:rPr>
          <w:rFonts w:ascii="Arial" w:hAnsi="Arial" w:cs="Arial"/>
          <w:sz w:val="18"/>
          <w:szCs w:val="18"/>
        </w:rPr>
        <w:t>.</w:t>
      </w:r>
    </w:p>
  </w:footnote>
  <w:footnote w:id="3">
    <w:p w:rsidR="003F2F7C" w:rsidRDefault="003F2F7C">
      <w:pPr>
        <w:pStyle w:val="FootnoteText"/>
      </w:pPr>
      <w:r>
        <w:rPr>
          <w:rStyle w:val="FootnoteReference"/>
        </w:rPr>
        <w:footnoteRef/>
      </w:r>
      <w:r>
        <w:t xml:space="preserve"> </w:t>
      </w:r>
      <w:r w:rsidRPr="00063E11">
        <w:rPr>
          <w:rFonts w:ascii="Arial" w:hAnsi="Arial" w:cs="Arial"/>
          <w:sz w:val="18"/>
          <w:szCs w:val="18"/>
        </w:rPr>
        <w:t xml:space="preserve">ACCC, </w:t>
      </w:r>
      <w:r w:rsidRPr="00063E11">
        <w:rPr>
          <w:rFonts w:ascii="Arial" w:hAnsi="Arial" w:cs="Arial"/>
          <w:i/>
          <w:sz w:val="18"/>
          <w:szCs w:val="18"/>
        </w:rPr>
        <w:t>Telecommunications competitive safeguards for 201</w:t>
      </w:r>
      <w:r>
        <w:rPr>
          <w:rFonts w:ascii="Arial" w:hAnsi="Arial" w:cs="Arial"/>
          <w:i/>
          <w:sz w:val="18"/>
          <w:szCs w:val="18"/>
        </w:rPr>
        <w:t>3</w:t>
      </w:r>
      <w:r w:rsidRPr="00063E11">
        <w:rPr>
          <w:rFonts w:ascii="Arial" w:hAnsi="Arial" w:cs="Arial"/>
          <w:i/>
          <w:sz w:val="18"/>
          <w:szCs w:val="18"/>
        </w:rPr>
        <w:t>-14</w:t>
      </w:r>
      <w:r w:rsidRPr="00063E11">
        <w:rPr>
          <w:rFonts w:ascii="Arial" w:hAnsi="Arial" w:cs="Arial"/>
          <w:sz w:val="18"/>
          <w:szCs w:val="18"/>
        </w:rPr>
        <w:t>, February 2015, p.</w:t>
      </w:r>
      <w:r w:rsidR="003202FC">
        <w:rPr>
          <w:rFonts w:ascii="Arial" w:hAnsi="Arial" w:cs="Arial"/>
          <w:sz w:val="18"/>
          <w:szCs w:val="18"/>
        </w:rPr>
        <w:t> </w:t>
      </w:r>
      <w:r>
        <w:rPr>
          <w:rFonts w:ascii="Arial" w:hAnsi="Arial" w:cs="Arial"/>
          <w:sz w:val="18"/>
          <w:szCs w:val="18"/>
        </w:rPr>
        <w:t>17</w:t>
      </w:r>
      <w:r w:rsidRPr="00063E11">
        <w:rPr>
          <w:rFonts w:ascii="Arial" w:hAnsi="Arial" w:cs="Arial"/>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2EC" w:rsidRDefault="00CA42E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013" w:rsidRPr="001E2914" w:rsidRDefault="00BB6013">
    <w:pPr>
      <w:pStyle w:val="Header"/>
      <w:jc w:val="right"/>
      <w:rPr>
        <w:rFonts w:ascii="Arial" w:hAnsi="Arial" w:cs="Arial"/>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2EC" w:rsidRDefault="00CA42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27042CE"/>
    <w:lvl w:ilvl="0">
      <w:start w:val="1"/>
      <w:numFmt w:val="bullet"/>
      <w:lvlText w:val=""/>
      <w:lvlJc w:val="left"/>
      <w:pPr>
        <w:tabs>
          <w:tab w:val="num" w:pos="360"/>
        </w:tabs>
        <w:ind w:left="360" w:hanging="360"/>
      </w:pPr>
      <w:rPr>
        <w:rFonts w:ascii="Symbol" w:hAnsi="Symbol" w:hint="default"/>
      </w:rPr>
    </w:lvl>
  </w:abstractNum>
  <w:abstractNum w:abstractNumId="1">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2">
    <w:nsid w:val="1A7A734A"/>
    <w:multiLevelType w:val="multilevel"/>
    <w:tmpl w:val="7FA07B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21805366"/>
    <w:multiLevelType w:val="hybridMultilevel"/>
    <w:tmpl w:val="0C86B632"/>
    <w:lvl w:ilvl="0" w:tplc="1C0ECCD2">
      <w:start w:val="1"/>
      <w:numFmt w:val="decimal"/>
      <w:pStyle w:val="Numbered"/>
      <w:lvlText w:val="%1."/>
      <w:lvlJc w:val="left"/>
      <w:pPr>
        <w:tabs>
          <w:tab w:val="num" w:pos="567"/>
        </w:tabs>
        <w:ind w:left="567" w:hanging="567"/>
      </w:pPr>
      <w:rPr>
        <w:rFonts w:hint="default"/>
      </w:r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nsid w:val="26042DE1"/>
    <w:multiLevelType w:val="hybridMultilevel"/>
    <w:tmpl w:val="03B69560"/>
    <w:lvl w:ilvl="0" w:tplc="FCF4C46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nsid w:val="3B752A89"/>
    <w:multiLevelType w:val="hybridMultilevel"/>
    <w:tmpl w:val="F55093AE"/>
    <w:lvl w:ilvl="0" w:tplc="8A984EBE">
      <w:start w:val="1"/>
      <w:numFmt w:val="bullet"/>
      <w:lvlText w:val=""/>
      <w:lvlJc w:val="left"/>
      <w:pPr>
        <w:ind w:left="1287" w:hanging="360"/>
      </w:pPr>
      <w:rPr>
        <w:rFonts w:ascii="Wingdings" w:hAnsi="Wingdings"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6">
    <w:nsid w:val="42CA085C"/>
    <w:multiLevelType w:val="singleLevel"/>
    <w:tmpl w:val="BF74712C"/>
    <w:lvl w:ilvl="0">
      <w:start w:val="1"/>
      <w:numFmt w:val="bullet"/>
      <w:lvlText w:val=""/>
      <w:lvlJc w:val="left"/>
      <w:pPr>
        <w:tabs>
          <w:tab w:val="num" w:pos="360"/>
        </w:tabs>
        <w:ind w:left="360" w:hanging="360"/>
      </w:pPr>
      <w:rPr>
        <w:rFonts w:ascii="Wingdings" w:hAnsi="Wingdings" w:hint="default"/>
        <w:sz w:val="28"/>
      </w:rPr>
    </w:lvl>
  </w:abstractNum>
  <w:abstractNum w:abstractNumId="7">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8">
    <w:nsid w:val="44E305FB"/>
    <w:multiLevelType w:val="multilevel"/>
    <w:tmpl w:val="CAE4029A"/>
    <w:lvl w:ilvl="0">
      <w:start w:val="1"/>
      <w:numFmt w:val="decimal"/>
      <w:pStyle w:val="NormalParagraph"/>
      <w:lvlText w:val="%1."/>
      <w:lvlJc w:val="left"/>
      <w:pPr>
        <w:tabs>
          <w:tab w:val="num" w:pos="360"/>
        </w:tabs>
        <w:ind w:left="360" w:hanging="360"/>
      </w:pPr>
      <w:rPr>
        <w:rFonts w:hint="default"/>
        <w:b w:val="0"/>
        <w:sz w:val="24"/>
        <w:szCs w:val="22"/>
      </w:rPr>
    </w:lvl>
    <w:lvl w:ilvl="1">
      <w:start w:val="1"/>
      <w:numFmt w:val="bullet"/>
      <w:lvlText w:val=""/>
      <w:lvlJc w:val="left"/>
      <w:pPr>
        <w:tabs>
          <w:tab w:val="num" w:pos="720"/>
        </w:tabs>
        <w:ind w:left="720" w:hanging="360"/>
      </w:pPr>
      <w:rPr>
        <w:rFonts w:ascii="Wingdings" w:hAnsi="Wingdings"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nsid w:val="52CE7D9C"/>
    <w:multiLevelType w:val="multilevel"/>
    <w:tmpl w:val="C968366A"/>
    <w:lvl w:ilvl="0">
      <w:start w:val="1"/>
      <w:numFmt w:val="decimal"/>
      <w:pStyle w:val="HeadNumb"/>
      <w:lvlText w:val="%1."/>
      <w:lvlJc w:val="left"/>
      <w:pPr>
        <w:tabs>
          <w:tab w:val="num" w:pos="397"/>
        </w:tabs>
        <w:ind w:left="397" w:hanging="397"/>
      </w:pPr>
      <w:rPr>
        <w:rFonts w:ascii="Arial Bold" w:hAnsi="Arial Bold" w:hint="default"/>
        <w:b/>
        <w:i w:val="0"/>
        <w:caps w:val="0"/>
        <w:strike w:val="0"/>
        <w:dstrike w:val="0"/>
        <w:outline w:val="0"/>
        <w:shadow w:val="0"/>
        <w:emboss w:val="0"/>
        <w:imprint w:val="0"/>
        <w:vanish w:val="0"/>
        <w:sz w:val="18"/>
        <w:szCs w:val="18"/>
        <w:vertAlign w:val="baseline"/>
      </w:rPr>
    </w:lvl>
    <w:lvl w:ilvl="1">
      <w:start w:val="1"/>
      <w:numFmt w:val="decimal"/>
      <w:pStyle w:val="SecondlevelNumb"/>
      <w:lvlText w:val="%1.%2"/>
      <w:lvlJc w:val="left"/>
      <w:pPr>
        <w:tabs>
          <w:tab w:val="num" w:pos="567"/>
        </w:tabs>
        <w:ind w:left="964" w:hanging="397"/>
      </w:pPr>
      <w:rPr>
        <w:rFonts w:ascii="Arial" w:hAnsi="Arial" w:hint="default"/>
        <w:b w:val="0"/>
        <w:i w:val="0"/>
        <w:caps w:val="0"/>
        <w:strike w:val="0"/>
        <w:dstrike w:val="0"/>
        <w:outline w:val="0"/>
        <w:shadow w:val="0"/>
        <w:emboss w:val="0"/>
        <w:imprint w:val="0"/>
        <w:vanish w:val="0"/>
        <w:sz w:val="22"/>
        <w:szCs w:val="22"/>
        <w:vertAlign w:val="baseline"/>
      </w:rPr>
    </w:lvl>
    <w:lvl w:ilvl="2">
      <w:start w:val="1"/>
      <w:numFmt w:val="lowerLetter"/>
      <w:lvlText w:val="(%3)"/>
      <w:lvlJc w:val="left"/>
      <w:pPr>
        <w:tabs>
          <w:tab w:val="num" w:pos="1440"/>
        </w:tabs>
        <w:ind w:left="1440" w:hanging="720"/>
      </w:pPr>
      <w:rPr>
        <w:rFonts w:ascii="Tahoma" w:hAnsi="Tahoma" w:hint="default"/>
        <w:b w:val="0"/>
        <w:i w:val="0"/>
        <w:caps w:val="0"/>
        <w:strike w:val="0"/>
        <w:dstrike w:val="0"/>
        <w:outline w:val="0"/>
        <w:shadow w:val="0"/>
        <w:emboss w:val="0"/>
        <w:imprint w:val="0"/>
        <w:vanish w:val="0"/>
        <w:sz w:val="24"/>
        <w:vertAlign w:val="baseline"/>
      </w:rPr>
    </w:lvl>
    <w:lvl w:ilvl="3">
      <w:start w:val="1"/>
      <w:numFmt w:val="lowerRoman"/>
      <w:lvlText w:val="(%4)"/>
      <w:lvlJc w:val="left"/>
      <w:pPr>
        <w:tabs>
          <w:tab w:val="num" w:pos="2160"/>
        </w:tabs>
        <w:ind w:left="2160" w:hanging="720"/>
      </w:pPr>
      <w:rPr>
        <w:rFonts w:ascii="Palatino" w:hAnsi="Palatino" w:hint="default"/>
        <w:b w:val="0"/>
        <w:i w:val="0"/>
        <w:caps w:val="0"/>
        <w:strike w:val="0"/>
        <w:dstrike w:val="0"/>
        <w:outline w:val="0"/>
        <w:shadow w:val="0"/>
        <w:emboss w:val="0"/>
        <w:imprint w:val="0"/>
        <w:vanish w:val="0"/>
        <w:sz w:val="24"/>
        <w:vertAlign w:val="baseline"/>
      </w:rPr>
    </w:lvl>
    <w:lvl w:ilvl="4">
      <w:start w:val="1"/>
      <w:numFmt w:val="upperLetter"/>
      <w:lvlText w:val="(%5)"/>
      <w:lvlJc w:val="left"/>
      <w:pPr>
        <w:tabs>
          <w:tab w:val="num" w:pos="2880"/>
        </w:tabs>
        <w:ind w:left="2880" w:hanging="720"/>
      </w:pPr>
      <w:rPr>
        <w:rFonts w:ascii="Palatino" w:hAnsi="Palatino" w:hint="default"/>
        <w:b w:val="0"/>
        <w:i w:val="0"/>
        <w:caps w:val="0"/>
        <w:strike w:val="0"/>
        <w:dstrike w:val="0"/>
        <w:outline w:val="0"/>
        <w:shadow w:val="0"/>
        <w:emboss w:val="0"/>
        <w:imprint w:val="0"/>
        <w:vanish w:val="0"/>
        <w:color w:val="auto"/>
        <w:sz w:val="24"/>
        <w:vertAlign w:val="baseline"/>
      </w:rPr>
    </w:lvl>
    <w:lvl w:ilvl="5">
      <w:start w:val="1"/>
      <w:numFmt w:val="upperRoman"/>
      <w:lvlText w:val="(%6)"/>
      <w:lvlJc w:val="left"/>
      <w:pPr>
        <w:tabs>
          <w:tab w:val="num" w:pos="3600"/>
        </w:tabs>
        <w:ind w:left="3600" w:hanging="720"/>
      </w:pPr>
      <w:rPr>
        <w:rFonts w:ascii="Palatino" w:hAnsi="Palatino" w:hint="default"/>
        <w:b w:val="0"/>
        <w:i w:val="0"/>
        <w:caps w:val="0"/>
        <w:strike w:val="0"/>
        <w:dstrike w:val="0"/>
        <w:outline w:val="0"/>
        <w:shadow w:val="0"/>
        <w:emboss w:val="0"/>
        <w:imprint w:val="0"/>
        <w:vanish w:val="0"/>
        <w:sz w:val="24"/>
        <w:vertAlign w:val="baselin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nsid w:val="67DB1A4D"/>
    <w:multiLevelType w:val="multilevel"/>
    <w:tmpl w:val="71EC0AC4"/>
    <w:lvl w:ilvl="0">
      <w:start w:val="1"/>
      <w:numFmt w:val="decimal"/>
      <w:pStyle w:val="N1"/>
      <w:lvlText w:val="%1."/>
      <w:lvlJc w:val="left"/>
      <w:pPr>
        <w:ind w:left="567" w:hanging="567"/>
      </w:pPr>
      <w:rPr>
        <w:rFonts w:hint="default"/>
      </w:rPr>
    </w:lvl>
    <w:lvl w:ilvl="1">
      <w:start w:val="1"/>
      <w:numFmt w:val="lowerLetter"/>
      <w:pStyle w:val="N2"/>
      <w:lvlText w:val="%2."/>
      <w:lvlJc w:val="left"/>
      <w:pPr>
        <w:ind w:left="1134" w:hanging="567"/>
      </w:pPr>
      <w:rPr>
        <w:rFonts w:hint="default"/>
      </w:rPr>
    </w:lvl>
    <w:lvl w:ilvl="2">
      <w:start w:val="1"/>
      <w:numFmt w:val="lowerRoman"/>
      <w:pStyle w:val="N3"/>
      <w:lvlText w:val="(%3)"/>
      <w:lvlJc w:val="left"/>
      <w:pPr>
        <w:ind w:left="1701" w:hanging="567"/>
      </w:pPr>
      <w:rPr>
        <w:rFonts w:hint="default"/>
      </w:rPr>
    </w:lvl>
    <w:lvl w:ilvl="3">
      <w:start w:val="1"/>
      <w:numFmt w:val="decimal"/>
      <w:lvlText w:val="(%4)"/>
      <w:lvlJc w:val="left"/>
      <w:pPr>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num w:numId="1">
    <w:abstractNumId w:val="8"/>
  </w:num>
  <w:num w:numId="2">
    <w:abstractNumId w:val="7"/>
  </w:num>
  <w:num w:numId="3">
    <w:abstractNumId w:val="1"/>
  </w:num>
  <w:num w:numId="4">
    <w:abstractNumId w:val="4"/>
  </w:num>
  <w:num w:numId="5">
    <w:abstractNumId w:val="3"/>
  </w:num>
  <w:num w:numId="6">
    <w:abstractNumId w:val="5"/>
  </w:num>
  <w:num w:numId="7">
    <w:abstractNumId w:val="9"/>
  </w:num>
  <w:num w:numId="8">
    <w:abstractNumId w:val="6"/>
  </w:num>
  <w:num w:numId="9">
    <w:abstractNumId w:val="2"/>
  </w:num>
  <w:num w:numId="10">
    <w:abstractNumId w:val="8"/>
  </w:num>
  <w:num w:numId="11">
    <w:abstractNumId w:val="8"/>
  </w:num>
  <w:num w:numId="12">
    <w:abstractNumId w:val="8"/>
  </w:num>
  <w:num w:numId="13">
    <w:abstractNumId w:val="8"/>
  </w:num>
  <w:num w:numId="14">
    <w:abstractNumId w:val="8"/>
  </w:num>
  <w:num w:numId="15">
    <w:abstractNumId w:val="10"/>
  </w:num>
  <w:num w:numId="16">
    <w:abstractNumId w:val="8"/>
  </w:num>
  <w:num w:numId="1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6177"/>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H:\trimdata\TRIM\TEMP\HPTRIM.6712\MER15 9097  TPG iiNet - Public Competition Assessment - draft to EGM 1 September 2015.DOCX"/>
  </w:docVars>
  <w:rsids>
    <w:rsidRoot w:val="00821C2D"/>
    <w:rsid w:val="000004C6"/>
    <w:rsid w:val="00000960"/>
    <w:rsid w:val="000015EA"/>
    <w:rsid w:val="0000372B"/>
    <w:rsid w:val="00006802"/>
    <w:rsid w:val="00007FB1"/>
    <w:rsid w:val="000102D6"/>
    <w:rsid w:val="000113A7"/>
    <w:rsid w:val="00011715"/>
    <w:rsid w:val="00022913"/>
    <w:rsid w:val="0002428B"/>
    <w:rsid w:val="00024F4A"/>
    <w:rsid w:val="000250BC"/>
    <w:rsid w:val="0002530B"/>
    <w:rsid w:val="00025778"/>
    <w:rsid w:val="0003646D"/>
    <w:rsid w:val="0003649D"/>
    <w:rsid w:val="0003674C"/>
    <w:rsid w:val="000427EE"/>
    <w:rsid w:val="000456CD"/>
    <w:rsid w:val="00047028"/>
    <w:rsid w:val="00053727"/>
    <w:rsid w:val="00054315"/>
    <w:rsid w:val="000627F8"/>
    <w:rsid w:val="0006621B"/>
    <w:rsid w:val="00071AF1"/>
    <w:rsid w:val="0007328B"/>
    <w:rsid w:val="0007597E"/>
    <w:rsid w:val="00076406"/>
    <w:rsid w:val="00077A14"/>
    <w:rsid w:val="00077BE7"/>
    <w:rsid w:val="00080E1F"/>
    <w:rsid w:val="000823B6"/>
    <w:rsid w:val="0008274C"/>
    <w:rsid w:val="000840E0"/>
    <w:rsid w:val="000841FB"/>
    <w:rsid w:val="00092253"/>
    <w:rsid w:val="00095FE5"/>
    <w:rsid w:val="000977EB"/>
    <w:rsid w:val="00097A16"/>
    <w:rsid w:val="000A3B54"/>
    <w:rsid w:val="000A51DF"/>
    <w:rsid w:val="000B31D7"/>
    <w:rsid w:val="000B4ED6"/>
    <w:rsid w:val="000C22EF"/>
    <w:rsid w:val="000C6D78"/>
    <w:rsid w:val="000D06C1"/>
    <w:rsid w:val="000D0F1F"/>
    <w:rsid w:val="000D14A1"/>
    <w:rsid w:val="000D3947"/>
    <w:rsid w:val="000D44F4"/>
    <w:rsid w:val="000D7BD1"/>
    <w:rsid w:val="000E05F2"/>
    <w:rsid w:val="000E147B"/>
    <w:rsid w:val="000E18C5"/>
    <w:rsid w:val="000E366B"/>
    <w:rsid w:val="000E456E"/>
    <w:rsid w:val="000E7BAE"/>
    <w:rsid w:val="000E7F1D"/>
    <w:rsid w:val="000F0CFD"/>
    <w:rsid w:val="000F24BE"/>
    <w:rsid w:val="000F5DAC"/>
    <w:rsid w:val="000F655B"/>
    <w:rsid w:val="0010057E"/>
    <w:rsid w:val="00103874"/>
    <w:rsid w:val="00104938"/>
    <w:rsid w:val="00106547"/>
    <w:rsid w:val="00107DB7"/>
    <w:rsid w:val="0011781C"/>
    <w:rsid w:val="001178C2"/>
    <w:rsid w:val="00117C07"/>
    <w:rsid w:val="00122A54"/>
    <w:rsid w:val="00125F2E"/>
    <w:rsid w:val="0013448A"/>
    <w:rsid w:val="001360D1"/>
    <w:rsid w:val="00141143"/>
    <w:rsid w:val="00141A67"/>
    <w:rsid w:val="001443BA"/>
    <w:rsid w:val="00145C68"/>
    <w:rsid w:val="00154E4B"/>
    <w:rsid w:val="00167424"/>
    <w:rsid w:val="00172055"/>
    <w:rsid w:val="001742BB"/>
    <w:rsid w:val="00176914"/>
    <w:rsid w:val="00180FF7"/>
    <w:rsid w:val="0018205A"/>
    <w:rsid w:val="00182A2B"/>
    <w:rsid w:val="00194C62"/>
    <w:rsid w:val="001955E2"/>
    <w:rsid w:val="001A0EA9"/>
    <w:rsid w:val="001A3270"/>
    <w:rsid w:val="001A394A"/>
    <w:rsid w:val="001B5168"/>
    <w:rsid w:val="001B72B8"/>
    <w:rsid w:val="001C1AE7"/>
    <w:rsid w:val="001C1E2D"/>
    <w:rsid w:val="001C3336"/>
    <w:rsid w:val="001C4506"/>
    <w:rsid w:val="001C5405"/>
    <w:rsid w:val="001C6319"/>
    <w:rsid w:val="001C64F2"/>
    <w:rsid w:val="001C7137"/>
    <w:rsid w:val="001D276D"/>
    <w:rsid w:val="001D4AC0"/>
    <w:rsid w:val="001D50A3"/>
    <w:rsid w:val="001D52AC"/>
    <w:rsid w:val="001D5EC8"/>
    <w:rsid w:val="001E25B2"/>
    <w:rsid w:val="001E2914"/>
    <w:rsid w:val="001E2F33"/>
    <w:rsid w:val="001E3D75"/>
    <w:rsid w:val="001E5501"/>
    <w:rsid w:val="001F3E78"/>
    <w:rsid w:val="001F5946"/>
    <w:rsid w:val="001F74CE"/>
    <w:rsid w:val="00203A5B"/>
    <w:rsid w:val="00211AEE"/>
    <w:rsid w:val="00211F1F"/>
    <w:rsid w:val="0021475F"/>
    <w:rsid w:val="0021482A"/>
    <w:rsid w:val="00216C28"/>
    <w:rsid w:val="00217B9B"/>
    <w:rsid w:val="0022212A"/>
    <w:rsid w:val="002328B6"/>
    <w:rsid w:val="0023316D"/>
    <w:rsid w:val="0023387E"/>
    <w:rsid w:val="00235326"/>
    <w:rsid w:val="00235ADB"/>
    <w:rsid w:val="00236FAE"/>
    <w:rsid w:val="00245B11"/>
    <w:rsid w:val="00247350"/>
    <w:rsid w:val="00247A10"/>
    <w:rsid w:val="00255644"/>
    <w:rsid w:val="00257839"/>
    <w:rsid w:val="00262EDA"/>
    <w:rsid w:val="00264EDD"/>
    <w:rsid w:val="00265D15"/>
    <w:rsid w:val="00267921"/>
    <w:rsid w:val="00272AA5"/>
    <w:rsid w:val="00272E23"/>
    <w:rsid w:val="00273EA9"/>
    <w:rsid w:val="00274F28"/>
    <w:rsid w:val="002823E2"/>
    <w:rsid w:val="00283B7D"/>
    <w:rsid w:val="00286DBC"/>
    <w:rsid w:val="0029438A"/>
    <w:rsid w:val="00294606"/>
    <w:rsid w:val="002953D0"/>
    <w:rsid w:val="002A1085"/>
    <w:rsid w:val="002A1C9A"/>
    <w:rsid w:val="002A1F13"/>
    <w:rsid w:val="002A31A1"/>
    <w:rsid w:val="002A6CCA"/>
    <w:rsid w:val="002B44EF"/>
    <w:rsid w:val="002C1C7D"/>
    <w:rsid w:val="002C4311"/>
    <w:rsid w:val="002C4CAD"/>
    <w:rsid w:val="002C5E58"/>
    <w:rsid w:val="002C6BFB"/>
    <w:rsid w:val="002C7D56"/>
    <w:rsid w:val="002D1D3E"/>
    <w:rsid w:val="002D2361"/>
    <w:rsid w:val="002D24C0"/>
    <w:rsid w:val="002E2466"/>
    <w:rsid w:val="002E25FF"/>
    <w:rsid w:val="002E30A0"/>
    <w:rsid w:val="002E63A3"/>
    <w:rsid w:val="002E6E5B"/>
    <w:rsid w:val="002F033E"/>
    <w:rsid w:val="002F0892"/>
    <w:rsid w:val="002F3F31"/>
    <w:rsid w:val="002F454F"/>
    <w:rsid w:val="003002B8"/>
    <w:rsid w:val="00302339"/>
    <w:rsid w:val="00304325"/>
    <w:rsid w:val="00304E3F"/>
    <w:rsid w:val="003051AC"/>
    <w:rsid w:val="003053EE"/>
    <w:rsid w:val="00305E1C"/>
    <w:rsid w:val="00306377"/>
    <w:rsid w:val="003074F2"/>
    <w:rsid w:val="00307640"/>
    <w:rsid w:val="003159FA"/>
    <w:rsid w:val="00316110"/>
    <w:rsid w:val="003163FF"/>
    <w:rsid w:val="003202FC"/>
    <w:rsid w:val="003225C0"/>
    <w:rsid w:val="003227C7"/>
    <w:rsid w:val="003237F4"/>
    <w:rsid w:val="0033232E"/>
    <w:rsid w:val="00334353"/>
    <w:rsid w:val="003446E2"/>
    <w:rsid w:val="00344AF1"/>
    <w:rsid w:val="00345B7A"/>
    <w:rsid w:val="0034742A"/>
    <w:rsid w:val="003478C8"/>
    <w:rsid w:val="00353E38"/>
    <w:rsid w:val="0035776B"/>
    <w:rsid w:val="003579FD"/>
    <w:rsid w:val="00360ECC"/>
    <w:rsid w:val="003614FB"/>
    <w:rsid w:val="00362726"/>
    <w:rsid w:val="00364031"/>
    <w:rsid w:val="00365542"/>
    <w:rsid w:val="00365ACF"/>
    <w:rsid w:val="00370605"/>
    <w:rsid w:val="0037121A"/>
    <w:rsid w:val="00371F52"/>
    <w:rsid w:val="00373BE9"/>
    <w:rsid w:val="00377E61"/>
    <w:rsid w:val="00386168"/>
    <w:rsid w:val="00392119"/>
    <w:rsid w:val="003925D3"/>
    <w:rsid w:val="00397EAD"/>
    <w:rsid w:val="003A074E"/>
    <w:rsid w:val="003A205F"/>
    <w:rsid w:val="003A259D"/>
    <w:rsid w:val="003A654C"/>
    <w:rsid w:val="003A6FA6"/>
    <w:rsid w:val="003A7E7A"/>
    <w:rsid w:val="003B35CC"/>
    <w:rsid w:val="003C5959"/>
    <w:rsid w:val="003C6AF2"/>
    <w:rsid w:val="003D01E0"/>
    <w:rsid w:val="003D39F7"/>
    <w:rsid w:val="003D6E00"/>
    <w:rsid w:val="003D7370"/>
    <w:rsid w:val="003E12CF"/>
    <w:rsid w:val="003E2A3E"/>
    <w:rsid w:val="003E78C8"/>
    <w:rsid w:val="003F08F0"/>
    <w:rsid w:val="003F1DD3"/>
    <w:rsid w:val="003F2F7C"/>
    <w:rsid w:val="003F663A"/>
    <w:rsid w:val="0040017D"/>
    <w:rsid w:val="00402BEB"/>
    <w:rsid w:val="00404B24"/>
    <w:rsid w:val="00411E32"/>
    <w:rsid w:val="004124FE"/>
    <w:rsid w:val="0042307B"/>
    <w:rsid w:val="00426936"/>
    <w:rsid w:val="0042722A"/>
    <w:rsid w:val="00431856"/>
    <w:rsid w:val="0043200C"/>
    <w:rsid w:val="00433DEF"/>
    <w:rsid w:val="00434887"/>
    <w:rsid w:val="00440AE2"/>
    <w:rsid w:val="00442005"/>
    <w:rsid w:val="0044220D"/>
    <w:rsid w:val="004425B5"/>
    <w:rsid w:val="004462F4"/>
    <w:rsid w:val="0045103F"/>
    <w:rsid w:val="0045420E"/>
    <w:rsid w:val="00454ED5"/>
    <w:rsid w:val="00455A58"/>
    <w:rsid w:val="00465020"/>
    <w:rsid w:val="00467343"/>
    <w:rsid w:val="00467965"/>
    <w:rsid w:val="00471B61"/>
    <w:rsid w:val="0047491D"/>
    <w:rsid w:val="00476063"/>
    <w:rsid w:val="00476E25"/>
    <w:rsid w:val="00476E50"/>
    <w:rsid w:val="00477260"/>
    <w:rsid w:val="004773CE"/>
    <w:rsid w:val="00481A4F"/>
    <w:rsid w:val="004852CC"/>
    <w:rsid w:val="0048619C"/>
    <w:rsid w:val="0049063A"/>
    <w:rsid w:val="004930A2"/>
    <w:rsid w:val="004949E7"/>
    <w:rsid w:val="004961A4"/>
    <w:rsid w:val="00497C4C"/>
    <w:rsid w:val="004A23B2"/>
    <w:rsid w:val="004A2C49"/>
    <w:rsid w:val="004A3065"/>
    <w:rsid w:val="004A41BA"/>
    <w:rsid w:val="004B47A1"/>
    <w:rsid w:val="004B6682"/>
    <w:rsid w:val="004C2329"/>
    <w:rsid w:val="004C434A"/>
    <w:rsid w:val="004D379B"/>
    <w:rsid w:val="004E2503"/>
    <w:rsid w:val="004E358C"/>
    <w:rsid w:val="004E3A84"/>
    <w:rsid w:val="004E448A"/>
    <w:rsid w:val="004E5535"/>
    <w:rsid w:val="004F2661"/>
    <w:rsid w:val="004F6C62"/>
    <w:rsid w:val="00503CC3"/>
    <w:rsid w:val="00504E50"/>
    <w:rsid w:val="00505D6D"/>
    <w:rsid w:val="0050621C"/>
    <w:rsid w:val="00506AC3"/>
    <w:rsid w:val="00510954"/>
    <w:rsid w:val="00512557"/>
    <w:rsid w:val="00512B21"/>
    <w:rsid w:val="00520D04"/>
    <w:rsid w:val="00522916"/>
    <w:rsid w:val="00524D3B"/>
    <w:rsid w:val="00526526"/>
    <w:rsid w:val="00526C10"/>
    <w:rsid w:val="0052729D"/>
    <w:rsid w:val="00536C3F"/>
    <w:rsid w:val="00540D14"/>
    <w:rsid w:val="00544738"/>
    <w:rsid w:val="00544FF9"/>
    <w:rsid w:val="00547439"/>
    <w:rsid w:val="00551CBB"/>
    <w:rsid w:val="00560DC6"/>
    <w:rsid w:val="00567EBA"/>
    <w:rsid w:val="00571D07"/>
    <w:rsid w:val="0059643D"/>
    <w:rsid w:val="005968D9"/>
    <w:rsid w:val="00597DF3"/>
    <w:rsid w:val="005A055F"/>
    <w:rsid w:val="005A07A3"/>
    <w:rsid w:val="005A1FCC"/>
    <w:rsid w:val="005A25FE"/>
    <w:rsid w:val="005A33E8"/>
    <w:rsid w:val="005A5000"/>
    <w:rsid w:val="005B3828"/>
    <w:rsid w:val="005B5180"/>
    <w:rsid w:val="005B6968"/>
    <w:rsid w:val="005C03C9"/>
    <w:rsid w:val="005C082E"/>
    <w:rsid w:val="005C0E6C"/>
    <w:rsid w:val="005C1731"/>
    <w:rsid w:val="005C2584"/>
    <w:rsid w:val="005C3635"/>
    <w:rsid w:val="005C447E"/>
    <w:rsid w:val="005D0DBE"/>
    <w:rsid w:val="005D517C"/>
    <w:rsid w:val="005D766B"/>
    <w:rsid w:val="005D7C33"/>
    <w:rsid w:val="005E14F7"/>
    <w:rsid w:val="005E3AE5"/>
    <w:rsid w:val="005E5144"/>
    <w:rsid w:val="005E537F"/>
    <w:rsid w:val="005E66DD"/>
    <w:rsid w:val="005E7A05"/>
    <w:rsid w:val="005F43CA"/>
    <w:rsid w:val="005F5441"/>
    <w:rsid w:val="00600E1F"/>
    <w:rsid w:val="006025DF"/>
    <w:rsid w:val="006025F4"/>
    <w:rsid w:val="00603A21"/>
    <w:rsid w:val="0060608E"/>
    <w:rsid w:val="0061459E"/>
    <w:rsid w:val="00615B8F"/>
    <w:rsid w:val="0061773A"/>
    <w:rsid w:val="006252F1"/>
    <w:rsid w:val="00626493"/>
    <w:rsid w:val="00637494"/>
    <w:rsid w:val="00641F7C"/>
    <w:rsid w:val="006439EF"/>
    <w:rsid w:val="00646279"/>
    <w:rsid w:val="0065126B"/>
    <w:rsid w:val="006531C0"/>
    <w:rsid w:val="00657750"/>
    <w:rsid w:val="0066000A"/>
    <w:rsid w:val="006621E4"/>
    <w:rsid w:val="00662465"/>
    <w:rsid w:val="00664036"/>
    <w:rsid w:val="0066528A"/>
    <w:rsid w:val="0066578A"/>
    <w:rsid w:val="006713C5"/>
    <w:rsid w:val="0067168E"/>
    <w:rsid w:val="00674D63"/>
    <w:rsid w:val="00675C8E"/>
    <w:rsid w:val="0068014F"/>
    <w:rsid w:val="00685B72"/>
    <w:rsid w:val="006863FF"/>
    <w:rsid w:val="006934CE"/>
    <w:rsid w:val="00694465"/>
    <w:rsid w:val="00695C52"/>
    <w:rsid w:val="00696C01"/>
    <w:rsid w:val="006A03A6"/>
    <w:rsid w:val="006A31C7"/>
    <w:rsid w:val="006A3250"/>
    <w:rsid w:val="006A4701"/>
    <w:rsid w:val="006A4A02"/>
    <w:rsid w:val="006A4A8E"/>
    <w:rsid w:val="006A652B"/>
    <w:rsid w:val="006A7FE8"/>
    <w:rsid w:val="006B1713"/>
    <w:rsid w:val="006B2A19"/>
    <w:rsid w:val="006B6B3F"/>
    <w:rsid w:val="006D46B1"/>
    <w:rsid w:val="006D547D"/>
    <w:rsid w:val="006E05A8"/>
    <w:rsid w:val="006E4E89"/>
    <w:rsid w:val="006E6ABC"/>
    <w:rsid w:val="006F0AAB"/>
    <w:rsid w:val="006F0CA5"/>
    <w:rsid w:val="006F0FAC"/>
    <w:rsid w:val="006F33E9"/>
    <w:rsid w:val="006F787B"/>
    <w:rsid w:val="00701B3B"/>
    <w:rsid w:val="007046C2"/>
    <w:rsid w:val="007139F5"/>
    <w:rsid w:val="00714A7A"/>
    <w:rsid w:val="007227C2"/>
    <w:rsid w:val="00723005"/>
    <w:rsid w:val="007266C5"/>
    <w:rsid w:val="00734920"/>
    <w:rsid w:val="00736B68"/>
    <w:rsid w:val="00736E1F"/>
    <w:rsid w:val="0073753C"/>
    <w:rsid w:val="00741374"/>
    <w:rsid w:val="00752F1D"/>
    <w:rsid w:val="00754879"/>
    <w:rsid w:val="007550A9"/>
    <w:rsid w:val="007602E0"/>
    <w:rsid w:val="00760C2E"/>
    <w:rsid w:val="00764F25"/>
    <w:rsid w:val="00765DC8"/>
    <w:rsid w:val="007661F8"/>
    <w:rsid w:val="00767531"/>
    <w:rsid w:val="007762AA"/>
    <w:rsid w:val="00776880"/>
    <w:rsid w:val="007768B6"/>
    <w:rsid w:val="00776BB8"/>
    <w:rsid w:val="00777D2C"/>
    <w:rsid w:val="0078256D"/>
    <w:rsid w:val="0078400A"/>
    <w:rsid w:val="00790564"/>
    <w:rsid w:val="00790A48"/>
    <w:rsid w:val="007929B1"/>
    <w:rsid w:val="00792BC7"/>
    <w:rsid w:val="00796F28"/>
    <w:rsid w:val="0079744B"/>
    <w:rsid w:val="007A2830"/>
    <w:rsid w:val="007A2A00"/>
    <w:rsid w:val="007A4B38"/>
    <w:rsid w:val="007A5305"/>
    <w:rsid w:val="007A7CCC"/>
    <w:rsid w:val="007B1B50"/>
    <w:rsid w:val="007B70C4"/>
    <w:rsid w:val="007B78C5"/>
    <w:rsid w:val="007B7BB1"/>
    <w:rsid w:val="007C08C3"/>
    <w:rsid w:val="007C09DB"/>
    <w:rsid w:val="007C2167"/>
    <w:rsid w:val="007C3717"/>
    <w:rsid w:val="007C49EB"/>
    <w:rsid w:val="007C5768"/>
    <w:rsid w:val="007C66EF"/>
    <w:rsid w:val="007D11E4"/>
    <w:rsid w:val="007D371B"/>
    <w:rsid w:val="007D7B79"/>
    <w:rsid w:val="007F02E6"/>
    <w:rsid w:val="007F5555"/>
    <w:rsid w:val="00804174"/>
    <w:rsid w:val="008049B5"/>
    <w:rsid w:val="00805320"/>
    <w:rsid w:val="00806D28"/>
    <w:rsid w:val="00807C8C"/>
    <w:rsid w:val="00810A92"/>
    <w:rsid w:val="00812100"/>
    <w:rsid w:val="00814638"/>
    <w:rsid w:val="00820322"/>
    <w:rsid w:val="00821C2D"/>
    <w:rsid w:val="008226BA"/>
    <w:rsid w:val="0083111E"/>
    <w:rsid w:val="00835473"/>
    <w:rsid w:val="00835CCF"/>
    <w:rsid w:val="00837749"/>
    <w:rsid w:val="00840BF4"/>
    <w:rsid w:val="0084172F"/>
    <w:rsid w:val="008478A5"/>
    <w:rsid w:val="00850C22"/>
    <w:rsid w:val="00852518"/>
    <w:rsid w:val="00852E17"/>
    <w:rsid w:val="00853BED"/>
    <w:rsid w:val="00853F96"/>
    <w:rsid w:val="008541CD"/>
    <w:rsid w:val="0085693E"/>
    <w:rsid w:val="00857DAA"/>
    <w:rsid w:val="008633E0"/>
    <w:rsid w:val="008649F0"/>
    <w:rsid w:val="00867B05"/>
    <w:rsid w:val="00873704"/>
    <w:rsid w:val="00876287"/>
    <w:rsid w:val="00876C70"/>
    <w:rsid w:val="008806C0"/>
    <w:rsid w:val="00886875"/>
    <w:rsid w:val="00887544"/>
    <w:rsid w:val="00892947"/>
    <w:rsid w:val="00896B15"/>
    <w:rsid w:val="00897808"/>
    <w:rsid w:val="008A1E82"/>
    <w:rsid w:val="008A213B"/>
    <w:rsid w:val="008A2357"/>
    <w:rsid w:val="008A3A7F"/>
    <w:rsid w:val="008B0578"/>
    <w:rsid w:val="008B2D2F"/>
    <w:rsid w:val="008B68BB"/>
    <w:rsid w:val="008C2CCF"/>
    <w:rsid w:val="008C6F53"/>
    <w:rsid w:val="008D403B"/>
    <w:rsid w:val="008D47E3"/>
    <w:rsid w:val="008D6B54"/>
    <w:rsid w:val="008E18D4"/>
    <w:rsid w:val="008F0F8D"/>
    <w:rsid w:val="008F39C4"/>
    <w:rsid w:val="008F6AA8"/>
    <w:rsid w:val="008F79E2"/>
    <w:rsid w:val="00900A84"/>
    <w:rsid w:val="00904E4E"/>
    <w:rsid w:val="00905B1A"/>
    <w:rsid w:val="00906587"/>
    <w:rsid w:val="00914204"/>
    <w:rsid w:val="009166B1"/>
    <w:rsid w:val="00920521"/>
    <w:rsid w:val="00920F0F"/>
    <w:rsid w:val="00921055"/>
    <w:rsid w:val="00923F31"/>
    <w:rsid w:val="00924A2A"/>
    <w:rsid w:val="00924BAA"/>
    <w:rsid w:val="00930EC3"/>
    <w:rsid w:val="00931114"/>
    <w:rsid w:val="009313A1"/>
    <w:rsid w:val="00932B79"/>
    <w:rsid w:val="0093311D"/>
    <w:rsid w:val="00933239"/>
    <w:rsid w:val="0093704A"/>
    <w:rsid w:val="0094119B"/>
    <w:rsid w:val="009463D5"/>
    <w:rsid w:val="00950B1E"/>
    <w:rsid w:val="009558DB"/>
    <w:rsid w:val="00956D52"/>
    <w:rsid w:val="00957DB6"/>
    <w:rsid w:val="0096020D"/>
    <w:rsid w:val="0097660E"/>
    <w:rsid w:val="00977B66"/>
    <w:rsid w:val="00981296"/>
    <w:rsid w:val="009822AB"/>
    <w:rsid w:val="009852A8"/>
    <w:rsid w:val="0098701E"/>
    <w:rsid w:val="00987BB2"/>
    <w:rsid w:val="009906DD"/>
    <w:rsid w:val="00991029"/>
    <w:rsid w:val="00994632"/>
    <w:rsid w:val="009A0D5D"/>
    <w:rsid w:val="009A2F57"/>
    <w:rsid w:val="009A3B31"/>
    <w:rsid w:val="009A5B67"/>
    <w:rsid w:val="009A67C4"/>
    <w:rsid w:val="009A74F2"/>
    <w:rsid w:val="009B2A85"/>
    <w:rsid w:val="009B60C0"/>
    <w:rsid w:val="009C147F"/>
    <w:rsid w:val="009C70C6"/>
    <w:rsid w:val="009D6B0E"/>
    <w:rsid w:val="009E3870"/>
    <w:rsid w:val="009E67A7"/>
    <w:rsid w:val="009F0848"/>
    <w:rsid w:val="009F1B51"/>
    <w:rsid w:val="009F2449"/>
    <w:rsid w:val="009F26AA"/>
    <w:rsid w:val="009F3447"/>
    <w:rsid w:val="00A03CDC"/>
    <w:rsid w:val="00A10BE5"/>
    <w:rsid w:val="00A10F1A"/>
    <w:rsid w:val="00A13427"/>
    <w:rsid w:val="00A167D1"/>
    <w:rsid w:val="00A20E27"/>
    <w:rsid w:val="00A26C7B"/>
    <w:rsid w:val="00A26DF6"/>
    <w:rsid w:val="00A30143"/>
    <w:rsid w:val="00A31500"/>
    <w:rsid w:val="00A3150C"/>
    <w:rsid w:val="00A36458"/>
    <w:rsid w:val="00A36B2F"/>
    <w:rsid w:val="00A37850"/>
    <w:rsid w:val="00A37C67"/>
    <w:rsid w:val="00A402AF"/>
    <w:rsid w:val="00A4598A"/>
    <w:rsid w:val="00A46F9E"/>
    <w:rsid w:val="00A52689"/>
    <w:rsid w:val="00A53505"/>
    <w:rsid w:val="00A53EC4"/>
    <w:rsid w:val="00A54DA9"/>
    <w:rsid w:val="00A57788"/>
    <w:rsid w:val="00A5787C"/>
    <w:rsid w:val="00A64349"/>
    <w:rsid w:val="00A649A6"/>
    <w:rsid w:val="00A6568E"/>
    <w:rsid w:val="00A65E17"/>
    <w:rsid w:val="00A66810"/>
    <w:rsid w:val="00A66F49"/>
    <w:rsid w:val="00A7141A"/>
    <w:rsid w:val="00A71B27"/>
    <w:rsid w:val="00A75A49"/>
    <w:rsid w:val="00A75E5B"/>
    <w:rsid w:val="00A8044C"/>
    <w:rsid w:val="00A80AAF"/>
    <w:rsid w:val="00A8105D"/>
    <w:rsid w:val="00A81A2F"/>
    <w:rsid w:val="00A8659B"/>
    <w:rsid w:val="00A868F1"/>
    <w:rsid w:val="00A87FF6"/>
    <w:rsid w:val="00A94605"/>
    <w:rsid w:val="00AA1AD9"/>
    <w:rsid w:val="00AA28C8"/>
    <w:rsid w:val="00AA3912"/>
    <w:rsid w:val="00AB2906"/>
    <w:rsid w:val="00AB3427"/>
    <w:rsid w:val="00AB69CE"/>
    <w:rsid w:val="00AC061F"/>
    <w:rsid w:val="00AC1261"/>
    <w:rsid w:val="00AD0EDB"/>
    <w:rsid w:val="00AD319D"/>
    <w:rsid w:val="00AD5462"/>
    <w:rsid w:val="00AD61FF"/>
    <w:rsid w:val="00AE0FFC"/>
    <w:rsid w:val="00AE571B"/>
    <w:rsid w:val="00AF0656"/>
    <w:rsid w:val="00AF0F0A"/>
    <w:rsid w:val="00AF1C65"/>
    <w:rsid w:val="00AF1C87"/>
    <w:rsid w:val="00AF2397"/>
    <w:rsid w:val="00AF25E4"/>
    <w:rsid w:val="00AF3A62"/>
    <w:rsid w:val="00AF3C30"/>
    <w:rsid w:val="00AF40FA"/>
    <w:rsid w:val="00AF46D2"/>
    <w:rsid w:val="00AF70B0"/>
    <w:rsid w:val="00AF77C8"/>
    <w:rsid w:val="00B03ABD"/>
    <w:rsid w:val="00B0557D"/>
    <w:rsid w:val="00B0562B"/>
    <w:rsid w:val="00B058B9"/>
    <w:rsid w:val="00B071CA"/>
    <w:rsid w:val="00B073D7"/>
    <w:rsid w:val="00B136C9"/>
    <w:rsid w:val="00B17D79"/>
    <w:rsid w:val="00B250CB"/>
    <w:rsid w:val="00B32501"/>
    <w:rsid w:val="00B32534"/>
    <w:rsid w:val="00B33022"/>
    <w:rsid w:val="00B351F4"/>
    <w:rsid w:val="00B41420"/>
    <w:rsid w:val="00B4340F"/>
    <w:rsid w:val="00B47EC6"/>
    <w:rsid w:val="00B51721"/>
    <w:rsid w:val="00B61D46"/>
    <w:rsid w:val="00B61F35"/>
    <w:rsid w:val="00B67633"/>
    <w:rsid w:val="00B67C47"/>
    <w:rsid w:val="00B70818"/>
    <w:rsid w:val="00B72EBD"/>
    <w:rsid w:val="00B73598"/>
    <w:rsid w:val="00B8067D"/>
    <w:rsid w:val="00B842B5"/>
    <w:rsid w:val="00B94043"/>
    <w:rsid w:val="00B94804"/>
    <w:rsid w:val="00B94C13"/>
    <w:rsid w:val="00BA1217"/>
    <w:rsid w:val="00BA7D46"/>
    <w:rsid w:val="00BB0306"/>
    <w:rsid w:val="00BB5024"/>
    <w:rsid w:val="00BB6013"/>
    <w:rsid w:val="00BC1693"/>
    <w:rsid w:val="00BC1F20"/>
    <w:rsid w:val="00BC2CBE"/>
    <w:rsid w:val="00BC3FEC"/>
    <w:rsid w:val="00BC7BB9"/>
    <w:rsid w:val="00BD0946"/>
    <w:rsid w:val="00BD09C2"/>
    <w:rsid w:val="00BD1975"/>
    <w:rsid w:val="00BD4F17"/>
    <w:rsid w:val="00BD5AB7"/>
    <w:rsid w:val="00BD6178"/>
    <w:rsid w:val="00BD6DDB"/>
    <w:rsid w:val="00BD7A99"/>
    <w:rsid w:val="00BD7E1A"/>
    <w:rsid w:val="00BE038C"/>
    <w:rsid w:val="00BE12E1"/>
    <w:rsid w:val="00BE6E8D"/>
    <w:rsid w:val="00BF07AB"/>
    <w:rsid w:val="00BF2370"/>
    <w:rsid w:val="00BF2CA5"/>
    <w:rsid w:val="00BF57D6"/>
    <w:rsid w:val="00BF6F23"/>
    <w:rsid w:val="00C00907"/>
    <w:rsid w:val="00C00C22"/>
    <w:rsid w:val="00C027AA"/>
    <w:rsid w:val="00C02BD7"/>
    <w:rsid w:val="00C034F3"/>
    <w:rsid w:val="00C0523F"/>
    <w:rsid w:val="00C1000C"/>
    <w:rsid w:val="00C10EFD"/>
    <w:rsid w:val="00C12A07"/>
    <w:rsid w:val="00C132B8"/>
    <w:rsid w:val="00C157AA"/>
    <w:rsid w:val="00C20AA8"/>
    <w:rsid w:val="00C242C8"/>
    <w:rsid w:val="00C275BA"/>
    <w:rsid w:val="00C27610"/>
    <w:rsid w:val="00C41C21"/>
    <w:rsid w:val="00C42A49"/>
    <w:rsid w:val="00C44998"/>
    <w:rsid w:val="00C529E3"/>
    <w:rsid w:val="00C5510E"/>
    <w:rsid w:val="00C56699"/>
    <w:rsid w:val="00C57B79"/>
    <w:rsid w:val="00C61655"/>
    <w:rsid w:val="00C67CB6"/>
    <w:rsid w:val="00C70235"/>
    <w:rsid w:val="00C717A5"/>
    <w:rsid w:val="00C73D02"/>
    <w:rsid w:val="00C763CA"/>
    <w:rsid w:val="00C86960"/>
    <w:rsid w:val="00C86BF5"/>
    <w:rsid w:val="00C8791C"/>
    <w:rsid w:val="00C91650"/>
    <w:rsid w:val="00C920D1"/>
    <w:rsid w:val="00C93697"/>
    <w:rsid w:val="00C972D3"/>
    <w:rsid w:val="00CA42EC"/>
    <w:rsid w:val="00CA5FA1"/>
    <w:rsid w:val="00CB2D0D"/>
    <w:rsid w:val="00CB5C58"/>
    <w:rsid w:val="00CB6534"/>
    <w:rsid w:val="00CB6FB4"/>
    <w:rsid w:val="00CB71DB"/>
    <w:rsid w:val="00CC0474"/>
    <w:rsid w:val="00CC0AA4"/>
    <w:rsid w:val="00CC7520"/>
    <w:rsid w:val="00CD195A"/>
    <w:rsid w:val="00CD3843"/>
    <w:rsid w:val="00CD6F7F"/>
    <w:rsid w:val="00CD7AD8"/>
    <w:rsid w:val="00CE6400"/>
    <w:rsid w:val="00CF533E"/>
    <w:rsid w:val="00CF6855"/>
    <w:rsid w:val="00CF6A1E"/>
    <w:rsid w:val="00D0008F"/>
    <w:rsid w:val="00D0497B"/>
    <w:rsid w:val="00D06220"/>
    <w:rsid w:val="00D07EF1"/>
    <w:rsid w:val="00D11F62"/>
    <w:rsid w:val="00D146CD"/>
    <w:rsid w:val="00D14F45"/>
    <w:rsid w:val="00D15B0E"/>
    <w:rsid w:val="00D1688D"/>
    <w:rsid w:val="00D16CC1"/>
    <w:rsid w:val="00D176E3"/>
    <w:rsid w:val="00D17FAC"/>
    <w:rsid w:val="00D24D37"/>
    <w:rsid w:val="00D256AB"/>
    <w:rsid w:val="00D269AD"/>
    <w:rsid w:val="00D27602"/>
    <w:rsid w:val="00D31FB1"/>
    <w:rsid w:val="00D379E8"/>
    <w:rsid w:val="00D41048"/>
    <w:rsid w:val="00D435AC"/>
    <w:rsid w:val="00D4389F"/>
    <w:rsid w:val="00D45580"/>
    <w:rsid w:val="00D468A9"/>
    <w:rsid w:val="00D4719D"/>
    <w:rsid w:val="00D57E09"/>
    <w:rsid w:val="00D66FA5"/>
    <w:rsid w:val="00D67DC9"/>
    <w:rsid w:val="00D702C6"/>
    <w:rsid w:val="00D710D7"/>
    <w:rsid w:val="00D74DC6"/>
    <w:rsid w:val="00D8312F"/>
    <w:rsid w:val="00D84F58"/>
    <w:rsid w:val="00D85CEE"/>
    <w:rsid w:val="00D9024D"/>
    <w:rsid w:val="00D92603"/>
    <w:rsid w:val="00DA0D41"/>
    <w:rsid w:val="00DA1EC8"/>
    <w:rsid w:val="00DA57D3"/>
    <w:rsid w:val="00DA6551"/>
    <w:rsid w:val="00DA6CB0"/>
    <w:rsid w:val="00DA7FC7"/>
    <w:rsid w:val="00DB114F"/>
    <w:rsid w:val="00DB45E0"/>
    <w:rsid w:val="00DB6C83"/>
    <w:rsid w:val="00DC1FF5"/>
    <w:rsid w:val="00DC6222"/>
    <w:rsid w:val="00DC754F"/>
    <w:rsid w:val="00DD3362"/>
    <w:rsid w:val="00DD3626"/>
    <w:rsid w:val="00DE01E6"/>
    <w:rsid w:val="00DF05A1"/>
    <w:rsid w:val="00DF2342"/>
    <w:rsid w:val="00DF302D"/>
    <w:rsid w:val="00DF3A77"/>
    <w:rsid w:val="00DF4419"/>
    <w:rsid w:val="00DF646F"/>
    <w:rsid w:val="00DF65AB"/>
    <w:rsid w:val="00E014DB"/>
    <w:rsid w:val="00E07AB9"/>
    <w:rsid w:val="00E100E2"/>
    <w:rsid w:val="00E10514"/>
    <w:rsid w:val="00E110D9"/>
    <w:rsid w:val="00E11128"/>
    <w:rsid w:val="00E16AE6"/>
    <w:rsid w:val="00E20A7E"/>
    <w:rsid w:val="00E241DE"/>
    <w:rsid w:val="00E24818"/>
    <w:rsid w:val="00E25A68"/>
    <w:rsid w:val="00E27405"/>
    <w:rsid w:val="00E371D3"/>
    <w:rsid w:val="00E375E8"/>
    <w:rsid w:val="00E46D1B"/>
    <w:rsid w:val="00E54A8A"/>
    <w:rsid w:val="00E55A80"/>
    <w:rsid w:val="00E62F59"/>
    <w:rsid w:val="00E63DBA"/>
    <w:rsid w:val="00E660D4"/>
    <w:rsid w:val="00E66DC5"/>
    <w:rsid w:val="00E73504"/>
    <w:rsid w:val="00E802E8"/>
    <w:rsid w:val="00E845AB"/>
    <w:rsid w:val="00E9311A"/>
    <w:rsid w:val="00EA0014"/>
    <w:rsid w:val="00EA0602"/>
    <w:rsid w:val="00EA1EB3"/>
    <w:rsid w:val="00EA352C"/>
    <w:rsid w:val="00EA4B6E"/>
    <w:rsid w:val="00EB22F7"/>
    <w:rsid w:val="00EC1A4A"/>
    <w:rsid w:val="00EC4792"/>
    <w:rsid w:val="00EC4A29"/>
    <w:rsid w:val="00EC63EE"/>
    <w:rsid w:val="00ED0C66"/>
    <w:rsid w:val="00ED0DB2"/>
    <w:rsid w:val="00ED3406"/>
    <w:rsid w:val="00EE022E"/>
    <w:rsid w:val="00EE43D7"/>
    <w:rsid w:val="00EE4567"/>
    <w:rsid w:val="00EE6790"/>
    <w:rsid w:val="00EE6B7C"/>
    <w:rsid w:val="00EF1592"/>
    <w:rsid w:val="00EF16F9"/>
    <w:rsid w:val="00EF1F27"/>
    <w:rsid w:val="00EF2E41"/>
    <w:rsid w:val="00EF3769"/>
    <w:rsid w:val="00EF4530"/>
    <w:rsid w:val="00EF5481"/>
    <w:rsid w:val="00EF653B"/>
    <w:rsid w:val="00F00880"/>
    <w:rsid w:val="00F02581"/>
    <w:rsid w:val="00F056A1"/>
    <w:rsid w:val="00F07D9C"/>
    <w:rsid w:val="00F10168"/>
    <w:rsid w:val="00F10AAD"/>
    <w:rsid w:val="00F155CD"/>
    <w:rsid w:val="00F16121"/>
    <w:rsid w:val="00F169A0"/>
    <w:rsid w:val="00F16C86"/>
    <w:rsid w:val="00F16CAD"/>
    <w:rsid w:val="00F20261"/>
    <w:rsid w:val="00F20DF1"/>
    <w:rsid w:val="00F263DB"/>
    <w:rsid w:val="00F27ACC"/>
    <w:rsid w:val="00F335D8"/>
    <w:rsid w:val="00F338F6"/>
    <w:rsid w:val="00F33E19"/>
    <w:rsid w:val="00F36262"/>
    <w:rsid w:val="00F3663F"/>
    <w:rsid w:val="00F43FB8"/>
    <w:rsid w:val="00F45395"/>
    <w:rsid w:val="00F50737"/>
    <w:rsid w:val="00F51E10"/>
    <w:rsid w:val="00F52DB4"/>
    <w:rsid w:val="00F52F0E"/>
    <w:rsid w:val="00F53038"/>
    <w:rsid w:val="00F54799"/>
    <w:rsid w:val="00F56D06"/>
    <w:rsid w:val="00F611AF"/>
    <w:rsid w:val="00F66ABE"/>
    <w:rsid w:val="00F73825"/>
    <w:rsid w:val="00F73AC8"/>
    <w:rsid w:val="00F74792"/>
    <w:rsid w:val="00F77851"/>
    <w:rsid w:val="00F80A7E"/>
    <w:rsid w:val="00F85E5C"/>
    <w:rsid w:val="00F8697C"/>
    <w:rsid w:val="00F87AB1"/>
    <w:rsid w:val="00F92CBF"/>
    <w:rsid w:val="00FA12C6"/>
    <w:rsid w:val="00FA25A6"/>
    <w:rsid w:val="00FA3004"/>
    <w:rsid w:val="00FA492C"/>
    <w:rsid w:val="00FB2C60"/>
    <w:rsid w:val="00FB349B"/>
    <w:rsid w:val="00FB59C8"/>
    <w:rsid w:val="00FB71D5"/>
    <w:rsid w:val="00FC7EC6"/>
    <w:rsid w:val="00FD4F1B"/>
    <w:rsid w:val="00FD74FF"/>
    <w:rsid w:val="00FE72F6"/>
    <w:rsid w:val="00FE77DB"/>
    <w:rsid w:val="00FE7EA4"/>
    <w:rsid w:val="00FF13AD"/>
    <w:rsid w:val="00FF3A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61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Pr>
      <w:sz w:val="24"/>
      <w:szCs w:val="24"/>
    </w:rPr>
  </w:style>
  <w:style w:type="paragraph" w:styleId="Heading1">
    <w:name w:val="heading 1"/>
    <w:basedOn w:val="Normal"/>
    <w:next w:val="Normal"/>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qFormat/>
    <w:rsid w:val="006A7FE8"/>
    <w:pPr>
      <w:keepNext/>
      <w:spacing w:before="120" w:after="120"/>
      <w:outlineLvl w:val="2"/>
    </w:pPr>
    <w:rPr>
      <w:rFonts w:ascii="Arial" w:hAnsi="Arial"/>
      <w:b/>
      <w:sz w:val="30"/>
      <w:szCs w:val="30"/>
    </w:rPr>
  </w:style>
  <w:style w:type="paragraph" w:styleId="Heading4">
    <w:name w:val="heading 4"/>
    <w:basedOn w:val="Normal"/>
    <w:next w:val="Normal"/>
    <w:autoRedefine/>
    <w:qFormat/>
    <w:rsid w:val="000250BC"/>
    <w:pPr>
      <w:keepNext/>
      <w:spacing w:before="120" w:after="120"/>
      <w:outlineLvl w:val="3"/>
    </w:pPr>
    <w:rPr>
      <w:rFonts w:ascii="Arial" w:hAnsi="Arial"/>
      <w:sz w:val="26"/>
      <w:szCs w:val="26"/>
    </w:rPr>
  </w:style>
  <w:style w:type="paragraph" w:styleId="Heading5">
    <w:name w:val="heading 5"/>
    <w:basedOn w:val="Normal"/>
    <w:next w:val="Normal"/>
    <w:autoRedefine/>
    <w:qFormat/>
    <w:rsid w:val="00814638"/>
    <w:pPr>
      <w:keepNext/>
      <w:spacing w:before="120" w:after="120"/>
      <w:outlineLvl w:val="4"/>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pPr>
      <w:spacing w:before="120" w:after="120"/>
    </w:pPr>
    <w:rPr>
      <w:b/>
    </w:rPr>
  </w:style>
  <w:style w:type="paragraph" w:customStyle="1" w:styleId="paragraphtext">
    <w:name w:val="paragraph text"/>
    <w:basedOn w:val="Normal"/>
    <w:pPr>
      <w:spacing w:before="120" w:after="120"/>
    </w:pPr>
    <w:rPr>
      <w:szCs w:val="20"/>
    </w:rPr>
  </w:style>
  <w:style w:type="character" w:styleId="CommentReference">
    <w:name w:val="annotation reference"/>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ListBullet">
    <w:name w:val="List Bullet"/>
    <w:basedOn w:val="Normal"/>
    <w:link w:val="ListBulletChar"/>
  </w:style>
  <w:style w:type="character" w:styleId="FootnoteReference">
    <w:name w:val="footnote reference"/>
    <w:aliases w:val="(NECG) Footnote Reference,(NECG) Footnote Reference1,(NECG) Footnote Reference2,o,Style 3,Style 12,fr,Appel note de bas de p,Style 124,Appel n,Footnote Reference 1"/>
    <w:rPr>
      <w:rFonts w:ascii="Times New Roman" w:hAnsi="Times New Roman"/>
      <w:sz w:val="18"/>
      <w:vertAlign w:val="superscript"/>
    </w:rPr>
  </w:style>
  <w:style w:type="paragraph" w:styleId="FootnoteText">
    <w:name w:val="footnote text"/>
    <w:basedOn w:val="Normal"/>
    <w:link w:val="FootnoteTextChar"/>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paragraph">
    <w:name w:val="paragraph"/>
    <w:basedOn w:val="Normal"/>
    <w:link w:val="paragraphChar"/>
    <w:pPr>
      <w:spacing w:after="240"/>
    </w:pPr>
    <w:rPr>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link w:val="NormalParagraphChar"/>
    <w:uiPriority w:val="99"/>
    <w:qFormat/>
    <w:rsid w:val="00A4598A"/>
    <w:pPr>
      <w:numPr>
        <w:numId w:val="1"/>
      </w:numPr>
      <w:spacing w:before="120" w:after="120"/>
    </w:pPr>
    <w:rPr>
      <w:rFonts w:ascii="Arial" w:hAnsi="Arial"/>
      <w:sz w:val="22"/>
      <w:szCs w:val="22"/>
    </w:rPr>
  </w:style>
  <w:style w:type="paragraph" w:styleId="ListParagraph">
    <w:name w:val="List Paragraph"/>
    <w:aliases w:val="Dot point list"/>
    <w:basedOn w:val="ListBullet"/>
    <w:uiPriority w:val="34"/>
    <w:qFormat/>
    <w:rsid w:val="00F80A7E"/>
    <w:pPr>
      <w:keepLines/>
      <w:spacing w:after="120"/>
    </w:pPr>
    <w:rPr>
      <w:rFonts w:ascii="Arial" w:hAnsi="Arial" w:cs="Arial"/>
      <w:sz w:val="22"/>
      <w:szCs w:val="22"/>
    </w:rPr>
  </w:style>
  <w:style w:type="character" w:customStyle="1" w:styleId="FooterChar">
    <w:name w:val="Footer Char"/>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4"/>
      </w:numPr>
      <w:spacing w:after="120"/>
      <w:ind w:left="992" w:hanging="425"/>
    </w:pPr>
    <w:rPr>
      <w:rFonts w:ascii="Arial" w:hAnsi="Arial" w:cs="Arial"/>
      <w:sz w:val="22"/>
      <w:szCs w:val="22"/>
    </w:rPr>
  </w:style>
  <w:style w:type="paragraph" w:customStyle="1" w:styleId="Numbered">
    <w:name w:val="Numbered"/>
    <w:basedOn w:val="Normal"/>
    <w:autoRedefine/>
    <w:rsid w:val="00767531"/>
    <w:pPr>
      <w:numPr>
        <w:numId w:val="5"/>
      </w:numPr>
      <w:spacing w:after="240"/>
    </w:pPr>
    <w:rPr>
      <w:rFonts w:ascii="Arial" w:hAnsi="Arial" w:cs="Arial"/>
      <w:sz w:val="22"/>
      <w:szCs w:val="22"/>
      <w:lang w:eastAsia="en-US"/>
    </w:rPr>
  </w:style>
  <w:style w:type="paragraph" w:customStyle="1" w:styleId="HeadNumb">
    <w:name w:val="Head Numb"/>
    <w:basedOn w:val="Normal"/>
    <w:rsid w:val="000F5DAC"/>
    <w:pPr>
      <w:numPr>
        <w:numId w:val="7"/>
      </w:numPr>
      <w:shd w:val="clear" w:color="auto" w:fill="D9D9D9"/>
    </w:pPr>
    <w:rPr>
      <w:rFonts w:ascii="Arial" w:hAnsi="Arial"/>
      <w:b/>
      <w:sz w:val="18"/>
      <w:szCs w:val="18"/>
    </w:rPr>
  </w:style>
  <w:style w:type="paragraph" w:customStyle="1" w:styleId="SecondlevelNumb">
    <w:name w:val="Second level Numb"/>
    <w:basedOn w:val="Normal"/>
    <w:rsid w:val="000F5DAC"/>
    <w:pPr>
      <w:numPr>
        <w:ilvl w:val="1"/>
        <w:numId w:val="7"/>
      </w:numPr>
      <w:spacing w:line="360" w:lineRule="auto"/>
    </w:pPr>
  </w:style>
  <w:style w:type="paragraph" w:styleId="Revision">
    <w:name w:val="Revision"/>
    <w:hidden/>
    <w:uiPriority w:val="99"/>
    <w:semiHidden/>
    <w:rsid w:val="00662465"/>
    <w:rPr>
      <w:sz w:val="24"/>
      <w:szCs w:val="24"/>
    </w:rPr>
  </w:style>
  <w:style w:type="paragraph" w:customStyle="1" w:styleId="Heading55">
    <w:name w:val="Heading 55"/>
    <w:basedOn w:val="Normal"/>
    <w:next w:val="Normal"/>
    <w:link w:val="Heading55Char"/>
    <w:rsid w:val="002F3F31"/>
    <w:pPr>
      <w:keepNext/>
    </w:pPr>
    <w:rPr>
      <w:rFonts w:ascii="Arial" w:hAnsi="Arial"/>
      <w:i/>
      <w:sz w:val="22"/>
    </w:rPr>
  </w:style>
  <w:style w:type="character" w:customStyle="1" w:styleId="paragraphChar">
    <w:name w:val="paragraph Char"/>
    <w:link w:val="paragraph"/>
    <w:rsid w:val="006A652B"/>
    <w:rPr>
      <w:sz w:val="24"/>
    </w:rPr>
  </w:style>
  <w:style w:type="character" w:customStyle="1" w:styleId="NormalParagraphChar">
    <w:name w:val="Normal Paragraph Char"/>
    <w:link w:val="NormalParagraph"/>
    <w:uiPriority w:val="99"/>
    <w:rsid w:val="006A652B"/>
    <w:rPr>
      <w:rFonts w:ascii="Arial" w:hAnsi="Arial"/>
      <w:sz w:val="22"/>
      <w:szCs w:val="22"/>
    </w:rPr>
  </w:style>
  <w:style w:type="character" w:customStyle="1" w:styleId="Heading55Char">
    <w:name w:val="Heading 55 Char"/>
    <w:link w:val="Heading55"/>
    <w:rsid w:val="002F3F31"/>
    <w:rPr>
      <w:rFonts w:ascii="Arial" w:hAnsi="Arial"/>
      <w:i/>
      <w:sz w:val="22"/>
      <w:szCs w:val="24"/>
    </w:rPr>
  </w:style>
  <w:style w:type="character" w:customStyle="1" w:styleId="ListBulletChar">
    <w:name w:val="List Bullet Char"/>
    <w:link w:val="ListBullet"/>
    <w:rsid w:val="00F00880"/>
    <w:rPr>
      <w:sz w:val="24"/>
      <w:szCs w:val="24"/>
    </w:rPr>
  </w:style>
  <w:style w:type="paragraph" w:customStyle="1" w:styleId="Default">
    <w:name w:val="Default"/>
    <w:rsid w:val="000C22EF"/>
    <w:pPr>
      <w:autoSpaceDE w:val="0"/>
      <w:autoSpaceDN w:val="0"/>
      <w:adjustRightInd w:val="0"/>
    </w:pPr>
    <w:rPr>
      <w:rFonts w:ascii="Verdana" w:hAnsi="Verdana" w:cs="Verdana"/>
      <w:color w:val="000000"/>
      <w:sz w:val="24"/>
      <w:szCs w:val="24"/>
    </w:rPr>
  </w:style>
  <w:style w:type="character" w:styleId="Hyperlink">
    <w:name w:val="Hyperlink"/>
    <w:rsid w:val="00EA352C"/>
    <w:rPr>
      <w:color w:val="0000FF"/>
      <w:u w:val="single"/>
    </w:rPr>
  </w:style>
  <w:style w:type="character" w:styleId="FollowedHyperlink">
    <w:name w:val="FollowedHyperlink"/>
    <w:rsid w:val="002328B6"/>
    <w:rPr>
      <w:color w:val="800080"/>
      <w:u w:val="single"/>
    </w:rPr>
  </w:style>
  <w:style w:type="character" w:customStyle="1" w:styleId="FootnoteTextChar">
    <w:name w:val="Footnote Text Char"/>
    <w:link w:val="FootnoteText"/>
    <w:rsid w:val="005A25FE"/>
    <w:rPr>
      <w:szCs w:val="24"/>
    </w:rPr>
  </w:style>
  <w:style w:type="paragraph" w:customStyle="1" w:styleId="N1">
    <w:name w:val="N1"/>
    <w:basedOn w:val="ListParagraph"/>
    <w:link w:val="N1Char"/>
    <w:qFormat/>
    <w:rsid w:val="00F36262"/>
    <w:pPr>
      <w:keepLines w:val="0"/>
      <w:numPr>
        <w:numId w:val="15"/>
      </w:numPr>
      <w:spacing w:after="200" w:line="276" w:lineRule="auto"/>
    </w:pPr>
    <w:rPr>
      <w:rFonts w:eastAsia="Calibri" w:cs="Times New Roman"/>
      <w:lang w:eastAsia="en-US"/>
    </w:rPr>
  </w:style>
  <w:style w:type="paragraph" w:customStyle="1" w:styleId="N2">
    <w:name w:val="N2"/>
    <w:basedOn w:val="ListParagraph"/>
    <w:qFormat/>
    <w:rsid w:val="00F36262"/>
    <w:pPr>
      <w:keepLines w:val="0"/>
      <w:numPr>
        <w:ilvl w:val="1"/>
        <w:numId w:val="15"/>
      </w:numPr>
      <w:spacing w:after="200" w:line="276" w:lineRule="auto"/>
    </w:pPr>
    <w:rPr>
      <w:rFonts w:eastAsia="Calibri" w:cs="Times New Roman"/>
      <w:lang w:eastAsia="en-US"/>
    </w:rPr>
  </w:style>
  <w:style w:type="character" w:customStyle="1" w:styleId="N1Char">
    <w:name w:val="N1 Char"/>
    <w:link w:val="N1"/>
    <w:rsid w:val="00F36262"/>
    <w:rPr>
      <w:rFonts w:ascii="Arial" w:eastAsia="Calibri" w:hAnsi="Arial"/>
      <w:sz w:val="22"/>
      <w:szCs w:val="22"/>
      <w:lang w:eastAsia="en-US"/>
    </w:rPr>
  </w:style>
  <w:style w:type="paragraph" w:customStyle="1" w:styleId="N3">
    <w:name w:val="N3"/>
    <w:basedOn w:val="ListParagraph"/>
    <w:qFormat/>
    <w:rsid w:val="00F36262"/>
    <w:pPr>
      <w:keepLines w:val="0"/>
      <w:numPr>
        <w:ilvl w:val="2"/>
        <w:numId w:val="15"/>
      </w:numPr>
      <w:tabs>
        <w:tab w:val="left" w:pos="1560"/>
      </w:tabs>
      <w:spacing w:after="200" w:line="276" w:lineRule="auto"/>
      <w:ind w:left="1559" w:hanging="425"/>
    </w:pPr>
    <w:rPr>
      <w:rFonts w:eastAsia="Calibri" w:cs="Times New Roman"/>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703405061">
      <w:bodyDiv w:val="1"/>
      <w:marLeft w:val="0"/>
      <w:marRight w:val="0"/>
      <w:marTop w:val="0"/>
      <w:marBottom w:val="0"/>
      <w:divBdr>
        <w:top w:val="none" w:sz="0" w:space="0" w:color="auto"/>
        <w:left w:val="none" w:sz="0" w:space="0" w:color="auto"/>
        <w:bottom w:val="none" w:sz="0" w:space="0" w:color="auto"/>
        <w:right w:val="none" w:sz="0" w:space="0" w:color="auto"/>
      </w:divBdr>
    </w:div>
    <w:div w:id="943273170">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145050920">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 w:id="1706364241">
      <w:bodyDiv w:val="1"/>
      <w:marLeft w:val="0"/>
      <w:marRight w:val="0"/>
      <w:marTop w:val="0"/>
      <w:marBottom w:val="0"/>
      <w:divBdr>
        <w:top w:val="none" w:sz="0" w:space="0" w:color="auto"/>
        <w:left w:val="none" w:sz="0" w:space="0" w:color="auto"/>
        <w:bottom w:val="none" w:sz="0" w:space="0" w:color="auto"/>
        <w:right w:val="none" w:sz="0" w:space="0" w:color="auto"/>
      </w:divBdr>
    </w:div>
    <w:div w:id="1876649130">
      <w:bodyDiv w:val="1"/>
      <w:marLeft w:val="0"/>
      <w:marRight w:val="0"/>
      <w:marTop w:val="0"/>
      <w:marBottom w:val="0"/>
      <w:divBdr>
        <w:top w:val="none" w:sz="0" w:space="0" w:color="auto"/>
        <w:left w:val="none" w:sz="0" w:space="0" w:color="auto"/>
        <w:bottom w:val="none" w:sz="0" w:space="0" w:color="auto"/>
        <w:right w:val="none" w:sz="0" w:space="0" w:color="auto"/>
      </w:divBdr>
      <w:divsChild>
        <w:div w:id="749079395">
          <w:marLeft w:val="0"/>
          <w:marRight w:val="0"/>
          <w:marTop w:val="0"/>
          <w:marBottom w:val="0"/>
          <w:divBdr>
            <w:top w:val="none" w:sz="0" w:space="0" w:color="auto"/>
            <w:left w:val="none" w:sz="0" w:space="0" w:color="auto"/>
            <w:bottom w:val="none" w:sz="0" w:space="0" w:color="auto"/>
            <w:right w:val="none" w:sz="0" w:space="0" w:color="auto"/>
          </w:divBdr>
          <w:divsChild>
            <w:div w:id="11530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109F0D-02DD-4A83-83AA-1A8DB49BF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8A6DBB95</Template>
  <TotalTime>0</TotalTime>
  <Pages>15</Pages>
  <Words>5567</Words>
  <Characters>30912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36407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2015-12-22T03:24:00Z</dcterms:created>
  <dcterms:modified xsi:type="dcterms:W3CDTF">2015-12-22T03:26:00Z</dcterms:modified>
</cp:coreProperties>
</file>