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86356B" w:rsidP="00A10BE5">
      <w:pPr>
        <w:pStyle w:val="Heading1"/>
      </w:pPr>
      <w:bookmarkStart w:id="0" w:name="_GoBack"/>
      <w:bookmarkEnd w:id="0"/>
      <w:r>
        <w:pict w14:anchorId="6FB8A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mp; Consumer Commission" style="width:190.5pt;height:45.75pt;mso-left-percent:-10001;mso-top-percent:-10001;mso-position-horizontal:absolute;mso-position-horizontal-relative:char;mso-position-vertical:absolute;mso-position-vertical-relative:line;mso-left-percent:-10001;mso-top-percent:-10001">
            <v:imagedata r:id="rId9" o:title=""/>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914915" w:rsidP="00A53505">
      <w:pPr>
        <w:pStyle w:val="Date1"/>
      </w:pPr>
      <w:r w:rsidRPr="00940EC1">
        <w:t>2</w:t>
      </w:r>
      <w:r w:rsidR="00496B6D">
        <w:t>2</w:t>
      </w:r>
      <w:r w:rsidR="006649BA" w:rsidRPr="006649BA">
        <w:t xml:space="preserve"> </w:t>
      </w:r>
      <w:r w:rsidR="00163542">
        <w:t>December</w:t>
      </w:r>
      <w:r w:rsidR="00041635">
        <w:t xml:space="preserve"> </w:t>
      </w:r>
      <w:r w:rsidR="00E96E5E">
        <w:t>2015</w:t>
      </w:r>
    </w:p>
    <w:p w:rsidR="004134D1" w:rsidRDefault="004134D1" w:rsidP="004134D1">
      <w:pPr>
        <w:pStyle w:val="Heading2"/>
      </w:pPr>
      <w:bookmarkStart w:id="1" w:name="Title"/>
      <w:bookmarkEnd w:id="1"/>
      <w:r>
        <w:t>Federation Centres and Novion</w:t>
      </w:r>
      <w:r w:rsidRPr="006649BA">
        <w:t xml:space="preserve"> – pro</w:t>
      </w:r>
      <w:r>
        <w:t>posed merger</w:t>
      </w:r>
    </w:p>
    <w:p w:rsidR="004134D1" w:rsidRPr="00977B66" w:rsidRDefault="004134D1" w:rsidP="004134D1">
      <w:pPr>
        <w:pStyle w:val="Heading3"/>
      </w:pPr>
      <w:r>
        <w:t>Purpose</w:t>
      </w:r>
    </w:p>
    <w:p w:rsidR="004134D1" w:rsidRPr="0071499C" w:rsidRDefault="004134D1" w:rsidP="004134D1">
      <w:pPr>
        <w:pStyle w:val="NormalParagraph"/>
      </w:pPr>
      <w:r w:rsidRPr="0071499C">
        <w:t>This public competition ass</w:t>
      </w:r>
      <w:r>
        <w:t>essment outlines reasons</w:t>
      </w:r>
      <w:r w:rsidRPr="0071499C">
        <w:t xml:space="preserve"> </w:t>
      </w:r>
      <w:r>
        <w:t xml:space="preserve">for </w:t>
      </w:r>
      <w:r w:rsidRPr="0071499C">
        <w:t xml:space="preserve">the </w:t>
      </w:r>
      <w:r>
        <w:t xml:space="preserve">Australian </w:t>
      </w:r>
      <w:r w:rsidRPr="00C4726A">
        <w:t>Competition and Consumer Commission (</w:t>
      </w:r>
      <w:r w:rsidRPr="00C4726A">
        <w:rPr>
          <w:b/>
        </w:rPr>
        <w:t>ACCC</w:t>
      </w:r>
      <w:r w:rsidRPr="00C4726A">
        <w:t xml:space="preserve">) decision </w:t>
      </w:r>
      <w:r>
        <w:t>on 21 May</w:t>
      </w:r>
      <w:r w:rsidRPr="00C4726A">
        <w:t xml:space="preserve"> 201</w:t>
      </w:r>
      <w:r>
        <w:t>5</w:t>
      </w:r>
      <w:r w:rsidRPr="00C4726A">
        <w:t xml:space="preserve"> to not oppose</w:t>
      </w:r>
      <w:r>
        <w:t xml:space="preserve"> the proposed merger between Federation Centres and Novion Property Group (</w:t>
      </w:r>
      <w:r>
        <w:rPr>
          <w:b/>
        </w:rPr>
        <w:t>Novion</w:t>
      </w:r>
      <w:r>
        <w:t xml:space="preserve">) (the </w:t>
      </w:r>
      <w:r>
        <w:rPr>
          <w:b/>
        </w:rPr>
        <w:t xml:space="preserve">proposed </w:t>
      </w:r>
      <w:r w:rsidR="00E3378E">
        <w:rPr>
          <w:b/>
        </w:rPr>
        <w:t>merger</w:t>
      </w:r>
      <w:r>
        <w:t xml:space="preserve">) subject to </w:t>
      </w:r>
      <w:r w:rsidR="007F4B4E">
        <w:t>court enforceable</w:t>
      </w:r>
      <w:r>
        <w:t xml:space="preserve"> divestiture undertaking</w:t>
      </w:r>
      <w:r w:rsidR="007F4B4E">
        <w:t>s</w:t>
      </w:r>
      <w:r>
        <w:t xml:space="preserve"> accepted by the ACCC </w:t>
      </w:r>
      <w:r w:rsidR="007F4B4E">
        <w:t xml:space="preserve">under section 87B of the </w:t>
      </w:r>
      <w:r w:rsidR="007F4B4E" w:rsidRPr="00243758">
        <w:rPr>
          <w:i/>
        </w:rPr>
        <w:t>Competition and Consumer Act</w:t>
      </w:r>
      <w:r w:rsidR="007F4B4E">
        <w:t xml:space="preserve"> 2010 (the</w:t>
      </w:r>
      <w:r w:rsidR="007F4B4E">
        <w:rPr>
          <w:b/>
        </w:rPr>
        <w:t xml:space="preserve"> Act</w:t>
      </w:r>
      <w:r w:rsidR="007F4B4E">
        <w:t xml:space="preserve">) </w:t>
      </w:r>
      <w:r>
        <w:t xml:space="preserve">for the parties to divest one of their shopping centres in South East Melbourne (the </w:t>
      </w:r>
      <w:r>
        <w:rPr>
          <w:b/>
        </w:rPr>
        <w:t>Undertaking</w:t>
      </w:r>
      <w:r w:rsidR="007952E3">
        <w:rPr>
          <w:b/>
        </w:rPr>
        <w:t>s</w:t>
      </w:r>
      <w:r>
        <w:t xml:space="preserve">). </w:t>
      </w:r>
    </w:p>
    <w:p w:rsidR="004134D1" w:rsidRPr="0071499C" w:rsidRDefault="004134D1" w:rsidP="004134D1">
      <w:pPr>
        <w:pStyle w:val="NormalParagraph"/>
      </w:pPr>
      <w:r w:rsidRPr="0071499C">
        <w:t>ACCC public competition assessment</w:t>
      </w:r>
      <w:r>
        <w:t xml:space="preserve">s aim to </w:t>
      </w:r>
      <w:r w:rsidRPr="0071499C">
        <w:t>provide the public with a better understanding of our analysis of various markets and competition issues</w:t>
      </w:r>
      <w:r w:rsidRPr="00C4726A">
        <w:t>. We generally issue a public competition assessment for transactions when:</w:t>
      </w:r>
    </w:p>
    <w:p w:rsidR="004134D1" w:rsidRPr="0071499C" w:rsidRDefault="004134D1" w:rsidP="004134D1">
      <w:pPr>
        <w:pStyle w:val="ListParagraph"/>
        <w:tabs>
          <w:tab w:val="clear" w:pos="360"/>
          <w:tab w:val="num" w:pos="993"/>
        </w:tabs>
        <w:ind w:left="993" w:hanging="426"/>
      </w:pPr>
      <w:r w:rsidRPr="0071499C">
        <w:t>an acquisition is opposed</w:t>
      </w:r>
    </w:p>
    <w:p w:rsidR="004134D1" w:rsidRPr="0071499C" w:rsidRDefault="004134D1" w:rsidP="004134D1">
      <w:pPr>
        <w:pStyle w:val="ListParagraph"/>
        <w:tabs>
          <w:tab w:val="clear" w:pos="360"/>
          <w:tab w:val="num" w:pos="993"/>
        </w:tabs>
        <w:ind w:left="993" w:hanging="426"/>
      </w:pPr>
      <w:r w:rsidRPr="0071499C">
        <w:t>an acquisition is subject to enforceable undertakings</w:t>
      </w:r>
    </w:p>
    <w:p w:rsidR="004134D1" w:rsidRPr="0071499C" w:rsidRDefault="004134D1" w:rsidP="004134D1">
      <w:pPr>
        <w:pStyle w:val="ListParagraph"/>
        <w:tabs>
          <w:tab w:val="clear" w:pos="360"/>
          <w:tab w:val="num" w:pos="993"/>
        </w:tabs>
        <w:ind w:left="993" w:hanging="426"/>
      </w:pPr>
      <w:r w:rsidRPr="0071499C">
        <w:t>the parties to the acquisition seek such disclosure, or</w:t>
      </w:r>
    </w:p>
    <w:p w:rsidR="004134D1" w:rsidRPr="0071499C" w:rsidRDefault="004134D1" w:rsidP="004134D1">
      <w:pPr>
        <w:pStyle w:val="ListParagraph"/>
        <w:tabs>
          <w:tab w:val="clear" w:pos="360"/>
          <w:tab w:val="num" w:pos="993"/>
        </w:tabs>
        <w:ind w:left="993" w:hanging="426"/>
      </w:pPr>
      <w:proofErr w:type="gramStart"/>
      <w:r w:rsidRPr="0071499C">
        <w:t>an</w:t>
      </w:r>
      <w:proofErr w:type="gramEnd"/>
      <w:r w:rsidRPr="0071499C">
        <w:t xml:space="preserve"> acquisition is not opposed but raises important issues that the ACCC considers should be made public.</w:t>
      </w:r>
    </w:p>
    <w:p w:rsidR="00243758" w:rsidRPr="0071499C" w:rsidRDefault="004134D1" w:rsidP="004134D1">
      <w:pPr>
        <w:pStyle w:val="NormalParagraph"/>
      </w:pPr>
      <w:r w:rsidRPr="0071499C">
        <w:t>The ACCC considers each public competition assessment on a case-by-cas</w:t>
      </w:r>
      <w:r>
        <w:t xml:space="preserve">e basis. While some transactions </w:t>
      </w:r>
      <w:r w:rsidRPr="0071499C">
        <w:t xml:space="preserve">may involve the same or related markets, the analysis and decision outlined in one assessment will not necessarily reflect the ACCC’s view about other </w:t>
      </w:r>
      <w:r>
        <w:t>transactions</w:t>
      </w:r>
      <w:r w:rsidRPr="0071499C">
        <w:t>.</w:t>
      </w:r>
    </w:p>
    <w:p w:rsidR="00243758" w:rsidRPr="00736B68" w:rsidRDefault="001A63BB" w:rsidP="0091539A">
      <w:pPr>
        <w:pStyle w:val="NormalParagraph"/>
      </w:pPr>
      <w:r w:rsidRPr="00736B68">
        <w:t>Public Competition Assessments outline the ACCC’s principal reasons for forming views on a proposed acquisition at the time the decision was made. As such</w:t>
      </w:r>
      <w:r>
        <w:t>,</w:t>
      </w:r>
      <w:r w:rsidRPr="00736B68">
        <w:t xml:space="preserve"> Public Competition Assessments may not definitively identify and explain all issues that the ACCC considers arise from an acquisition. </w:t>
      </w:r>
    </w:p>
    <w:p w:rsidR="001A63BB" w:rsidRPr="00736B68" w:rsidRDefault="001A63BB" w:rsidP="0091539A">
      <w:pPr>
        <w:pStyle w:val="NormalParagraph"/>
      </w:pPr>
      <w:r w:rsidRPr="00736B68">
        <w:t>Further, the ACCC’s decisions generally involve consideration of confidential information provided by the merger parties and market participants. In order to maintain the confidentiality of particular information, Public Competition Assessments do not contain any confidential information nor identify its sources.</w:t>
      </w:r>
    </w:p>
    <w:p w:rsidR="004134D1" w:rsidRDefault="004134D1" w:rsidP="004134D1">
      <w:pPr>
        <w:pStyle w:val="Heading3"/>
      </w:pPr>
      <w:r w:rsidRPr="00360C0D">
        <w:lastRenderedPageBreak/>
        <w:t xml:space="preserve">The proposed </w:t>
      </w:r>
      <w:r>
        <w:t xml:space="preserve">merger </w:t>
      </w:r>
    </w:p>
    <w:p w:rsidR="004134D1" w:rsidRDefault="004134D1" w:rsidP="004134D1">
      <w:pPr>
        <w:pStyle w:val="NormalParagraph"/>
      </w:pPr>
      <w:r>
        <w:t xml:space="preserve">Federation Centres and </w:t>
      </w:r>
      <w:proofErr w:type="spellStart"/>
      <w:r>
        <w:t>Novion</w:t>
      </w:r>
      <w:proofErr w:type="spellEnd"/>
      <w:r>
        <w:t xml:space="preserve"> propose to merge via schemes of arrangement, which </w:t>
      </w:r>
      <w:r w:rsidR="00041635">
        <w:t xml:space="preserve">would </w:t>
      </w:r>
      <w:r>
        <w:t xml:space="preserve">result in the merged entity having $22 billion of retail assets under management with over $18.2 billion in annual retail sales. </w:t>
      </w:r>
    </w:p>
    <w:p w:rsidR="004134D1" w:rsidRPr="007A35C5" w:rsidRDefault="00041635" w:rsidP="004134D1">
      <w:pPr>
        <w:pStyle w:val="NormalParagraph"/>
      </w:pPr>
      <w:r>
        <w:t>T</w:t>
      </w:r>
      <w:r w:rsidR="004134D1">
        <w:t xml:space="preserve">he merged entity </w:t>
      </w:r>
      <w:r>
        <w:t xml:space="preserve">would </w:t>
      </w:r>
      <w:r w:rsidR="004134D1">
        <w:t>own or co-own 9</w:t>
      </w:r>
      <w:r>
        <w:t>2</w:t>
      </w:r>
      <w:r w:rsidR="004134D1">
        <w:t xml:space="preserve"> shopping centres, making it the largest owner of shopping centres in </w:t>
      </w:r>
      <w:r w:rsidR="00E3378E">
        <w:t>Australia</w:t>
      </w:r>
      <w:r>
        <w:t xml:space="preserve"> </w:t>
      </w:r>
      <w:r w:rsidR="00127D30">
        <w:t>based on number of shopping centres</w:t>
      </w:r>
      <w:r w:rsidR="00462218">
        <w:t>,</w:t>
      </w:r>
      <w:r w:rsidR="00127D30">
        <w:t xml:space="preserve"> and </w:t>
      </w:r>
      <w:r w:rsidR="00462218">
        <w:t xml:space="preserve">the </w:t>
      </w:r>
      <w:r w:rsidR="00127D30">
        <w:t>second largest based on assets under management</w:t>
      </w:r>
      <w:r w:rsidR="004134D1">
        <w:t>.</w:t>
      </w:r>
    </w:p>
    <w:p w:rsidR="004134D1" w:rsidRDefault="004134D1" w:rsidP="004134D1">
      <w:pPr>
        <w:pStyle w:val="Heading4"/>
      </w:pPr>
      <w:r>
        <w:t>Primary areas of overlap</w:t>
      </w:r>
    </w:p>
    <w:p w:rsidR="00914915" w:rsidRDefault="00914915" w:rsidP="00914915">
      <w:pPr>
        <w:pStyle w:val="NormalParagraph"/>
      </w:pPr>
      <w:r>
        <w:t xml:space="preserve">Shopping centres can be classified on the basis of their overall size, presence of anchor tenants and size of operations of those key tenants. The shopping centres in the table below are categorised as follows: </w:t>
      </w:r>
    </w:p>
    <w:p w:rsidR="00914915" w:rsidRDefault="00914915" w:rsidP="00914915">
      <w:pPr>
        <w:pStyle w:val="NormalParagraph"/>
        <w:numPr>
          <w:ilvl w:val="0"/>
          <w:numId w:val="23"/>
        </w:numPr>
      </w:pPr>
      <w:r>
        <w:t>Super regional centres – top 10 ranked regional centres based on total reported turnover (e.g. Chadstone).</w:t>
      </w:r>
    </w:p>
    <w:p w:rsidR="00914915" w:rsidRDefault="00914915" w:rsidP="00914915">
      <w:pPr>
        <w:pStyle w:val="NormalParagraph"/>
        <w:numPr>
          <w:ilvl w:val="0"/>
          <w:numId w:val="23"/>
        </w:numPr>
      </w:pPr>
      <w:r>
        <w:t xml:space="preserve">Regional centres – major integrated retail centres with at least one department or discount department store with a minimum gross </w:t>
      </w:r>
      <w:proofErr w:type="spellStart"/>
      <w:r>
        <w:t>lettable</w:t>
      </w:r>
      <w:proofErr w:type="spellEnd"/>
      <w:r>
        <w:t xml:space="preserve"> area (</w:t>
      </w:r>
      <w:r w:rsidRPr="00D671C4">
        <w:rPr>
          <w:b/>
        </w:rPr>
        <w:t>GLA</w:t>
      </w:r>
      <w:r>
        <w:t xml:space="preserve">) of 25,000 </w:t>
      </w:r>
      <w:proofErr w:type="spellStart"/>
      <w:r>
        <w:t>sqm</w:t>
      </w:r>
      <w:proofErr w:type="spellEnd"/>
      <w:r>
        <w:t xml:space="preserve"> (e.g. Chatswood Chase Shopping Centre).</w:t>
      </w:r>
    </w:p>
    <w:p w:rsidR="00914915" w:rsidRPr="00BB44CE" w:rsidRDefault="00914915" w:rsidP="00914915">
      <w:pPr>
        <w:pStyle w:val="NormalParagraph"/>
        <w:numPr>
          <w:ilvl w:val="0"/>
          <w:numId w:val="23"/>
        </w:numPr>
      </w:pPr>
      <w:r>
        <w:t xml:space="preserve">Sub-regional centres – smaller to medium sized centres that generally have a GLA less than 25,000 </w:t>
      </w:r>
      <w:proofErr w:type="spellStart"/>
      <w:r>
        <w:t>sqm</w:t>
      </w:r>
      <w:proofErr w:type="spellEnd"/>
      <w:r>
        <w:t xml:space="preserve"> and typically incorporate one discount department store, one major supermarket and a range of speciality stores (e.g. Rockingham Shopping Centre) .</w:t>
      </w:r>
    </w:p>
    <w:p w:rsidR="004134D1" w:rsidRDefault="004134D1" w:rsidP="004134D1">
      <w:pPr>
        <w:pStyle w:val="NormalParagraph"/>
      </w:pPr>
      <w:r>
        <w:t>The table below identifies the primary areas of geographical overlap between the merger parties.</w:t>
      </w:r>
    </w:p>
    <w:tbl>
      <w:tblPr>
        <w:tblW w:w="9087" w:type="dxa"/>
        <w:tblInd w:w="93" w:type="dxa"/>
        <w:tblLook w:val="04A0" w:firstRow="1" w:lastRow="0" w:firstColumn="1" w:lastColumn="0" w:noHBand="0" w:noVBand="1"/>
      </w:tblPr>
      <w:tblGrid>
        <w:gridCol w:w="2142"/>
        <w:gridCol w:w="3969"/>
        <w:gridCol w:w="2976"/>
      </w:tblGrid>
      <w:tr w:rsidR="004134D1" w:rsidRPr="008B05B1" w:rsidTr="00B22D99">
        <w:trPr>
          <w:trHeight w:val="300"/>
        </w:trPr>
        <w:tc>
          <w:tcPr>
            <w:tcW w:w="2142"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rsidR="004134D1" w:rsidRPr="00D671C4" w:rsidRDefault="004134D1" w:rsidP="00B22D99">
            <w:pPr>
              <w:spacing w:before="20" w:after="20"/>
              <w:rPr>
                <w:rFonts w:ascii="Arial" w:hAnsi="Arial" w:cs="Arial"/>
                <w:b/>
                <w:bCs/>
                <w:color w:val="FFFFFF"/>
                <w:sz w:val="18"/>
              </w:rPr>
            </w:pPr>
            <w:r w:rsidRPr="00D671C4">
              <w:rPr>
                <w:rFonts w:ascii="Arial" w:hAnsi="Arial" w:cs="Arial"/>
                <w:b/>
                <w:bCs/>
                <w:color w:val="FFFFFF"/>
                <w:sz w:val="18"/>
              </w:rPr>
              <w:t> Region</w:t>
            </w:r>
          </w:p>
        </w:tc>
        <w:tc>
          <w:tcPr>
            <w:tcW w:w="3969" w:type="dxa"/>
            <w:tcBorders>
              <w:top w:val="single" w:sz="4" w:space="0" w:color="auto"/>
              <w:left w:val="nil"/>
              <w:bottom w:val="single" w:sz="4" w:space="0" w:color="auto"/>
              <w:right w:val="single" w:sz="4" w:space="0" w:color="auto"/>
            </w:tcBorders>
            <w:shd w:val="clear" w:color="000000" w:fill="000000"/>
            <w:noWrap/>
            <w:vAlign w:val="bottom"/>
            <w:hideMark/>
          </w:tcPr>
          <w:p w:rsidR="004134D1" w:rsidRPr="00D671C4" w:rsidRDefault="004134D1" w:rsidP="00B22D99">
            <w:pPr>
              <w:spacing w:before="20" w:after="20"/>
              <w:rPr>
                <w:rFonts w:ascii="Arial" w:hAnsi="Arial" w:cs="Arial"/>
                <w:b/>
                <w:bCs/>
                <w:color w:val="FFFFFF"/>
                <w:sz w:val="18"/>
              </w:rPr>
            </w:pPr>
            <w:r w:rsidRPr="00D671C4">
              <w:rPr>
                <w:rFonts w:ascii="Arial" w:hAnsi="Arial" w:cs="Arial"/>
                <w:b/>
                <w:bCs/>
                <w:color w:val="FFFFFF"/>
                <w:sz w:val="18"/>
              </w:rPr>
              <w:t>Federation Centres</w:t>
            </w:r>
          </w:p>
        </w:tc>
        <w:tc>
          <w:tcPr>
            <w:tcW w:w="2976" w:type="dxa"/>
            <w:tcBorders>
              <w:top w:val="single" w:sz="4" w:space="0" w:color="auto"/>
              <w:left w:val="nil"/>
              <w:bottom w:val="single" w:sz="4" w:space="0" w:color="auto"/>
              <w:right w:val="single" w:sz="4" w:space="0" w:color="auto"/>
            </w:tcBorders>
            <w:shd w:val="clear" w:color="000000" w:fill="000000"/>
            <w:noWrap/>
            <w:vAlign w:val="bottom"/>
            <w:hideMark/>
          </w:tcPr>
          <w:p w:rsidR="004134D1" w:rsidRPr="00D671C4" w:rsidRDefault="004134D1" w:rsidP="00B22D99">
            <w:pPr>
              <w:spacing w:before="20" w:after="20"/>
              <w:rPr>
                <w:rFonts w:ascii="Arial" w:hAnsi="Arial" w:cs="Arial"/>
                <w:b/>
                <w:bCs/>
                <w:color w:val="FFFFFF"/>
                <w:sz w:val="18"/>
              </w:rPr>
            </w:pPr>
            <w:r w:rsidRPr="00D671C4">
              <w:rPr>
                <w:rFonts w:ascii="Arial" w:hAnsi="Arial" w:cs="Arial"/>
                <w:b/>
                <w:bCs/>
                <w:color w:val="FFFFFF"/>
                <w:sz w:val="18"/>
              </w:rPr>
              <w:t>Novion</w:t>
            </w:r>
          </w:p>
        </w:tc>
      </w:tr>
      <w:tr w:rsidR="004134D1" w:rsidRPr="008B05B1" w:rsidTr="00B22D99">
        <w:trPr>
          <w:trHeight w:val="570"/>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Melbourne CBD</w:t>
            </w:r>
          </w:p>
        </w:tc>
        <w:tc>
          <w:tcPr>
            <w:tcW w:w="3969" w:type="dxa"/>
            <w:tcBorders>
              <w:top w:val="nil"/>
              <w:left w:val="nil"/>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Victoria Gardens (iii)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Myer Melbourne (ii)</w:t>
            </w:r>
            <w:r w:rsidRPr="00D671C4">
              <w:rPr>
                <w:rFonts w:ascii="Arial" w:hAnsi="Arial" w:cs="Arial"/>
                <w:color w:val="000000"/>
                <w:sz w:val="20"/>
              </w:rPr>
              <w:br/>
              <w:t>Emporium Melbourne (ii)</w:t>
            </w:r>
          </w:p>
        </w:tc>
      </w:tr>
      <w:tr w:rsidR="004134D1" w:rsidRPr="008B05B1" w:rsidTr="00B22D99">
        <w:trPr>
          <w:trHeight w:val="901"/>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East Melbourne</w:t>
            </w:r>
          </w:p>
        </w:tc>
        <w:tc>
          <w:tcPr>
            <w:tcW w:w="3969"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Box Hill Central (North and South) (iii)</w:t>
            </w:r>
            <w:r w:rsidRPr="00D671C4">
              <w:rPr>
                <w:rFonts w:ascii="Arial" w:hAnsi="Arial" w:cs="Arial"/>
                <w:color w:val="000000"/>
                <w:sz w:val="20"/>
              </w:rPr>
              <w:br/>
              <w:t>Brandon Park (iii)</w:t>
            </w:r>
            <w:r w:rsidRPr="00D671C4">
              <w:rPr>
                <w:rFonts w:ascii="Arial" w:hAnsi="Arial" w:cs="Arial"/>
                <w:color w:val="000000"/>
                <w:sz w:val="20"/>
              </w:rPr>
              <w:br/>
              <w:t>The Glen (ii)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Chadstone (</w:t>
            </w:r>
            <w:proofErr w:type="spellStart"/>
            <w:r w:rsidRPr="00D671C4">
              <w:rPr>
                <w:rFonts w:ascii="Arial" w:hAnsi="Arial" w:cs="Arial"/>
                <w:color w:val="000000"/>
                <w:sz w:val="20"/>
              </w:rPr>
              <w:t>i</w:t>
            </w:r>
            <w:proofErr w:type="spellEnd"/>
            <w:r w:rsidRPr="00D671C4">
              <w:rPr>
                <w:rFonts w:ascii="Arial" w:hAnsi="Arial" w:cs="Arial"/>
                <w:color w:val="000000"/>
                <w:sz w:val="20"/>
              </w:rPr>
              <w:t>)</w:t>
            </w:r>
            <w:r w:rsidRPr="00D671C4">
              <w:rPr>
                <w:rFonts w:ascii="Arial" w:hAnsi="Arial" w:cs="Arial"/>
                <w:color w:val="000000"/>
                <w:sz w:val="20"/>
              </w:rPr>
              <w:br/>
              <w:t>Forest Hill Chase (ii)</w:t>
            </w:r>
          </w:p>
        </w:tc>
      </w:tr>
      <w:tr w:rsidR="004134D1" w:rsidRPr="008B05B1" w:rsidTr="00B22D99">
        <w:trPr>
          <w:trHeight w:val="570"/>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West Melbourne</w:t>
            </w:r>
          </w:p>
        </w:tc>
        <w:tc>
          <w:tcPr>
            <w:tcW w:w="3969" w:type="dxa"/>
            <w:tcBorders>
              <w:top w:val="nil"/>
              <w:left w:val="nil"/>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Sunshine Marketplace (iii)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proofErr w:type="spellStart"/>
            <w:r w:rsidRPr="00D671C4">
              <w:rPr>
                <w:rFonts w:ascii="Arial" w:hAnsi="Arial" w:cs="Arial"/>
                <w:color w:val="000000"/>
                <w:sz w:val="20"/>
              </w:rPr>
              <w:t>Brimbank</w:t>
            </w:r>
            <w:proofErr w:type="spellEnd"/>
            <w:r w:rsidRPr="00D671C4">
              <w:rPr>
                <w:rFonts w:ascii="Arial" w:hAnsi="Arial" w:cs="Arial"/>
                <w:color w:val="000000"/>
                <w:sz w:val="20"/>
              </w:rPr>
              <w:t xml:space="preserve"> (iii)</w:t>
            </w:r>
            <w:r w:rsidRPr="00D671C4">
              <w:rPr>
                <w:rFonts w:ascii="Arial" w:hAnsi="Arial" w:cs="Arial"/>
                <w:color w:val="000000"/>
                <w:sz w:val="20"/>
              </w:rPr>
              <w:br/>
              <w:t>Altona Gate (iii)</w:t>
            </w:r>
          </w:p>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Keilor Shopping Centre (iii)</w:t>
            </w:r>
          </w:p>
        </w:tc>
      </w:tr>
      <w:tr w:rsidR="004134D1" w:rsidRPr="008B05B1" w:rsidTr="00B22D99">
        <w:trPr>
          <w:trHeight w:val="300"/>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South East Melbourne</w:t>
            </w:r>
          </w:p>
        </w:tc>
        <w:tc>
          <w:tcPr>
            <w:tcW w:w="3969" w:type="dxa"/>
            <w:tcBorders>
              <w:top w:val="nil"/>
              <w:left w:val="nil"/>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Karingal Hub</w:t>
            </w:r>
            <w:r>
              <w:rPr>
                <w:rFonts w:ascii="Arial" w:hAnsi="Arial" w:cs="Arial"/>
                <w:color w:val="000000"/>
                <w:sz w:val="20"/>
              </w:rPr>
              <w:t xml:space="preserve"> (ii</w:t>
            </w:r>
            <w:r w:rsidRPr="00D671C4">
              <w:rPr>
                <w:rFonts w:ascii="Arial" w:hAnsi="Arial" w:cs="Arial"/>
                <w:color w:val="000000"/>
                <w:sz w:val="20"/>
              </w:rPr>
              <w:t>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Bayside</w:t>
            </w:r>
            <w:r>
              <w:rPr>
                <w:rFonts w:ascii="Arial" w:hAnsi="Arial" w:cs="Arial"/>
                <w:color w:val="000000"/>
                <w:sz w:val="20"/>
              </w:rPr>
              <w:t xml:space="preserve"> (ii</w:t>
            </w:r>
            <w:r w:rsidRPr="00D671C4">
              <w:rPr>
                <w:rFonts w:ascii="Arial" w:hAnsi="Arial" w:cs="Arial"/>
                <w:color w:val="000000"/>
                <w:sz w:val="20"/>
              </w:rPr>
              <w:t>)</w:t>
            </w:r>
          </w:p>
        </w:tc>
      </w:tr>
      <w:tr w:rsidR="004134D1" w:rsidRPr="008B05B1" w:rsidTr="00B22D99">
        <w:trPr>
          <w:trHeight w:val="855"/>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 xml:space="preserve">Brisbane </w:t>
            </w:r>
          </w:p>
        </w:tc>
        <w:tc>
          <w:tcPr>
            <w:tcW w:w="3969"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Buranda Village (iii)</w:t>
            </w:r>
            <w:r w:rsidRPr="00D671C4">
              <w:rPr>
                <w:rFonts w:ascii="Arial" w:hAnsi="Arial" w:cs="Arial"/>
                <w:color w:val="000000"/>
                <w:sz w:val="20"/>
              </w:rPr>
              <w:br/>
              <w:t>Mt Ommaney (ii)</w:t>
            </w:r>
            <w:r w:rsidRPr="00D671C4">
              <w:rPr>
                <w:rFonts w:ascii="Arial" w:hAnsi="Arial" w:cs="Arial"/>
                <w:color w:val="000000"/>
                <w:sz w:val="20"/>
              </w:rPr>
              <w:br/>
              <w:t>Toombul (iii)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Myer Centre Brisbane (ii)</w:t>
            </w:r>
            <w:r w:rsidRPr="00D671C4">
              <w:rPr>
                <w:rFonts w:ascii="Arial" w:hAnsi="Arial" w:cs="Arial"/>
                <w:color w:val="000000"/>
                <w:sz w:val="20"/>
              </w:rPr>
              <w:br/>
            </w:r>
            <w:proofErr w:type="spellStart"/>
            <w:r w:rsidRPr="00D671C4">
              <w:rPr>
                <w:rFonts w:ascii="Arial" w:hAnsi="Arial" w:cs="Arial"/>
                <w:color w:val="000000"/>
                <w:sz w:val="20"/>
              </w:rPr>
              <w:t>QueensPlaza</w:t>
            </w:r>
            <w:proofErr w:type="spellEnd"/>
            <w:r w:rsidRPr="00D671C4">
              <w:rPr>
                <w:rFonts w:ascii="Arial" w:hAnsi="Arial" w:cs="Arial"/>
                <w:color w:val="000000"/>
                <w:sz w:val="20"/>
              </w:rPr>
              <w:t xml:space="preserve"> (ii)</w:t>
            </w:r>
          </w:p>
        </w:tc>
      </w:tr>
      <w:tr w:rsidR="004134D1" w:rsidRPr="008B05B1" w:rsidTr="00B22D99">
        <w:trPr>
          <w:trHeight w:val="300"/>
        </w:trPr>
        <w:tc>
          <w:tcPr>
            <w:tcW w:w="2142" w:type="dxa"/>
            <w:tcBorders>
              <w:top w:val="nil"/>
              <w:left w:val="single" w:sz="4" w:space="0" w:color="auto"/>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b/>
                <w:bCs/>
                <w:color w:val="000000"/>
                <w:sz w:val="20"/>
              </w:rPr>
            </w:pPr>
            <w:r w:rsidRPr="00D671C4">
              <w:rPr>
                <w:rFonts w:ascii="Arial" w:hAnsi="Arial" w:cs="Arial"/>
                <w:b/>
                <w:bCs/>
                <w:color w:val="000000"/>
                <w:sz w:val="20"/>
              </w:rPr>
              <w:t>South West Perth</w:t>
            </w:r>
          </w:p>
        </w:tc>
        <w:tc>
          <w:tcPr>
            <w:tcW w:w="3969" w:type="dxa"/>
            <w:tcBorders>
              <w:top w:val="nil"/>
              <w:left w:val="nil"/>
              <w:bottom w:val="single" w:sz="4" w:space="0" w:color="auto"/>
              <w:right w:val="single" w:sz="4" w:space="0" w:color="auto"/>
            </w:tcBorders>
            <w:shd w:val="clear" w:color="auto" w:fill="auto"/>
            <w:noWrap/>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Warnbro Centre (iii)</w:t>
            </w:r>
          </w:p>
        </w:tc>
        <w:tc>
          <w:tcPr>
            <w:tcW w:w="2976" w:type="dxa"/>
            <w:tcBorders>
              <w:top w:val="nil"/>
              <w:left w:val="nil"/>
              <w:bottom w:val="single" w:sz="4" w:space="0" w:color="auto"/>
              <w:right w:val="single" w:sz="4" w:space="0" w:color="auto"/>
            </w:tcBorders>
            <w:shd w:val="clear" w:color="auto" w:fill="auto"/>
            <w:hideMark/>
          </w:tcPr>
          <w:p w:rsidR="004134D1" w:rsidRPr="00D671C4" w:rsidRDefault="004134D1" w:rsidP="00B22D99">
            <w:pPr>
              <w:spacing w:before="20" w:after="20"/>
              <w:rPr>
                <w:rFonts w:ascii="Arial" w:hAnsi="Arial" w:cs="Arial"/>
                <w:color w:val="000000"/>
                <w:sz w:val="20"/>
              </w:rPr>
            </w:pPr>
            <w:r w:rsidRPr="00D671C4">
              <w:rPr>
                <w:rFonts w:ascii="Arial" w:hAnsi="Arial" w:cs="Arial"/>
                <w:color w:val="000000"/>
                <w:sz w:val="20"/>
              </w:rPr>
              <w:t>Rockingham (iii)</w:t>
            </w:r>
          </w:p>
        </w:tc>
      </w:tr>
    </w:tbl>
    <w:p w:rsidR="004134D1" w:rsidRPr="00360C0D" w:rsidRDefault="004134D1" w:rsidP="004134D1">
      <w:pPr>
        <w:pStyle w:val="Heading3"/>
      </w:pPr>
      <w:r w:rsidRPr="00360C0D">
        <w:t>The ACCC’s decision</w:t>
      </w:r>
    </w:p>
    <w:p w:rsidR="004134D1" w:rsidRDefault="004134D1" w:rsidP="004134D1">
      <w:pPr>
        <w:pStyle w:val="NormalParagraph"/>
      </w:pPr>
      <w:r w:rsidRPr="00A53505">
        <w:t xml:space="preserve">On </w:t>
      </w:r>
      <w:r>
        <w:t>21 May 2015,</w:t>
      </w:r>
      <w:r w:rsidRPr="00A53505">
        <w:t xml:space="preserve"> the </w:t>
      </w:r>
      <w:r>
        <w:t>ACCC</w:t>
      </w:r>
      <w:r w:rsidRPr="00A53505">
        <w:t xml:space="preserve"> announced its </w:t>
      </w:r>
      <w:r w:rsidRPr="002B614D">
        <w:t xml:space="preserve">decision not to oppose </w:t>
      </w:r>
      <w:r>
        <w:t>the proposed merger after accepting</w:t>
      </w:r>
      <w:r w:rsidR="005A21D7">
        <w:t xml:space="preserve"> court </w:t>
      </w:r>
      <w:r w:rsidR="00BD4FB5">
        <w:t>enforceable</w:t>
      </w:r>
      <w:r>
        <w:t xml:space="preserve"> undertaking</w:t>
      </w:r>
      <w:r w:rsidR="007952E3">
        <w:t>s</w:t>
      </w:r>
      <w:r>
        <w:t xml:space="preserve"> from the merger parties to divest one of their shopping centres in South East Melbourne. </w:t>
      </w:r>
    </w:p>
    <w:p w:rsidR="004134D1" w:rsidRPr="00C7223C" w:rsidRDefault="00E3378E" w:rsidP="004134D1">
      <w:pPr>
        <w:pStyle w:val="NormalParagraph"/>
      </w:pPr>
      <w:r>
        <w:rPr>
          <w:rFonts w:cs="Arial"/>
        </w:rPr>
        <w:lastRenderedPageBreak/>
        <w:t>As</w:t>
      </w:r>
      <w:r w:rsidR="004134D1">
        <w:rPr>
          <w:rFonts w:cs="Arial"/>
        </w:rPr>
        <w:t xml:space="preserve"> the second largest manager of shopping centre assets in Australia behind </w:t>
      </w:r>
      <w:proofErr w:type="spellStart"/>
      <w:r w:rsidR="004134D1">
        <w:rPr>
          <w:rFonts w:cs="Arial"/>
        </w:rPr>
        <w:t>Scentre</w:t>
      </w:r>
      <w:proofErr w:type="spellEnd"/>
      <w:r w:rsidR="004134D1">
        <w:rPr>
          <w:rFonts w:cs="Arial"/>
        </w:rPr>
        <w:t xml:space="preserve"> (Westfield</w:t>
      </w:r>
      <w:r>
        <w:rPr>
          <w:rFonts w:cs="Arial"/>
        </w:rPr>
        <w:t>), the merged entity</w:t>
      </w:r>
      <w:r w:rsidR="004134D1">
        <w:rPr>
          <w:rFonts w:cs="Arial"/>
        </w:rPr>
        <w:t xml:space="preserve"> would manage approximately 15% of shopping centres in Australia by value. Other than Westfield and the merged entity, there would remain a number of large shopping centre managers with portfolios of significant value.</w:t>
      </w:r>
    </w:p>
    <w:p w:rsidR="004134D1" w:rsidRDefault="00450A58" w:rsidP="004134D1">
      <w:pPr>
        <w:pStyle w:val="NormalParagraph"/>
      </w:pPr>
      <w:r>
        <w:t>For the purposes of this competition assessment, t</w:t>
      </w:r>
      <w:r w:rsidR="004134D1" w:rsidRPr="00F35258">
        <w:t xml:space="preserve">he </w:t>
      </w:r>
      <w:r w:rsidR="004134D1">
        <w:t>main</w:t>
      </w:r>
      <w:r w:rsidR="004134D1" w:rsidRPr="00F35258">
        <w:t xml:space="preserve"> overlap </w:t>
      </w:r>
      <w:r w:rsidR="00E3378E">
        <w:t>between the merger parties i</w:t>
      </w:r>
      <w:r w:rsidR="004134D1" w:rsidRPr="00F35258">
        <w:t>s in Frankston</w:t>
      </w:r>
      <w:r w:rsidR="004134D1">
        <w:t>, in</w:t>
      </w:r>
      <w:r w:rsidR="004134D1" w:rsidRPr="00F35258">
        <w:t xml:space="preserve"> </w:t>
      </w:r>
      <w:r w:rsidR="00E3378E">
        <w:t>South East</w:t>
      </w:r>
      <w:r w:rsidR="004134D1" w:rsidRPr="00F35258">
        <w:t xml:space="preserve"> Melbourne. </w:t>
      </w:r>
      <w:proofErr w:type="spellStart"/>
      <w:r w:rsidR="004134D1">
        <w:t>Novion</w:t>
      </w:r>
      <w:proofErr w:type="spellEnd"/>
      <w:r w:rsidR="004134D1">
        <w:t xml:space="preserve"> owns and operates Bayside Shopping Centre (</w:t>
      </w:r>
      <w:r w:rsidR="004134D1">
        <w:rPr>
          <w:b/>
        </w:rPr>
        <w:t>Bayside</w:t>
      </w:r>
      <w:r w:rsidR="004134D1">
        <w:t xml:space="preserve">) in Frankston’s regional business district and </w:t>
      </w:r>
      <w:r w:rsidR="004134D1" w:rsidRPr="00F35258">
        <w:t>Federation Centres has a 50% interest</w:t>
      </w:r>
      <w:r w:rsidR="004134D1">
        <w:t xml:space="preserve"> in</w:t>
      </w:r>
      <w:r w:rsidR="004134D1" w:rsidRPr="00F35258">
        <w:t xml:space="preserve"> and manages</w:t>
      </w:r>
      <w:r w:rsidR="004134D1">
        <w:t xml:space="preserve"> the </w:t>
      </w:r>
      <w:r w:rsidR="004134D1" w:rsidRPr="00F35258">
        <w:t>Karingal Hub Shopping Centre</w:t>
      </w:r>
      <w:r w:rsidR="004134D1">
        <w:t xml:space="preserve"> (</w:t>
      </w:r>
      <w:r w:rsidR="004134D1">
        <w:rPr>
          <w:b/>
        </w:rPr>
        <w:t>Karingal</w:t>
      </w:r>
      <w:r w:rsidR="004134D1">
        <w:t>), located 4.4km from Bayside</w:t>
      </w:r>
      <w:r w:rsidR="004134D1" w:rsidRPr="00F35258">
        <w:t>.</w:t>
      </w:r>
      <w:r w:rsidR="004134D1">
        <w:t xml:space="preserve"> </w:t>
      </w:r>
    </w:p>
    <w:p w:rsidR="004134D1" w:rsidRDefault="004134D1" w:rsidP="004134D1">
      <w:pPr>
        <w:pStyle w:val="NormalParagraph"/>
      </w:pPr>
      <w:r>
        <w:t>The ACCC considered that the merger parties were each oth</w:t>
      </w:r>
      <w:r w:rsidR="00E3378E">
        <w:t>er’s closest competitor in the South East</w:t>
      </w:r>
      <w:r>
        <w:t xml:space="preserve"> Melbourne market</w:t>
      </w:r>
      <w:r w:rsidR="00450A58">
        <w:t>. In fact,</w:t>
      </w:r>
      <w:r>
        <w:t xml:space="preserve"> they are the only shopping centres of any scale within approximately 20 kilometres of </w:t>
      </w:r>
      <w:r w:rsidR="00EC284A">
        <w:t xml:space="preserve">the </w:t>
      </w:r>
      <w:r>
        <w:t>Frankston</w:t>
      </w:r>
      <w:r w:rsidR="00EC284A">
        <w:t xml:space="preserve"> CBD</w:t>
      </w:r>
      <w:r>
        <w:t xml:space="preserve">. Other shopping centres in the </w:t>
      </w:r>
      <w:r w:rsidR="00EC284A">
        <w:t xml:space="preserve">region </w:t>
      </w:r>
      <w:r>
        <w:t>are markedly smaller in size and do not have the equivalent amenities or</w:t>
      </w:r>
      <w:r w:rsidR="00EC284A">
        <w:t xml:space="preserve"> range of</w:t>
      </w:r>
      <w:r>
        <w:t xml:space="preserve"> retailers that are valued by customers engaging in multi-purpose shopping. </w:t>
      </w:r>
      <w:r w:rsidR="00837EA1">
        <w:t>Further information about the ACCC’s approach to defining markets is contained in the market definition section below.</w:t>
      </w:r>
    </w:p>
    <w:p w:rsidR="00041635" w:rsidRDefault="00041635" w:rsidP="00041635">
      <w:pPr>
        <w:pStyle w:val="NormalParagraph"/>
      </w:pPr>
      <w:r>
        <w:t xml:space="preserve">The ACCC considered that there were unlikely to be competition concerns in the other areas of overlap either due to the presence of other competitors that could constrain the merged entity, or because the parties were not in close competition with each other in these areas. </w:t>
      </w:r>
    </w:p>
    <w:p w:rsidR="004134D1" w:rsidRDefault="004134D1" w:rsidP="004134D1">
      <w:pPr>
        <w:pStyle w:val="NormalParagraph"/>
      </w:pPr>
      <w:r>
        <w:t>After detailed analysis of the market</w:t>
      </w:r>
      <w:r w:rsidR="00914915">
        <w:t>s</w:t>
      </w:r>
      <w:r>
        <w:t>, the ACCC concluded that the proposed merger was likely to raise significant competition concerns in the South East Melbourne market.</w:t>
      </w:r>
    </w:p>
    <w:p w:rsidR="004134D1" w:rsidRDefault="004134D1" w:rsidP="004134D1">
      <w:pPr>
        <w:pStyle w:val="NormalParagraph"/>
      </w:pPr>
      <w:r>
        <w:t xml:space="preserve">Further details regarding the ACCC’s reasoning are provided below. </w:t>
      </w:r>
    </w:p>
    <w:p w:rsidR="004134D1" w:rsidRDefault="004134D1" w:rsidP="004134D1">
      <w:pPr>
        <w:pStyle w:val="Heading3"/>
      </w:pPr>
      <w:r w:rsidRPr="00301B7C">
        <w:t>The parties</w:t>
      </w:r>
    </w:p>
    <w:p w:rsidR="004134D1" w:rsidRPr="006A7FE8" w:rsidRDefault="004134D1" w:rsidP="004134D1">
      <w:pPr>
        <w:pStyle w:val="Heading4"/>
      </w:pPr>
      <w:r>
        <w:t>Federation Centres</w:t>
      </w:r>
    </w:p>
    <w:p w:rsidR="004134D1" w:rsidRPr="00C07ABA" w:rsidRDefault="004134D1" w:rsidP="004134D1">
      <w:pPr>
        <w:pStyle w:val="NormalParagraph"/>
      </w:pPr>
      <w:r>
        <w:t xml:space="preserve">Federation Centres is an Australian real estate investment trust that is involved in retail property investment, management and development. Federation Centres </w:t>
      </w:r>
      <w:r w:rsidRPr="00C07ABA">
        <w:t>has traded on the ASX since 2011 and was previously named Centro Retail Australia. Federation Centres operates across Australia and owns or co-owns 65 Australian properties.</w:t>
      </w:r>
    </w:p>
    <w:p w:rsidR="004134D1" w:rsidRDefault="004134D1" w:rsidP="004134D1">
      <w:pPr>
        <w:pStyle w:val="Heading4"/>
      </w:pPr>
      <w:bookmarkStart w:id="2" w:name="Target3"/>
      <w:bookmarkEnd w:id="2"/>
      <w:r>
        <w:t>Novion</w:t>
      </w:r>
    </w:p>
    <w:p w:rsidR="004134D1" w:rsidRDefault="004134D1" w:rsidP="004134D1">
      <w:pPr>
        <w:pStyle w:val="NormalParagraph"/>
      </w:pPr>
      <w:r>
        <w:t>Novion is a real estate investment trust that was first listed on the ASX in 1994. As at 31 December 2014</w:t>
      </w:r>
      <w:r w:rsidR="003B3FD1">
        <w:t>,</w:t>
      </w:r>
      <w:r>
        <w:t xml:space="preserve"> Novion had 36 retail assets under management. Prior to September 2014, Novion was known as </w:t>
      </w:r>
      <w:r w:rsidRPr="00C24C43">
        <w:t>CFS</w:t>
      </w:r>
      <w:r>
        <w:t xml:space="preserve"> (Colonial First State)</w:t>
      </w:r>
      <w:r w:rsidRPr="00C24C43">
        <w:t xml:space="preserve"> Retail Property </w:t>
      </w:r>
      <w:r w:rsidRPr="00FE1BB0">
        <w:t xml:space="preserve">Trust Group. </w:t>
      </w:r>
      <w:proofErr w:type="spellStart"/>
      <w:r w:rsidRPr="00FE1BB0">
        <w:t>Novion</w:t>
      </w:r>
      <w:proofErr w:type="spellEnd"/>
      <w:r w:rsidRPr="00FE1BB0">
        <w:t xml:space="preserve"> owns or co-owns 27 shopping centres, including a number of</w:t>
      </w:r>
      <w:r>
        <w:t xml:space="preserve"> premium shopping centres with high end retail offerings such as Chadstone and Emporium Melbourne. </w:t>
      </w:r>
      <w:proofErr w:type="spellStart"/>
      <w:r>
        <w:t>Novion</w:t>
      </w:r>
      <w:proofErr w:type="spellEnd"/>
      <w:r>
        <w:t xml:space="preserve"> also owns four retail outlet centres that trade under the DFO brand name. </w:t>
      </w:r>
    </w:p>
    <w:p w:rsidR="004134D1" w:rsidRPr="00176CB6" w:rsidRDefault="004134D1" w:rsidP="00193A3C">
      <w:pPr>
        <w:pStyle w:val="Heading3"/>
      </w:pPr>
      <w:r w:rsidRPr="00176CB6">
        <w:lastRenderedPageBreak/>
        <w:t xml:space="preserve">Other industry participants </w:t>
      </w:r>
    </w:p>
    <w:p w:rsidR="004134D1" w:rsidRPr="00176CB6" w:rsidRDefault="004134D1" w:rsidP="00E3378E">
      <w:pPr>
        <w:pStyle w:val="Heading4"/>
        <w:spacing w:before="120"/>
      </w:pPr>
      <w:proofErr w:type="spellStart"/>
      <w:r w:rsidRPr="00176CB6">
        <w:t>Scentre</w:t>
      </w:r>
      <w:proofErr w:type="spellEnd"/>
      <w:r w:rsidRPr="00176CB6">
        <w:t xml:space="preserve"> Group</w:t>
      </w:r>
    </w:p>
    <w:p w:rsidR="004134D1" w:rsidRPr="00176CB6" w:rsidRDefault="004134D1" w:rsidP="004134D1">
      <w:pPr>
        <w:pStyle w:val="NormalParagraph"/>
      </w:pPr>
      <w:proofErr w:type="spellStart"/>
      <w:r w:rsidRPr="00176CB6">
        <w:t>Scentre</w:t>
      </w:r>
      <w:proofErr w:type="spellEnd"/>
      <w:r w:rsidRPr="00176CB6">
        <w:t xml:space="preserve"> Group (</w:t>
      </w:r>
      <w:proofErr w:type="spellStart"/>
      <w:r w:rsidRPr="00176CB6">
        <w:rPr>
          <w:b/>
        </w:rPr>
        <w:t>Scentre</w:t>
      </w:r>
      <w:proofErr w:type="spellEnd"/>
      <w:r w:rsidRPr="00176CB6">
        <w:t xml:space="preserve">) was established following the merger of the Westfield Retail Trust and Westfield Group. </w:t>
      </w:r>
      <w:proofErr w:type="spellStart"/>
      <w:r w:rsidRPr="00176CB6">
        <w:t>Scentre</w:t>
      </w:r>
      <w:proofErr w:type="spellEnd"/>
      <w:r w:rsidRPr="00176CB6">
        <w:t xml:space="preserve"> controls all of Westfield’s retail property for Australia and New Zealand, including 38 Australian shopping centres </w:t>
      </w:r>
      <w:r w:rsidR="00DB1E8A">
        <w:t>containing</w:t>
      </w:r>
      <w:r w:rsidRPr="00176CB6">
        <w:t xml:space="preserve"> 12,500 retailers, with assets totalling $28 billion. </w:t>
      </w:r>
    </w:p>
    <w:p w:rsidR="004134D1" w:rsidRPr="00176CB6" w:rsidRDefault="004134D1" w:rsidP="00E3378E">
      <w:pPr>
        <w:pStyle w:val="Heading4"/>
        <w:spacing w:before="120"/>
      </w:pPr>
      <w:r w:rsidRPr="00176CB6">
        <w:t>GPT Group</w:t>
      </w:r>
    </w:p>
    <w:p w:rsidR="004134D1" w:rsidRPr="00176CB6" w:rsidRDefault="004134D1" w:rsidP="004134D1">
      <w:pPr>
        <w:pStyle w:val="NormalParagraph"/>
      </w:pPr>
      <w:r w:rsidRPr="00176CB6">
        <w:t>GPT Group (</w:t>
      </w:r>
      <w:r w:rsidRPr="00176CB6">
        <w:rPr>
          <w:b/>
        </w:rPr>
        <w:t>GPT</w:t>
      </w:r>
      <w:r w:rsidRPr="00176CB6">
        <w:t xml:space="preserve">) is a property group that manages $15.2 billion of assets, comprising 15 shopping centres throughout Australia (including Highpoint and Melbourne Central). GPT recently completed $300 million worth of redevelopments at Highpoint and in March 2014 acquired a half stake in Northland Shopping Centre. </w:t>
      </w:r>
    </w:p>
    <w:p w:rsidR="004134D1" w:rsidRPr="00176CB6" w:rsidRDefault="004134D1" w:rsidP="00E3378E">
      <w:pPr>
        <w:pStyle w:val="Heading4"/>
        <w:spacing w:before="120"/>
      </w:pPr>
      <w:r w:rsidRPr="00176CB6">
        <w:t>Charter Hall Group</w:t>
      </w:r>
    </w:p>
    <w:p w:rsidR="004134D1" w:rsidRPr="00176CB6" w:rsidRDefault="004134D1" w:rsidP="004134D1">
      <w:pPr>
        <w:pStyle w:val="NormalParagraph"/>
        <w:ind w:left="425" w:hanging="425"/>
      </w:pPr>
      <w:r w:rsidRPr="00176CB6">
        <w:t>Charter Hall Group (</w:t>
      </w:r>
      <w:r w:rsidRPr="00176CB6">
        <w:rPr>
          <w:b/>
        </w:rPr>
        <w:t>Charter Hall</w:t>
      </w:r>
      <w:r w:rsidRPr="00176CB6">
        <w:t xml:space="preserve">) operates over 90 retail properties in Australia, </w:t>
      </w:r>
      <w:r w:rsidR="00960382">
        <w:t xml:space="preserve">predominantly </w:t>
      </w:r>
      <w:r w:rsidRPr="00176CB6">
        <w:t>comprising supermarket-based shopping centres with a total retail portfolio worth $3.3 billion.</w:t>
      </w:r>
    </w:p>
    <w:p w:rsidR="004134D1" w:rsidRPr="00176CB6" w:rsidRDefault="004134D1" w:rsidP="00E3378E">
      <w:pPr>
        <w:pStyle w:val="Heading4"/>
        <w:spacing w:before="120"/>
      </w:pPr>
      <w:r w:rsidRPr="00176CB6">
        <w:t>Lend Lease Corporation</w:t>
      </w:r>
    </w:p>
    <w:p w:rsidR="004134D1" w:rsidRPr="00176CB6" w:rsidRDefault="004134D1" w:rsidP="004134D1">
      <w:pPr>
        <w:pStyle w:val="NormalParagraph"/>
      </w:pPr>
      <w:r w:rsidRPr="00176CB6">
        <w:t>Lend Lease Corporation (</w:t>
      </w:r>
      <w:r w:rsidRPr="00176CB6">
        <w:rPr>
          <w:b/>
        </w:rPr>
        <w:t>Lend Lease</w:t>
      </w:r>
      <w:r w:rsidRPr="00176CB6">
        <w:t>) is responsible for the management of 16 regional and sub-regional shopping centres across Australia on behalf of investment funds and</w:t>
      </w:r>
      <w:r w:rsidR="007C048A">
        <w:t xml:space="preserve"> retail investment</w:t>
      </w:r>
      <w:r w:rsidRPr="00176CB6">
        <w:t xml:space="preserve"> partners. The company’s retail portfolio is valued at $4.7 billion. </w:t>
      </w:r>
    </w:p>
    <w:p w:rsidR="004134D1" w:rsidRPr="00176CB6" w:rsidRDefault="004134D1" w:rsidP="00E3378E">
      <w:pPr>
        <w:pStyle w:val="Heading4"/>
        <w:spacing w:before="120"/>
      </w:pPr>
      <w:r w:rsidRPr="00176CB6">
        <w:t>SCA Property Group</w:t>
      </w:r>
    </w:p>
    <w:p w:rsidR="004134D1" w:rsidRPr="00176CB6" w:rsidRDefault="004134D1" w:rsidP="004134D1">
      <w:pPr>
        <w:pStyle w:val="NormalParagraph"/>
      </w:pPr>
      <w:r w:rsidRPr="00176CB6">
        <w:t>SCA Property Group (</w:t>
      </w:r>
      <w:r w:rsidRPr="00176CB6">
        <w:rPr>
          <w:b/>
        </w:rPr>
        <w:t>SCA</w:t>
      </w:r>
      <w:r w:rsidRPr="00176CB6">
        <w:t xml:space="preserve">) owns a diversified shopping centre portfolio across Australia, with </w:t>
      </w:r>
      <w:r w:rsidR="007C048A">
        <w:t xml:space="preserve">supermarket </w:t>
      </w:r>
      <w:r w:rsidRPr="00176CB6">
        <w:t>retailers</w:t>
      </w:r>
      <w:r w:rsidR="007C048A">
        <w:t xml:space="preserve"> its main tenants</w:t>
      </w:r>
      <w:r w:rsidRPr="00176CB6">
        <w:t xml:space="preserve">. SCA manages 63 sub-regional and neighbourhood shopping centres valued at $1.3 billion. </w:t>
      </w:r>
    </w:p>
    <w:p w:rsidR="004134D1" w:rsidRPr="00176CB6" w:rsidRDefault="004134D1" w:rsidP="00E3378E">
      <w:pPr>
        <w:pStyle w:val="Heading4"/>
        <w:spacing w:before="120"/>
      </w:pPr>
      <w:r w:rsidRPr="00176CB6">
        <w:t>Stockland Corporation Limited</w:t>
      </w:r>
    </w:p>
    <w:p w:rsidR="004134D1" w:rsidRPr="00176CB6" w:rsidRDefault="004134D1" w:rsidP="004134D1">
      <w:pPr>
        <w:pStyle w:val="NormalParagraph"/>
      </w:pPr>
      <w:r w:rsidRPr="00176CB6">
        <w:t>Stockland Corporation Limited (</w:t>
      </w:r>
      <w:r w:rsidRPr="00176CB6">
        <w:rPr>
          <w:b/>
        </w:rPr>
        <w:t>Stockland</w:t>
      </w:r>
      <w:r w:rsidRPr="00176CB6">
        <w:t xml:space="preserve">) has a portfolio of 40 retail centres valued at over $3 billion. </w:t>
      </w:r>
    </w:p>
    <w:p w:rsidR="004134D1" w:rsidRPr="00176CB6" w:rsidRDefault="004134D1" w:rsidP="00E3378E">
      <w:pPr>
        <w:pStyle w:val="Heading4"/>
        <w:spacing w:before="120"/>
      </w:pPr>
      <w:proofErr w:type="spellStart"/>
      <w:r w:rsidRPr="00176CB6">
        <w:t>Dexus</w:t>
      </w:r>
      <w:proofErr w:type="spellEnd"/>
      <w:r w:rsidRPr="00176CB6">
        <w:t xml:space="preserve"> Property Group</w:t>
      </w:r>
    </w:p>
    <w:p w:rsidR="004134D1" w:rsidRPr="00176CB6" w:rsidRDefault="004134D1" w:rsidP="004134D1">
      <w:pPr>
        <w:pStyle w:val="NormalParagraph"/>
      </w:pPr>
      <w:proofErr w:type="spellStart"/>
      <w:r w:rsidRPr="00176CB6">
        <w:t>Dexus</w:t>
      </w:r>
      <w:proofErr w:type="spellEnd"/>
      <w:r w:rsidRPr="00176CB6">
        <w:t xml:space="preserve"> Property Group (</w:t>
      </w:r>
      <w:proofErr w:type="spellStart"/>
      <w:r w:rsidRPr="00176CB6">
        <w:rPr>
          <w:b/>
        </w:rPr>
        <w:t>Dexus</w:t>
      </w:r>
      <w:proofErr w:type="spellEnd"/>
      <w:r w:rsidRPr="00176CB6">
        <w:t xml:space="preserve">) manages a diverse $3.8 billion portfolio of retail properties located across the eastern seaboard of Australia. </w:t>
      </w:r>
      <w:proofErr w:type="spellStart"/>
      <w:r w:rsidRPr="00176CB6">
        <w:t>Dexus</w:t>
      </w:r>
      <w:proofErr w:type="spellEnd"/>
      <w:r w:rsidRPr="00176CB6">
        <w:t xml:space="preserve"> manages nine sub-regional shopping centres and investments in seven Westfield shopping centres</w:t>
      </w:r>
      <w:r w:rsidR="00960382">
        <w:t>.</w:t>
      </w:r>
    </w:p>
    <w:p w:rsidR="004134D1" w:rsidRPr="00176CB6" w:rsidRDefault="004134D1" w:rsidP="00E3378E">
      <w:pPr>
        <w:pStyle w:val="Heading4"/>
        <w:spacing w:before="120"/>
      </w:pPr>
      <w:r w:rsidRPr="00176CB6">
        <w:t>Other</w:t>
      </w:r>
    </w:p>
    <w:p w:rsidR="004134D1" w:rsidRPr="00176CB6" w:rsidRDefault="004134D1" w:rsidP="004134D1">
      <w:pPr>
        <w:pStyle w:val="NormalParagraph"/>
      </w:pPr>
      <w:r w:rsidRPr="00176CB6">
        <w:t xml:space="preserve">Other notable shopping centre </w:t>
      </w:r>
      <w:r w:rsidR="00125FA6">
        <w:t xml:space="preserve">owners and/or </w:t>
      </w:r>
      <w:r w:rsidRPr="00176CB6">
        <w:t>operators include AMP Capital Investors (</w:t>
      </w:r>
      <w:r w:rsidRPr="00176CB6">
        <w:rPr>
          <w:b/>
        </w:rPr>
        <w:t>AMP</w:t>
      </w:r>
      <w:r w:rsidRPr="00176CB6">
        <w:t xml:space="preserve">), which has an ownership interest in 15 Australian shopping </w:t>
      </w:r>
      <w:r w:rsidRPr="00176CB6">
        <w:lastRenderedPageBreak/>
        <w:t>centres, and QIC Limited (</w:t>
      </w:r>
      <w:r w:rsidRPr="00176CB6">
        <w:rPr>
          <w:b/>
        </w:rPr>
        <w:t>QIC</w:t>
      </w:r>
      <w:r w:rsidRPr="00176CB6">
        <w:t>) which has an ownership interest in 11 Australian shopping centres.</w:t>
      </w:r>
    </w:p>
    <w:p w:rsidR="004134D1" w:rsidRPr="00D27AD9" w:rsidRDefault="004134D1" w:rsidP="00193A3C">
      <w:pPr>
        <w:pStyle w:val="Heading3"/>
        <w:ind w:left="567" w:hanging="567"/>
        <w:rPr>
          <w:rFonts w:cs="Arial"/>
          <w:color w:val="000000"/>
        </w:rPr>
      </w:pPr>
      <w:r w:rsidRPr="00D27AD9">
        <w:rPr>
          <w:rFonts w:cs="Arial"/>
          <w:color w:val="000000"/>
        </w:rPr>
        <w:t>Industry background</w:t>
      </w:r>
    </w:p>
    <w:p w:rsidR="004134D1" w:rsidRDefault="004134D1" w:rsidP="004134D1">
      <w:pPr>
        <w:pStyle w:val="Heading4"/>
      </w:pPr>
      <w:r>
        <w:t>Types of shopping centres</w:t>
      </w:r>
    </w:p>
    <w:p w:rsidR="004134D1" w:rsidRDefault="00914915" w:rsidP="004134D1">
      <w:pPr>
        <w:pStyle w:val="NormalParagraph"/>
      </w:pPr>
      <w:r>
        <w:t>S</w:t>
      </w:r>
      <w:r w:rsidR="004134D1">
        <w:t xml:space="preserve">hopping centres are retail </w:t>
      </w:r>
      <w:r>
        <w:t xml:space="preserve">complexes </w:t>
      </w:r>
      <w:r w:rsidR="004134D1">
        <w:t>owned by a single entity, i</w:t>
      </w:r>
      <w:r w:rsidR="004134D1" w:rsidRPr="00C7223C">
        <w:t>n contrast to shopping areas, such as shopping strips</w:t>
      </w:r>
      <w:r w:rsidR="00D43343">
        <w:t>,</w:t>
      </w:r>
      <w:r w:rsidR="004134D1" w:rsidRPr="00C7223C">
        <w:t xml:space="preserve"> where retail space is owned by a number of owners</w:t>
      </w:r>
      <w:r w:rsidR="004134D1">
        <w:t xml:space="preserve">. </w:t>
      </w:r>
    </w:p>
    <w:p w:rsidR="004134D1" w:rsidRPr="00C7223C" w:rsidRDefault="004134D1" w:rsidP="004134D1">
      <w:pPr>
        <w:pStyle w:val="NormalParagraph"/>
      </w:pPr>
      <w:r w:rsidRPr="00C7223C">
        <w:t>The owner</w:t>
      </w:r>
      <w:r w:rsidR="00DB1E8A">
        <w:t xml:space="preserve"> (or a manager, which may be one of the owners)</w:t>
      </w:r>
      <w:r w:rsidRPr="00C7223C">
        <w:t xml:space="preserve"> of a shopping centre </w:t>
      </w:r>
      <w:r w:rsidR="00125FA6">
        <w:t>decides</w:t>
      </w:r>
      <w:r w:rsidR="00125FA6" w:rsidRPr="00C7223C">
        <w:t xml:space="preserve"> </w:t>
      </w:r>
      <w:r w:rsidRPr="00C7223C">
        <w:t>the layout and composition of stores within the centre and lease</w:t>
      </w:r>
      <w:r>
        <w:t>s</w:t>
      </w:r>
      <w:r w:rsidRPr="00C7223C">
        <w:t xml:space="preserve"> retail space to a range of tenants </w:t>
      </w:r>
      <w:r w:rsidR="003B3FD1">
        <w:t>that</w:t>
      </w:r>
      <w:r w:rsidRPr="00C7223C">
        <w:t xml:space="preserve"> sell products and services. </w:t>
      </w:r>
      <w:r w:rsidR="00D11397">
        <w:t>The o</w:t>
      </w:r>
      <w:r>
        <w:t>wner</w:t>
      </w:r>
      <w:r w:rsidR="00DB1E8A">
        <w:t xml:space="preserve"> (or manager)</w:t>
      </w:r>
      <w:r w:rsidRPr="00C7223C">
        <w:t xml:space="preserve"> make</w:t>
      </w:r>
      <w:r w:rsidR="00D11397">
        <w:t>s</w:t>
      </w:r>
      <w:r w:rsidRPr="00C7223C">
        <w:t xml:space="preserve"> decisions about the overall retail mix and location of stores at the centre to maximise the total profit that </w:t>
      </w:r>
      <w:r w:rsidR="00DB1E8A">
        <w:t xml:space="preserve">it </w:t>
      </w:r>
      <w:r w:rsidRPr="00C7223C">
        <w:t xml:space="preserve">can derive from the centre. Shopping centre operators also invest in amenities such as car parking, children’s play areas, shuttle buses, information kiosks, </w:t>
      </w:r>
      <w:proofErr w:type="spellStart"/>
      <w:r w:rsidRPr="00C7223C">
        <w:t>WiFi</w:t>
      </w:r>
      <w:proofErr w:type="spellEnd"/>
      <w:r w:rsidR="00BD4FB5">
        <w:t xml:space="preserve"> and spaces for ATMs</w:t>
      </w:r>
      <w:r w:rsidRPr="00C7223C">
        <w:t xml:space="preserve">. </w:t>
      </w:r>
    </w:p>
    <w:p w:rsidR="004134D1" w:rsidRPr="00C7223C" w:rsidRDefault="004134D1" w:rsidP="004134D1">
      <w:pPr>
        <w:pStyle w:val="NormalParagraph"/>
      </w:pPr>
      <w:r w:rsidRPr="00C7223C">
        <w:t xml:space="preserve">The profit that can be earned </w:t>
      </w:r>
      <w:r w:rsidR="00DB1E8A">
        <w:t xml:space="preserve">(by the </w:t>
      </w:r>
      <w:r w:rsidR="00914915">
        <w:t xml:space="preserve">owner </w:t>
      </w:r>
      <w:r w:rsidR="00DB1E8A">
        <w:t xml:space="preserve">and </w:t>
      </w:r>
      <w:r w:rsidR="00D11397">
        <w:t xml:space="preserve">by </w:t>
      </w:r>
      <w:r w:rsidR="00DB1E8A">
        <w:t xml:space="preserve">the retailers) </w:t>
      </w:r>
      <w:r w:rsidRPr="00C7223C">
        <w:t>will depend on</w:t>
      </w:r>
      <w:r w:rsidR="00757DFA">
        <w:t>, amongst other things,</w:t>
      </w:r>
      <w:r w:rsidRPr="00C7223C">
        <w:t xml:space="preserve"> the strength of</w:t>
      </w:r>
      <w:r>
        <w:t xml:space="preserve"> </w:t>
      </w:r>
      <w:r w:rsidRPr="00C7223C">
        <w:t xml:space="preserve">competition from other </w:t>
      </w:r>
      <w:r w:rsidR="003B3FD1">
        <w:t>retail service providers</w:t>
      </w:r>
      <w:r w:rsidR="00125FA6">
        <w:t xml:space="preserve">, such as </w:t>
      </w:r>
      <w:r w:rsidRPr="00C7223C">
        <w:t>shopping centres and shopping strips. Decisions about whether to redevelop or renovate a shopping centre will be determined by whether such an investment will increase the overall profit that can be derived from the centre.</w:t>
      </w:r>
    </w:p>
    <w:p w:rsidR="004134D1" w:rsidRDefault="004134D1" w:rsidP="00193A3C">
      <w:pPr>
        <w:pStyle w:val="Heading4"/>
        <w:spacing w:before="120"/>
      </w:pPr>
      <w:r>
        <w:t xml:space="preserve">Consumer behaviour </w:t>
      </w:r>
    </w:p>
    <w:p w:rsidR="004134D1" w:rsidRPr="00C7223C" w:rsidRDefault="004134D1" w:rsidP="004134D1">
      <w:pPr>
        <w:pStyle w:val="NormalParagraph"/>
      </w:pPr>
      <w:r w:rsidRPr="00C7223C">
        <w:t>Consumers’ shopping trips, and the products and services purchase</w:t>
      </w:r>
      <w:r w:rsidR="003B3FD1">
        <w:t>d</w:t>
      </w:r>
      <w:r w:rsidRPr="00C7223C">
        <w:t xml:space="preserve"> during these trips, can be classified into several types. The</w:t>
      </w:r>
      <w:r>
        <w:t xml:space="preserve"> ACCC considered that the</w:t>
      </w:r>
      <w:r w:rsidRPr="00C7223C">
        <w:t xml:space="preserve"> types most relevant to the proposed</w:t>
      </w:r>
      <w:r w:rsidR="00193A3C">
        <w:t xml:space="preserve"> merger are</w:t>
      </w:r>
      <w:r w:rsidRPr="00C7223C">
        <w:t xml:space="preserve"> convenience shopping, comparison shopping, multi-purpose </w:t>
      </w:r>
      <w:r w:rsidR="003B3FD1">
        <w:t xml:space="preserve">shopping </w:t>
      </w:r>
      <w:r w:rsidRPr="00C7223C">
        <w:t>and single-purpose shopping:</w:t>
      </w:r>
    </w:p>
    <w:p w:rsidR="004134D1" w:rsidRPr="00C7223C" w:rsidRDefault="004134D1" w:rsidP="004134D1">
      <w:pPr>
        <w:pStyle w:val="NormalParagraph"/>
        <w:numPr>
          <w:ilvl w:val="0"/>
          <w:numId w:val="29"/>
        </w:numPr>
      </w:pPr>
      <w:proofErr w:type="gramStart"/>
      <w:r w:rsidRPr="00C7223C">
        <w:rPr>
          <w:b/>
        </w:rPr>
        <w:t>convenience</w:t>
      </w:r>
      <w:proofErr w:type="gramEnd"/>
      <w:r w:rsidRPr="00C7223C">
        <w:rPr>
          <w:b/>
        </w:rPr>
        <w:t xml:space="preserve"> shopping</w:t>
      </w:r>
      <w:r w:rsidRPr="00C7223C">
        <w:t xml:space="preserve"> – the purchase of low priced items with little differentiation between retail outlets</w:t>
      </w:r>
      <w:r w:rsidR="00EC1851">
        <w:t>, such as basic foodstuffs</w:t>
      </w:r>
      <w:r w:rsidRPr="00C7223C">
        <w:t xml:space="preserve">. </w:t>
      </w:r>
      <w:r>
        <w:t>C</w:t>
      </w:r>
      <w:r w:rsidRPr="00C7223C">
        <w:t xml:space="preserve">onsumers generally do not shop around but instead buy from the closest (most convenient) shop; </w:t>
      </w:r>
    </w:p>
    <w:p w:rsidR="004134D1" w:rsidRPr="00C7223C" w:rsidRDefault="004134D1" w:rsidP="004134D1">
      <w:pPr>
        <w:pStyle w:val="NormalParagraph"/>
        <w:numPr>
          <w:ilvl w:val="0"/>
          <w:numId w:val="29"/>
        </w:numPr>
      </w:pPr>
      <w:proofErr w:type="gramStart"/>
      <w:r w:rsidRPr="00C7223C">
        <w:rPr>
          <w:b/>
        </w:rPr>
        <w:t>comparison</w:t>
      </w:r>
      <w:proofErr w:type="gramEnd"/>
      <w:r w:rsidRPr="00C7223C">
        <w:rPr>
          <w:b/>
        </w:rPr>
        <w:t xml:space="preserve"> shopping</w:t>
      </w:r>
      <w:r w:rsidRPr="00C7223C">
        <w:t xml:space="preserve"> – the purchase </w:t>
      </w:r>
      <w:r>
        <w:t xml:space="preserve">of </w:t>
      </w:r>
      <w:r w:rsidRPr="00C7223C">
        <w:t xml:space="preserve">differentiated products such as clothing and footwear where consumers </w:t>
      </w:r>
      <w:r w:rsidR="00EC1851">
        <w:t>want</w:t>
      </w:r>
      <w:r w:rsidRPr="00C7223C">
        <w:t xml:space="preserve"> to compare the offerings of a number of retailers and therefore shop around before completing their purchase. </w:t>
      </w:r>
      <w:r>
        <w:t xml:space="preserve">The consumer is likely to find </w:t>
      </w:r>
      <w:r w:rsidR="00EC1851">
        <w:t>it more</w:t>
      </w:r>
      <w:r>
        <w:t xml:space="preserve"> convenien</w:t>
      </w:r>
      <w:r w:rsidR="00EC1851">
        <w:t>t,</w:t>
      </w:r>
      <w:r>
        <w:t xml:space="preserve"> and </w:t>
      </w:r>
      <w:r w:rsidR="00EC1851">
        <w:t>the</w:t>
      </w:r>
      <w:r>
        <w:t xml:space="preserve"> costs of searching</w:t>
      </w:r>
      <w:r w:rsidR="00EC1851">
        <w:t xml:space="preserve"> to be lower</w:t>
      </w:r>
      <w:r>
        <w:t>,</w:t>
      </w:r>
      <w:r w:rsidR="00EC1851">
        <w:t xml:space="preserve"> shopping at</w:t>
      </w:r>
      <w:r>
        <w:t xml:space="preserve"> a centre or</w:t>
      </w:r>
      <w:r w:rsidR="00193A3C">
        <w:t xml:space="preserve"> retailer </w:t>
      </w:r>
      <w:r w:rsidRPr="00C7223C">
        <w:t xml:space="preserve">that has a variety of offerings; </w:t>
      </w:r>
    </w:p>
    <w:p w:rsidR="004134D1" w:rsidRPr="00C7223C" w:rsidRDefault="004134D1" w:rsidP="004134D1">
      <w:pPr>
        <w:pStyle w:val="NormalParagraph"/>
        <w:numPr>
          <w:ilvl w:val="0"/>
          <w:numId w:val="29"/>
        </w:numPr>
      </w:pPr>
      <w:proofErr w:type="gramStart"/>
      <w:r w:rsidRPr="00C7223C">
        <w:rPr>
          <w:b/>
        </w:rPr>
        <w:t>multi-purpose</w:t>
      </w:r>
      <w:proofErr w:type="gramEnd"/>
      <w:r w:rsidRPr="00C7223C">
        <w:rPr>
          <w:b/>
        </w:rPr>
        <w:t xml:space="preserve"> shopping</w:t>
      </w:r>
      <w:r w:rsidRPr="00C7223C">
        <w:t xml:space="preserve"> – consumers frequently engage in more than one type of shopping on a single trip in order to save time. For example, consumers may purchase a newspaper, groceries and a new pair of shoes in a single shopping trip</w:t>
      </w:r>
      <w:r>
        <w:t xml:space="preserve">. Shopping centres provide </w:t>
      </w:r>
      <w:r w:rsidR="00EC1851">
        <w:t>greater</w:t>
      </w:r>
      <w:r>
        <w:t xml:space="preserve"> convenience, and lower costs of searching</w:t>
      </w:r>
      <w:r w:rsidR="00EC1851">
        <w:t>,</w:t>
      </w:r>
      <w:r>
        <w:t xml:space="preserve"> for multi-purpose shopping</w:t>
      </w:r>
      <w:r w:rsidR="00193A3C">
        <w:t>;</w:t>
      </w:r>
      <w:r>
        <w:t xml:space="preserve"> </w:t>
      </w:r>
      <w:r w:rsidRPr="00C7223C">
        <w:t xml:space="preserve">and </w:t>
      </w:r>
    </w:p>
    <w:p w:rsidR="004134D1" w:rsidRPr="00C7223C" w:rsidRDefault="004134D1" w:rsidP="004134D1">
      <w:pPr>
        <w:pStyle w:val="NormalParagraph"/>
        <w:numPr>
          <w:ilvl w:val="0"/>
          <w:numId w:val="29"/>
        </w:numPr>
      </w:pPr>
      <w:r w:rsidRPr="00C7223C">
        <w:rPr>
          <w:b/>
        </w:rPr>
        <w:t>single-purpose shopping</w:t>
      </w:r>
      <w:r w:rsidRPr="00C7223C">
        <w:t xml:space="preserve"> – consumers are more likely to undertake single</w:t>
      </w:r>
      <w:r>
        <w:t>-</w:t>
      </w:r>
      <w:r w:rsidRPr="00C7223C">
        <w:t>purpose shopping trips to retailers selling complex, relatively expensive goods</w:t>
      </w:r>
      <w:r>
        <w:t>—</w:t>
      </w:r>
      <w:r w:rsidRPr="00C7223C">
        <w:t>such</w:t>
      </w:r>
      <w:r>
        <w:t xml:space="preserve"> </w:t>
      </w:r>
      <w:r w:rsidRPr="00C7223C">
        <w:t xml:space="preserve">as </w:t>
      </w:r>
      <w:r w:rsidR="00015E55">
        <w:t>large furniture</w:t>
      </w:r>
      <w:r w:rsidR="005A520D">
        <w:t xml:space="preserve"> items</w:t>
      </w:r>
      <w:r w:rsidR="00015E55">
        <w:t xml:space="preserve"> and </w:t>
      </w:r>
      <w:r w:rsidRPr="00C7223C">
        <w:t>electrical goods</w:t>
      </w:r>
      <w:r w:rsidRPr="00176CB6">
        <w:t>—</w:t>
      </w:r>
      <w:r w:rsidRPr="00C7223C">
        <w:t xml:space="preserve">that </w:t>
      </w:r>
      <w:r w:rsidRPr="00C7223C">
        <w:lastRenderedPageBreak/>
        <w:t>are purchased by consumers after engaging in significant research. Consumers are frequently willing to travel longer distances to such retailers to purchase a single item because travel costs are a relatively small part of the total cost of the item</w:t>
      </w:r>
      <w:r>
        <w:t xml:space="preserve"> and the potential savings from finding a better priced product are greater</w:t>
      </w:r>
      <w:r w:rsidRPr="00C7223C">
        <w:t xml:space="preserve">. </w:t>
      </w:r>
    </w:p>
    <w:p w:rsidR="004134D1" w:rsidRDefault="004134D1" w:rsidP="004134D1">
      <w:pPr>
        <w:pStyle w:val="Heading3"/>
      </w:pPr>
      <w:r w:rsidRPr="00301B7C">
        <w:t>Review timeline</w:t>
      </w:r>
    </w:p>
    <w:p w:rsidR="004134D1" w:rsidRPr="005E537F" w:rsidRDefault="004134D1" w:rsidP="004134D1">
      <w:pPr>
        <w:pStyle w:val="NormalParagraph"/>
      </w:pPr>
      <w:r>
        <w:t>The following table outlines the timeline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6333"/>
      </w:tblGrid>
      <w:tr w:rsidR="004134D1" w:rsidRPr="00F80A7E" w:rsidTr="00B22D99">
        <w:trPr>
          <w:trHeight w:val="263"/>
          <w:tblHeader/>
        </w:trPr>
        <w:tc>
          <w:tcPr>
            <w:tcW w:w="2235" w:type="dxa"/>
          </w:tcPr>
          <w:p w:rsidR="004134D1" w:rsidRPr="00E845AB" w:rsidRDefault="004134D1" w:rsidP="00B22D99">
            <w:pPr>
              <w:keepNext/>
              <w:rPr>
                <w:rFonts w:ascii="Arial" w:hAnsi="Arial" w:cs="Arial"/>
                <w:b/>
                <w:sz w:val="22"/>
                <w:szCs w:val="22"/>
              </w:rPr>
            </w:pPr>
            <w:r w:rsidRPr="00E845AB">
              <w:rPr>
                <w:rFonts w:ascii="Arial" w:hAnsi="Arial" w:cs="Arial"/>
                <w:b/>
                <w:sz w:val="22"/>
                <w:szCs w:val="22"/>
              </w:rPr>
              <w:t>Date</w:t>
            </w:r>
          </w:p>
        </w:tc>
        <w:tc>
          <w:tcPr>
            <w:tcW w:w="6333" w:type="dxa"/>
          </w:tcPr>
          <w:p w:rsidR="004134D1" w:rsidRPr="00E845AB" w:rsidRDefault="004134D1" w:rsidP="00B22D99">
            <w:pPr>
              <w:keepNext/>
              <w:ind w:left="-68"/>
              <w:rPr>
                <w:rFonts w:ascii="Arial" w:hAnsi="Arial" w:cs="Arial"/>
                <w:b/>
                <w:sz w:val="22"/>
                <w:szCs w:val="22"/>
              </w:rPr>
            </w:pPr>
            <w:r>
              <w:rPr>
                <w:rFonts w:ascii="Arial" w:hAnsi="Arial" w:cs="Arial"/>
                <w:b/>
                <w:sz w:val="22"/>
                <w:szCs w:val="22"/>
              </w:rPr>
              <w:t xml:space="preserve"> </w:t>
            </w:r>
            <w:r w:rsidRPr="00E845AB">
              <w:rPr>
                <w:rFonts w:ascii="Arial" w:hAnsi="Arial" w:cs="Arial"/>
                <w:b/>
                <w:sz w:val="22"/>
                <w:szCs w:val="22"/>
              </w:rPr>
              <w:t>Event</w:t>
            </w:r>
          </w:p>
        </w:tc>
      </w:tr>
      <w:tr w:rsidR="004134D1" w:rsidRPr="00F80A7E" w:rsidTr="0091539A">
        <w:trPr>
          <w:trHeight w:val="4112"/>
        </w:trPr>
        <w:tc>
          <w:tcPr>
            <w:tcW w:w="2235" w:type="dxa"/>
          </w:tcPr>
          <w:p w:rsidR="004134D1" w:rsidRDefault="004134D1" w:rsidP="00B22D99">
            <w:pPr>
              <w:rPr>
                <w:rFonts w:ascii="Arial" w:hAnsi="Arial" w:cs="Arial"/>
                <w:sz w:val="22"/>
                <w:szCs w:val="22"/>
              </w:rPr>
            </w:pPr>
            <w:bookmarkStart w:id="3" w:name="EventDate"/>
            <w:bookmarkEnd w:id="3"/>
            <w:r>
              <w:rPr>
                <w:rFonts w:ascii="Arial" w:hAnsi="Arial" w:cs="Arial"/>
                <w:sz w:val="22"/>
                <w:szCs w:val="22"/>
              </w:rPr>
              <w:t>4 February 2015</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r>
              <w:rPr>
                <w:rFonts w:ascii="Arial" w:hAnsi="Arial" w:cs="Arial"/>
                <w:sz w:val="22"/>
                <w:szCs w:val="22"/>
              </w:rPr>
              <w:t>25 February 2015</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r>
              <w:rPr>
                <w:rFonts w:ascii="Arial" w:hAnsi="Arial" w:cs="Arial"/>
                <w:sz w:val="22"/>
                <w:szCs w:val="22"/>
              </w:rPr>
              <w:t>1</w:t>
            </w:r>
            <w:r w:rsidRPr="00313B40">
              <w:rPr>
                <w:rFonts w:ascii="Arial" w:hAnsi="Arial" w:cs="Arial"/>
                <w:sz w:val="22"/>
                <w:szCs w:val="22"/>
              </w:rPr>
              <w:t xml:space="preserve"> </w:t>
            </w:r>
            <w:r>
              <w:rPr>
                <w:rFonts w:ascii="Arial" w:hAnsi="Arial" w:cs="Arial"/>
                <w:sz w:val="22"/>
                <w:szCs w:val="22"/>
              </w:rPr>
              <w:t>April</w:t>
            </w:r>
            <w:r w:rsidRPr="00313B40">
              <w:rPr>
                <w:rFonts w:ascii="Arial" w:hAnsi="Arial" w:cs="Arial"/>
                <w:sz w:val="22"/>
                <w:szCs w:val="22"/>
              </w:rPr>
              <w:t xml:space="preserve"> 201</w:t>
            </w:r>
            <w:r>
              <w:rPr>
                <w:rFonts w:ascii="Arial" w:hAnsi="Arial" w:cs="Arial"/>
                <w:sz w:val="22"/>
                <w:szCs w:val="22"/>
              </w:rPr>
              <w:t>5</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r>
              <w:rPr>
                <w:rFonts w:ascii="Arial" w:hAnsi="Arial" w:cs="Arial"/>
                <w:sz w:val="22"/>
                <w:szCs w:val="22"/>
              </w:rPr>
              <w:t>15</w:t>
            </w:r>
            <w:r w:rsidRPr="00313B40">
              <w:rPr>
                <w:rFonts w:ascii="Arial" w:hAnsi="Arial" w:cs="Arial"/>
                <w:sz w:val="22"/>
                <w:szCs w:val="22"/>
              </w:rPr>
              <w:t xml:space="preserve"> </w:t>
            </w:r>
            <w:r>
              <w:rPr>
                <w:rFonts w:ascii="Arial" w:hAnsi="Arial" w:cs="Arial"/>
                <w:sz w:val="22"/>
                <w:szCs w:val="22"/>
              </w:rPr>
              <w:t>April</w:t>
            </w:r>
            <w:r w:rsidRPr="00313B40">
              <w:rPr>
                <w:rFonts w:ascii="Arial" w:hAnsi="Arial" w:cs="Arial"/>
                <w:sz w:val="22"/>
                <w:szCs w:val="22"/>
              </w:rPr>
              <w:t xml:space="preserve"> 201</w:t>
            </w:r>
            <w:r>
              <w:rPr>
                <w:rFonts w:ascii="Arial" w:hAnsi="Arial" w:cs="Arial"/>
                <w:sz w:val="22"/>
                <w:szCs w:val="22"/>
              </w:rPr>
              <w:t>5</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p>
          <w:p w:rsidR="00D313A7" w:rsidRPr="00F80A7E" w:rsidRDefault="004134D1" w:rsidP="00B22D99">
            <w:pPr>
              <w:rPr>
                <w:rFonts w:ascii="Arial" w:hAnsi="Arial" w:cs="Arial"/>
                <w:sz w:val="22"/>
                <w:szCs w:val="22"/>
              </w:rPr>
            </w:pPr>
            <w:r>
              <w:rPr>
                <w:rFonts w:ascii="Arial" w:hAnsi="Arial" w:cs="Arial"/>
                <w:sz w:val="22"/>
                <w:szCs w:val="22"/>
              </w:rPr>
              <w:t>26 May 2015</w:t>
            </w:r>
          </w:p>
        </w:tc>
        <w:tc>
          <w:tcPr>
            <w:tcW w:w="6333" w:type="dxa"/>
          </w:tcPr>
          <w:p w:rsidR="004134D1" w:rsidRDefault="004134D1" w:rsidP="00B22D99">
            <w:pPr>
              <w:rPr>
                <w:rFonts w:ascii="Arial" w:hAnsi="Arial" w:cs="Arial"/>
                <w:sz w:val="22"/>
                <w:szCs w:val="22"/>
              </w:rPr>
            </w:pPr>
            <w:bookmarkStart w:id="4" w:name="EventDescription"/>
            <w:bookmarkEnd w:id="4"/>
            <w:r w:rsidRPr="00313B40">
              <w:rPr>
                <w:rFonts w:ascii="Arial" w:hAnsi="Arial" w:cs="Arial"/>
                <w:sz w:val="22"/>
                <w:szCs w:val="22"/>
              </w:rPr>
              <w:t>ACCC commenced review under the Merger Review Process Guidelines.</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r>
              <w:rPr>
                <w:rFonts w:ascii="Arial" w:hAnsi="Arial" w:cs="Arial"/>
                <w:sz w:val="22"/>
                <w:szCs w:val="22"/>
              </w:rPr>
              <w:t>Closing date for submissions from interested parties.</w:t>
            </w:r>
          </w:p>
          <w:p w:rsidR="004134D1" w:rsidRDefault="004134D1" w:rsidP="00B22D99">
            <w:pPr>
              <w:rPr>
                <w:rFonts w:ascii="Arial" w:hAnsi="Arial" w:cs="Arial"/>
                <w:sz w:val="22"/>
                <w:szCs w:val="22"/>
              </w:rPr>
            </w:pPr>
          </w:p>
          <w:p w:rsidR="004134D1" w:rsidRDefault="005A520D" w:rsidP="00B22D99">
            <w:pPr>
              <w:rPr>
                <w:rFonts w:ascii="Arial" w:hAnsi="Arial" w:cs="Arial"/>
                <w:sz w:val="22"/>
                <w:szCs w:val="22"/>
              </w:rPr>
            </w:pPr>
            <w:r>
              <w:rPr>
                <w:rFonts w:ascii="Arial" w:hAnsi="Arial" w:cs="Arial"/>
                <w:sz w:val="22"/>
                <w:szCs w:val="22"/>
              </w:rPr>
              <w:t>Original</w:t>
            </w:r>
            <w:r w:rsidR="004134D1">
              <w:rPr>
                <w:rFonts w:ascii="Arial" w:hAnsi="Arial" w:cs="Arial"/>
                <w:sz w:val="22"/>
                <w:szCs w:val="22"/>
              </w:rPr>
              <w:t xml:space="preserve"> proposed decision date of 2 April delayed to allow the parties to provide more information to the ACCC.</w:t>
            </w:r>
          </w:p>
          <w:p w:rsidR="004134D1" w:rsidRDefault="004134D1" w:rsidP="00B22D99">
            <w:pPr>
              <w:rPr>
                <w:rFonts w:ascii="Arial" w:hAnsi="Arial" w:cs="Arial"/>
                <w:sz w:val="22"/>
                <w:szCs w:val="22"/>
              </w:rPr>
            </w:pPr>
          </w:p>
          <w:p w:rsidR="004134D1" w:rsidRDefault="004134D1" w:rsidP="00B22D99">
            <w:pPr>
              <w:rPr>
                <w:rFonts w:ascii="Arial" w:hAnsi="Arial" w:cs="Arial"/>
                <w:sz w:val="22"/>
                <w:szCs w:val="22"/>
              </w:rPr>
            </w:pPr>
            <w:r>
              <w:rPr>
                <w:rFonts w:ascii="Arial" w:hAnsi="Arial" w:cs="Arial"/>
                <w:sz w:val="22"/>
                <w:szCs w:val="22"/>
              </w:rPr>
              <w:t>Federation Centres and Novion announce</w:t>
            </w:r>
            <w:r w:rsidR="005A520D">
              <w:rPr>
                <w:rFonts w:ascii="Arial" w:hAnsi="Arial" w:cs="Arial"/>
                <w:sz w:val="22"/>
                <w:szCs w:val="22"/>
              </w:rPr>
              <w:t>d</w:t>
            </w:r>
            <w:r>
              <w:rPr>
                <w:rFonts w:ascii="Arial" w:hAnsi="Arial" w:cs="Arial"/>
                <w:sz w:val="22"/>
                <w:szCs w:val="22"/>
              </w:rPr>
              <w:t xml:space="preserve"> that they </w:t>
            </w:r>
            <w:r w:rsidR="00041635">
              <w:rPr>
                <w:rFonts w:ascii="Arial" w:hAnsi="Arial" w:cs="Arial"/>
                <w:sz w:val="22"/>
                <w:szCs w:val="22"/>
              </w:rPr>
              <w:t>would engage</w:t>
            </w:r>
            <w:r>
              <w:rPr>
                <w:rFonts w:ascii="Arial" w:hAnsi="Arial" w:cs="Arial"/>
                <w:sz w:val="22"/>
                <w:szCs w:val="22"/>
              </w:rPr>
              <w:t xml:space="preserve"> with the ACCC in relation to the potential divestment of either Karingal Hub (50% owned by Federation Centres) or Bayside (a Novion owned asset), both of which are located in south east Melbourne.</w:t>
            </w:r>
          </w:p>
          <w:p w:rsidR="004134D1" w:rsidRDefault="004134D1" w:rsidP="00B22D99">
            <w:pPr>
              <w:rPr>
                <w:rFonts w:ascii="Arial" w:hAnsi="Arial" w:cs="Arial"/>
                <w:sz w:val="22"/>
                <w:szCs w:val="22"/>
              </w:rPr>
            </w:pPr>
          </w:p>
          <w:p w:rsidR="00D313A7" w:rsidRPr="00F80A7E" w:rsidRDefault="004134D1" w:rsidP="005A520D">
            <w:pPr>
              <w:rPr>
                <w:rFonts w:ascii="Arial" w:hAnsi="Arial" w:cs="Arial"/>
                <w:sz w:val="22"/>
                <w:szCs w:val="22"/>
              </w:rPr>
            </w:pPr>
            <w:r>
              <w:rPr>
                <w:rFonts w:ascii="Arial" w:hAnsi="Arial" w:cs="Arial"/>
                <w:sz w:val="22"/>
                <w:szCs w:val="22"/>
              </w:rPr>
              <w:t>ACCC announced it would not oppose the proposed merger, subject to section 87B undertakings accepted by the ACCC.</w:t>
            </w:r>
          </w:p>
        </w:tc>
      </w:tr>
    </w:tbl>
    <w:p w:rsidR="004134D1" w:rsidRDefault="004134D1" w:rsidP="004134D1">
      <w:pPr>
        <w:pStyle w:val="Heading3"/>
      </w:pPr>
      <w:r w:rsidRPr="00301B7C">
        <w:t>Market inquiries</w:t>
      </w:r>
    </w:p>
    <w:p w:rsidR="004134D1" w:rsidRDefault="004134D1" w:rsidP="004134D1">
      <w:pPr>
        <w:pStyle w:val="NormalParagraph"/>
      </w:pPr>
      <w:r w:rsidRPr="009A0CB9">
        <w:t>The ACCC received</w:t>
      </w:r>
      <w:r>
        <w:t xml:space="preserve"> written submissions from and</w:t>
      </w:r>
      <w:r w:rsidRPr="009A0CB9">
        <w:t xml:space="preserve"> spoke with a </w:t>
      </w:r>
      <w:r>
        <w:t>range of market participants</w:t>
      </w:r>
      <w:r w:rsidR="00914915">
        <w:t xml:space="preserve"> other than Federation Centres and </w:t>
      </w:r>
      <w:proofErr w:type="spellStart"/>
      <w:r w:rsidR="00914915">
        <w:t>Novion</w:t>
      </w:r>
      <w:proofErr w:type="spellEnd"/>
      <w:r w:rsidR="00496B6D">
        <w:t>,</w:t>
      </w:r>
      <w:r>
        <w:t xml:space="preserve"> </w:t>
      </w:r>
      <w:r w:rsidRPr="009A0CB9">
        <w:t>including</w:t>
      </w:r>
      <w:r>
        <w:t xml:space="preserve"> major national retailers, local retailers, national</w:t>
      </w:r>
      <w:r w:rsidR="00837EA1">
        <w:t xml:space="preserve"> franchises</w:t>
      </w:r>
      <w:r>
        <w:t xml:space="preserve"> and shopping centre owners.</w:t>
      </w:r>
    </w:p>
    <w:p w:rsidR="004134D1" w:rsidRDefault="004134D1" w:rsidP="004134D1">
      <w:pPr>
        <w:pStyle w:val="Heading3"/>
      </w:pPr>
      <w:r>
        <w:t xml:space="preserve">Market </w:t>
      </w:r>
      <w:r w:rsidRPr="00A53505">
        <w:t>definition</w:t>
      </w:r>
    </w:p>
    <w:p w:rsidR="004134D1" w:rsidRDefault="004134D1" w:rsidP="004134D1">
      <w:pPr>
        <w:pStyle w:val="NormalParagraph"/>
      </w:pPr>
      <w:r w:rsidRPr="00143145">
        <w:t>Shopping centres</w:t>
      </w:r>
      <w:r>
        <w:t xml:space="preserve"> </w:t>
      </w:r>
      <w:r w:rsidRPr="00143145">
        <w:t>bring together two sets of customers</w:t>
      </w:r>
      <w:r>
        <w:t>—shopper</w:t>
      </w:r>
      <w:r w:rsidRPr="00143145">
        <w:t xml:space="preserve">s and retail tenants. </w:t>
      </w:r>
    </w:p>
    <w:p w:rsidR="004134D1" w:rsidRDefault="004134D1" w:rsidP="004134D1">
      <w:pPr>
        <w:pStyle w:val="NormalParagraph"/>
      </w:pPr>
      <w:r>
        <w:t xml:space="preserve">Shopping centres </w:t>
      </w:r>
      <w:r w:rsidRPr="00B758A8">
        <w:t>compete to expand their base of shoppers by offering an attractive retail mix, better amenities, free</w:t>
      </w:r>
      <w:r w:rsidR="00757DFA">
        <w:t xml:space="preserve"> or low-cost </w:t>
      </w:r>
      <w:r w:rsidRPr="00B758A8">
        <w:t>car parking or longer opening hours.</w:t>
      </w:r>
      <w:r w:rsidRPr="00143145">
        <w:t xml:space="preserve"> </w:t>
      </w:r>
    </w:p>
    <w:p w:rsidR="004134D1" w:rsidRDefault="004134D1" w:rsidP="004134D1">
      <w:pPr>
        <w:pStyle w:val="NormalParagraph"/>
      </w:pPr>
      <w:r>
        <w:t>S</w:t>
      </w:r>
      <w:r w:rsidRPr="00B758A8">
        <w:t>hopping centres</w:t>
      </w:r>
      <w:r>
        <w:t xml:space="preserve"> also</w:t>
      </w:r>
      <w:r w:rsidRPr="00B758A8">
        <w:t xml:space="preserve"> compete with each other to attract new retail tenants and retain existing retail tenants when leases are due for renewal.</w:t>
      </w:r>
      <w:r>
        <w:t xml:space="preserve"> T</w:t>
      </w:r>
      <w:r w:rsidRPr="00143145">
        <w:t>he greater the number of shoppers or the higher the value of the shoppers (in terms of the amount spent on shopping) that a shopping centre attracts, the more attractive the centre is to actual and potential retail tenants and the more rent a shopping centre owner will be able to charge</w:t>
      </w:r>
      <w:r>
        <w:t>.</w:t>
      </w:r>
    </w:p>
    <w:p w:rsidR="004134D1" w:rsidRDefault="004134D1" w:rsidP="0016744C">
      <w:pPr>
        <w:pStyle w:val="NormalParagraph"/>
        <w:keepNext/>
        <w:ind w:left="425" w:hanging="425"/>
      </w:pPr>
      <w:r w:rsidRPr="00113306">
        <w:lastRenderedPageBreak/>
        <w:t>The</w:t>
      </w:r>
      <w:r>
        <w:t xml:space="preserve"> ACCC considered the effect on competition in</w:t>
      </w:r>
      <w:r w:rsidRPr="00113306">
        <w:t xml:space="preserve"> </w:t>
      </w:r>
      <w:r>
        <w:t>the following</w:t>
      </w:r>
      <w:r w:rsidR="00BD4FB5">
        <w:t xml:space="preserve"> related</w:t>
      </w:r>
      <w:r w:rsidRPr="00113306">
        <w:t xml:space="preserve"> markets</w:t>
      </w:r>
      <w:r>
        <w:t>:</w:t>
      </w:r>
    </w:p>
    <w:p w:rsidR="009A2DF8" w:rsidRDefault="009A2DF8" w:rsidP="004134D1">
      <w:pPr>
        <w:pStyle w:val="ListParagraph"/>
        <w:keepNext/>
        <w:keepLines w:val="0"/>
        <w:numPr>
          <w:ilvl w:val="1"/>
          <w:numId w:val="1"/>
        </w:numPr>
        <w:spacing w:after="240"/>
        <w:contextualSpacing/>
      </w:pPr>
      <w:r>
        <w:t xml:space="preserve">the supply of shopping centre amenities to shoppers; and </w:t>
      </w:r>
    </w:p>
    <w:p w:rsidR="004134D1" w:rsidRPr="00452CB2" w:rsidRDefault="004134D1" w:rsidP="0091539A">
      <w:pPr>
        <w:pStyle w:val="ListParagraph"/>
        <w:keepNext/>
        <w:keepLines w:val="0"/>
        <w:numPr>
          <w:ilvl w:val="1"/>
          <w:numId w:val="1"/>
        </w:numPr>
        <w:spacing w:after="240"/>
        <w:contextualSpacing/>
      </w:pPr>
      <w:proofErr w:type="gramStart"/>
      <w:r>
        <w:t>the</w:t>
      </w:r>
      <w:proofErr w:type="gramEnd"/>
      <w:r>
        <w:t xml:space="preserve"> supply of retail space in shopping centres to retailers</w:t>
      </w:r>
      <w:r w:rsidR="009A2DF8">
        <w:t>.</w:t>
      </w:r>
    </w:p>
    <w:p w:rsidR="004134D1" w:rsidRDefault="004134D1" w:rsidP="004134D1">
      <w:pPr>
        <w:pStyle w:val="NormalParagraph"/>
      </w:pPr>
      <w:r>
        <w:t xml:space="preserve">In relation to the geographic scope of the relevant markets, the ACCC considered it appropriate, as a starting point, to identify competing shopping centres </w:t>
      </w:r>
      <w:r w:rsidRPr="00452CB2">
        <w:t>located within a radius</w:t>
      </w:r>
      <w:r w:rsidR="00314ACD">
        <w:t xml:space="preserve"> of</w:t>
      </w:r>
      <w:r w:rsidRPr="00452CB2">
        <w:t xml:space="preserve"> approximately 10 kilometres from the</w:t>
      </w:r>
      <w:r w:rsidR="00960382">
        <w:t xml:space="preserve"> target</w:t>
      </w:r>
      <w:r w:rsidRPr="00452CB2">
        <w:t xml:space="preserve"> centre</w:t>
      </w:r>
      <w:r w:rsidR="00212CF3">
        <w:t xml:space="preserve"> and then vary this as appropriate</w:t>
      </w:r>
      <w:r>
        <w:t>, taking into consideration road configurations, traffic congestion and the willingness of customers to travel further to centres with a broader retail offering.</w:t>
      </w:r>
    </w:p>
    <w:p w:rsidR="00212CF3" w:rsidRDefault="00212CF3" w:rsidP="00212CF3">
      <w:pPr>
        <w:pStyle w:val="NormalParagraph"/>
      </w:pPr>
      <w:r>
        <w:t>The ACCC notes that the geographic scope of the relevant markets may be narrower than 10 kilometres. The ACCC considers that the precise geographic scope is not determinative</w:t>
      </w:r>
      <w:r w:rsidR="00163542">
        <w:t xml:space="preserve"> with respect to this matter</w:t>
      </w:r>
      <w:r>
        <w:t xml:space="preserve"> and has conducted the competition assessment of each relevant market on the conservative basis of considering competitors within a 10</w:t>
      </w:r>
      <w:r w:rsidR="003E646F">
        <w:t xml:space="preserve"> kilometre</w:t>
      </w:r>
      <w:r>
        <w:t xml:space="preserve"> radius of the target site.</w:t>
      </w:r>
    </w:p>
    <w:p w:rsidR="004134D1" w:rsidRDefault="004134D1" w:rsidP="004134D1">
      <w:pPr>
        <w:pStyle w:val="NormalParagraph"/>
      </w:pPr>
      <w:r>
        <w:t xml:space="preserve">On this basis, the ACCC </w:t>
      </w:r>
      <w:r w:rsidR="00BD6F28">
        <w:t>identified competition concerns in</w:t>
      </w:r>
      <w:r>
        <w:t xml:space="preserve"> the</w:t>
      </w:r>
      <w:r w:rsidR="00757DFA">
        <w:t xml:space="preserve"> area surrounding Frankston</w:t>
      </w:r>
      <w:r>
        <w:t xml:space="preserve"> where the Bayside and Karingal shopping centres, owned by Novion and Federation Centres respectively, </w:t>
      </w:r>
      <w:r w:rsidR="00041635">
        <w:t xml:space="preserve">are </w:t>
      </w:r>
      <w:r>
        <w:t xml:space="preserve">the only multi-purpose shopping centres of any significant scale </w:t>
      </w:r>
      <w:r w:rsidR="00D11397">
        <w:t>with</w:t>
      </w:r>
      <w:r w:rsidR="00212CF3">
        <w:t xml:space="preserve">in the relevant </w:t>
      </w:r>
      <w:r w:rsidR="00D11397">
        <w:t xml:space="preserve">geographic </w:t>
      </w:r>
      <w:r w:rsidR="00212CF3">
        <w:t xml:space="preserve">market (and, in fact, </w:t>
      </w:r>
      <w:r>
        <w:t>within approximately 20</w:t>
      </w:r>
      <w:r w:rsidR="003E646F">
        <w:t xml:space="preserve"> kilometres</w:t>
      </w:r>
      <w:r>
        <w:t xml:space="preserve"> of the Frankston CBD in Victoria</w:t>
      </w:r>
      <w:r w:rsidR="00212CF3">
        <w:t>)</w:t>
      </w:r>
      <w:r>
        <w:t xml:space="preserve">. </w:t>
      </w:r>
      <w:r w:rsidR="00757DFA">
        <w:t>The ACCC defined this market as being the South East Melbourne market.</w:t>
      </w:r>
    </w:p>
    <w:p w:rsidR="004134D1" w:rsidRPr="00CE37C2" w:rsidRDefault="004134D1" w:rsidP="004134D1">
      <w:pPr>
        <w:pStyle w:val="Heading3"/>
      </w:pPr>
      <w:r w:rsidRPr="00CE37C2">
        <w:t>Likely future with and without the proposed merger</w:t>
      </w:r>
    </w:p>
    <w:p w:rsidR="004134D1" w:rsidRPr="00CE37C2" w:rsidRDefault="004134D1" w:rsidP="004134D1">
      <w:pPr>
        <w:pStyle w:val="NormalParagraph"/>
      </w:pPr>
      <w:r w:rsidRPr="00CE37C2">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assist in determining whether the proposed acquisition is likely to substantially lessen competition in any relevant market.</w:t>
      </w:r>
    </w:p>
    <w:p w:rsidR="004134D1" w:rsidRPr="00CE37C2" w:rsidRDefault="004134D1" w:rsidP="004134D1">
      <w:pPr>
        <w:pStyle w:val="NormalParagraph"/>
      </w:pPr>
      <w:r w:rsidRPr="00CE37C2">
        <w:t xml:space="preserve">The ACCC considered that the likely future without the proposed merger </w:t>
      </w:r>
      <w:r w:rsidR="00041635">
        <w:t>would be</w:t>
      </w:r>
      <w:r w:rsidR="00041635" w:rsidRPr="00CE37C2">
        <w:t xml:space="preserve"> </w:t>
      </w:r>
      <w:r w:rsidRPr="00CE37C2">
        <w:t xml:space="preserve">the status quo, where Federation Centres and Novion would continue to operate and compete as separate entities. </w:t>
      </w:r>
    </w:p>
    <w:p w:rsidR="004134D1" w:rsidRPr="006A7FE8" w:rsidRDefault="004134D1" w:rsidP="004134D1">
      <w:pPr>
        <w:pStyle w:val="Heading3"/>
      </w:pPr>
      <w:r w:rsidRPr="006A7FE8">
        <w:t>Competition analysis</w:t>
      </w:r>
    </w:p>
    <w:p w:rsidR="004134D1" w:rsidRDefault="004134D1" w:rsidP="004134D1">
      <w:pPr>
        <w:pStyle w:val="Heading4"/>
      </w:pPr>
      <w:r>
        <w:t>South East Melbourne market</w:t>
      </w:r>
    </w:p>
    <w:p w:rsidR="00837EA1" w:rsidRPr="007A09CB" w:rsidRDefault="007A09CB" w:rsidP="0091539A">
      <w:pPr>
        <w:pStyle w:val="StyleHeading5Arial"/>
      </w:pPr>
      <w:r>
        <w:t>Customers</w:t>
      </w:r>
    </w:p>
    <w:p w:rsidR="004134D1" w:rsidRPr="008C2838" w:rsidRDefault="004134D1" w:rsidP="004134D1">
      <w:pPr>
        <w:pStyle w:val="NormalParagraph"/>
      </w:pPr>
      <w:r w:rsidRPr="008C2838">
        <w:rPr>
          <w:rFonts w:cs="Arial"/>
        </w:rPr>
        <w:t xml:space="preserve">The ACCC considered that the proposed merger </w:t>
      </w:r>
      <w:r w:rsidR="00041635" w:rsidRPr="008C2838">
        <w:rPr>
          <w:rFonts w:cs="Arial"/>
        </w:rPr>
        <w:t>ha</w:t>
      </w:r>
      <w:r w:rsidR="00BD4FB5">
        <w:rPr>
          <w:rFonts w:cs="Arial"/>
        </w:rPr>
        <w:t>d</w:t>
      </w:r>
      <w:r w:rsidR="00041635" w:rsidRPr="008C2838">
        <w:rPr>
          <w:rFonts w:cs="Arial"/>
        </w:rPr>
        <w:t xml:space="preserve"> </w:t>
      </w:r>
      <w:r w:rsidRPr="008C2838">
        <w:rPr>
          <w:rFonts w:cs="Arial"/>
        </w:rPr>
        <w:t xml:space="preserve">the potential to substantially lessen competition in the </w:t>
      </w:r>
      <w:r w:rsidR="00BD6F28">
        <w:rPr>
          <w:rFonts w:cs="Arial"/>
        </w:rPr>
        <w:t>S</w:t>
      </w:r>
      <w:r w:rsidRPr="008C2838">
        <w:rPr>
          <w:rFonts w:cs="Arial"/>
        </w:rPr>
        <w:t>outh</w:t>
      </w:r>
      <w:r w:rsidR="00BD6F28">
        <w:rPr>
          <w:rFonts w:cs="Arial"/>
        </w:rPr>
        <w:t xml:space="preserve"> E</w:t>
      </w:r>
      <w:r w:rsidRPr="008C2838">
        <w:rPr>
          <w:rFonts w:cs="Arial"/>
        </w:rPr>
        <w:t>ast Melbourne market for the supply of shopping centre amenities to customers.</w:t>
      </w:r>
    </w:p>
    <w:p w:rsidR="004134D1" w:rsidRPr="000D5326" w:rsidRDefault="00041635" w:rsidP="004134D1">
      <w:pPr>
        <w:pStyle w:val="NormalParagraph"/>
      </w:pPr>
      <w:r>
        <w:rPr>
          <w:rFonts w:cs="Arial"/>
        </w:rPr>
        <w:t xml:space="preserve">At the time of the review, </w:t>
      </w:r>
      <w:r w:rsidR="004134D1">
        <w:rPr>
          <w:rFonts w:cs="Arial"/>
        </w:rPr>
        <w:t xml:space="preserve">Federation Centres and </w:t>
      </w:r>
      <w:proofErr w:type="spellStart"/>
      <w:r w:rsidR="004134D1">
        <w:rPr>
          <w:rFonts w:cs="Arial"/>
        </w:rPr>
        <w:t>Novion</w:t>
      </w:r>
      <w:proofErr w:type="spellEnd"/>
      <w:r w:rsidR="004134D1">
        <w:rPr>
          <w:rFonts w:cs="Arial"/>
        </w:rPr>
        <w:t xml:space="preserve"> </w:t>
      </w:r>
      <w:proofErr w:type="gramStart"/>
      <w:r w:rsidR="0015392F">
        <w:rPr>
          <w:rFonts w:cs="Arial"/>
        </w:rPr>
        <w:t>were</w:t>
      </w:r>
      <w:proofErr w:type="gramEnd"/>
      <w:r w:rsidR="0015392F">
        <w:rPr>
          <w:rFonts w:cs="Arial"/>
        </w:rPr>
        <w:t xml:space="preserve"> </w:t>
      </w:r>
      <w:r w:rsidR="004134D1">
        <w:rPr>
          <w:rFonts w:cs="Arial"/>
        </w:rPr>
        <w:t>each other’s closest competitor for shoppers in the South East Melbourne market. Novion own</w:t>
      </w:r>
      <w:r w:rsidR="0015392F">
        <w:rPr>
          <w:rFonts w:cs="Arial"/>
        </w:rPr>
        <w:t>ed</w:t>
      </w:r>
      <w:r w:rsidR="004134D1">
        <w:rPr>
          <w:rFonts w:cs="Arial"/>
        </w:rPr>
        <w:t xml:space="preserve"> and </w:t>
      </w:r>
      <w:r w:rsidR="0015392F">
        <w:rPr>
          <w:rFonts w:cs="Arial"/>
        </w:rPr>
        <w:t xml:space="preserve">operated </w:t>
      </w:r>
      <w:r w:rsidR="004134D1">
        <w:rPr>
          <w:rFonts w:cs="Arial"/>
        </w:rPr>
        <w:t xml:space="preserve">Bayside Shopping Centre in Frankston’s regional business </w:t>
      </w:r>
      <w:r w:rsidR="004134D1">
        <w:rPr>
          <w:rFonts w:cs="Arial"/>
        </w:rPr>
        <w:lastRenderedPageBreak/>
        <w:t>district, and Federation Centres ha</w:t>
      </w:r>
      <w:r w:rsidR="0015392F">
        <w:rPr>
          <w:rFonts w:cs="Arial"/>
        </w:rPr>
        <w:t>d</w:t>
      </w:r>
      <w:r w:rsidR="004134D1">
        <w:rPr>
          <w:rFonts w:cs="Arial"/>
        </w:rPr>
        <w:t xml:space="preserve"> a 50% interest and manage</w:t>
      </w:r>
      <w:r w:rsidR="0015392F">
        <w:rPr>
          <w:rFonts w:cs="Arial"/>
        </w:rPr>
        <w:t>d</w:t>
      </w:r>
      <w:r w:rsidR="004134D1">
        <w:rPr>
          <w:rFonts w:cs="Arial"/>
        </w:rPr>
        <w:t xml:space="preserve"> the Karingal Hub Shopping Centre, located 4.4 km from Bayside.</w:t>
      </w:r>
    </w:p>
    <w:p w:rsidR="004134D1" w:rsidRPr="00CE37C2" w:rsidRDefault="004134D1" w:rsidP="004134D1">
      <w:pPr>
        <w:pStyle w:val="NormalParagraph"/>
      </w:pPr>
      <w:r>
        <w:rPr>
          <w:rFonts w:cs="Arial"/>
        </w:rPr>
        <w:t xml:space="preserve">Bayside and Karingal </w:t>
      </w:r>
      <w:r w:rsidR="00041635">
        <w:rPr>
          <w:rFonts w:cs="Arial"/>
        </w:rPr>
        <w:t xml:space="preserve">are </w:t>
      </w:r>
      <w:r>
        <w:rPr>
          <w:rFonts w:cs="Arial"/>
        </w:rPr>
        <w:t xml:space="preserve">the only shopping centres of any scale within approximately a 30 minute drive of Frankston. The only other shopping centre in the area </w:t>
      </w:r>
      <w:r w:rsidR="00A47126">
        <w:rPr>
          <w:rFonts w:cs="Arial"/>
        </w:rPr>
        <w:t xml:space="preserve">classified as </w:t>
      </w:r>
      <w:r>
        <w:rPr>
          <w:rFonts w:cs="Arial"/>
        </w:rPr>
        <w:t xml:space="preserve">larger than a neighbourhood/supermarket centre </w:t>
      </w:r>
      <w:r w:rsidR="00073113">
        <w:rPr>
          <w:rFonts w:cs="Arial"/>
        </w:rPr>
        <w:t xml:space="preserve">is </w:t>
      </w:r>
      <w:r>
        <w:rPr>
          <w:rFonts w:cs="Arial"/>
        </w:rPr>
        <w:t xml:space="preserve">Somerville Shopping Centre. Somerville </w:t>
      </w:r>
      <w:r w:rsidR="00073113">
        <w:rPr>
          <w:rFonts w:cs="Arial"/>
        </w:rPr>
        <w:t xml:space="preserve">is </w:t>
      </w:r>
      <w:r>
        <w:rPr>
          <w:rFonts w:cs="Arial"/>
        </w:rPr>
        <w:t>a</w:t>
      </w:r>
      <w:r w:rsidR="00BD6F28">
        <w:rPr>
          <w:rFonts w:cs="Arial"/>
        </w:rPr>
        <w:t xml:space="preserve"> significantly</w:t>
      </w:r>
      <w:r>
        <w:rPr>
          <w:rFonts w:cs="Arial"/>
        </w:rPr>
        <w:t xml:space="preserve"> smaller centre with a Coles, </w:t>
      </w:r>
      <w:r w:rsidR="00314ACD">
        <w:rPr>
          <w:rFonts w:cs="Arial"/>
        </w:rPr>
        <w:t xml:space="preserve">a </w:t>
      </w:r>
      <w:r>
        <w:rPr>
          <w:rFonts w:cs="Arial"/>
        </w:rPr>
        <w:t>Target and approximately 30 specialty stores</w:t>
      </w:r>
      <w:r w:rsidR="00A47126">
        <w:rPr>
          <w:rFonts w:cs="Arial"/>
        </w:rPr>
        <w:t xml:space="preserve"> in a single-storey, open air location adjacent to a non-enclosed parking facility</w:t>
      </w:r>
      <w:r>
        <w:rPr>
          <w:rFonts w:cs="Arial"/>
        </w:rPr>
        <w:t xml:space="preserve">. </w:t>
      </w:r>
    </w:p>
    <w:p w:rsidR="004134D1" w:rsidRPr="00CE37C2" w:rsidRDefault="004134D1" w:rsidP="004134D1">
      <w:pPr>
        <w:pStyle w:val="NormalParagraph"/>
      </w:pPr>
      <w:r w:rsidRPr="00CE37C2">
        <w:rPr>
          <w:rFonts w:cs="Arial"/>
        </w:rPr>
        <w:t xml:space="preserve">Other shopping centres in the area </w:t>
      </w:r>
      <w:r w:rsidR="00073113">
        <w:rPr>
          <w:rFonts w:cs="Arial"/>
        </w:rPr>
        <w:t>are</w:t>
      </w:r>
      <w:r w:rsidR="00073113" w:rsidRPr="00CE37C2">
        <w:rPr>
          <w:rFonts w:cs="Arial"/>
        </w:rPr>
        <w:t xml:space="preserve"> </w:t>
      </w:r>
      <w:r w:rsidRPr="00CE37C2">
        <w:rPr>
          <w:rFonts w:cs="Arial"/>
        </w:rPr>
        <w:t>markedly smaller in size and d</w:t>
      </w:r>
      <w:r w:rsidR="0015392F">
        <w:rPr>
          <w:rFonts w:cs="Arial"/>
        </w:rPr>
        <w:t>id</w:t>
      </w:r>
      <w:r w:rsidRPr="00CE37C2">
        <w:rPr>
          <w:rFonts w:cs="Arial"/>
        </w:rPr>
        <w:t xml:space="preserve"> not have the equivalent amenities or retai</w:t>
      </w:r>
      <w:r w:rsidR="00BD6F28">
        <w:rPr>
          <w:rFonts w:cs="Arial"/>
        </w:rPr>
        <w:t>l offering</w:t>
      </w:r>
      <w:r w:rsidRPr="00CE37C2">
        <w:rPr>
          <w:rFonts w:cs="Arial"/>
        </w:rPr>
        <w:t xml:space="preserve"> that customers </w:t>
      </w:r>
      <w:r w:rsidR="0015392F">
        <w:rPr>
          <w:rFonts w:cs="Arial"/>
        </w:rPr>
        <w:t xml:space="preserve">value when </w:t>
      </w:r>
      <w:r w:rsidRPr="00CE37C2">
        <w:rPr>
          <w:rFonts w:cs="Arial"/>
        </w:rPr>
        <w:t xml:space="preserve">engaging in multi-purpose shopping. </w:t>
      </w:r>
      <w:r>
        <w:rPr>
          <w:rFonts w:cs="Arial"/>
        </w:rPr>
        <w:t xml:space="preserve">The ACCC considered that it </w:t>
      </w:r>
      <w:r w:rsidR="0015392F">
        <w:rPr>
          <w:rFonts w:cs="Arial"/>
        </w:rPr>
        <w:t>was</w:t>
      </w:r>
      <w:r>
        <w:rPr>
          <w:rFonts w:cs="Arial"/>
        </w:rPr>
        <w:t xml:space="preserve"> unlikely that any of</w:t>
      </w:r>
      <w:r w:rsidR="00757DFA">
        <w:rPr>
          <w:rFonts w:cs="Arial"/>
        </w:rPr>
        <w:t xml:space="preserve"> these shopping centres would pose</w:t>
      </w:r>
      <w:r>
        <w:rPr>
          <w:rFonts w:cs="Arial"/>
        </w:rPr>
        <w:t xml:space="preserve"> a significant competitive constraint on the merged entity post-acquisition.</w:t>
      </w:r>
    </w:p>
    <w:p w:rsidR="004134D1" w:rsidRPr="0017275D" w:rsidRDefault="004134D1" w:rsidP="004134D1">
      <w:pPr>
        <w:pStyle w:val="NormalParagraph"/>
      </w:pPr>
      <w:r>
        <w:rPr>
          <w:rFonts w:cs="Arial"/>
        </w:rPr>
        <w:t xml:space="preserve">The nearest major shopping centres </w:t>
      </w:r>
      <w:r w:rsidR="00BD6F28">
        <w:rPr>
          <w:rFonts w:cs="Arial"/>
        </w:rPr>
        <w:t xml:space="preserve">to the centres owned by the merger parties in South East Melbourne </w:t>
      </w:r>
      <w:r w:rsidR="00073113">
        <w:rPr>
          <w:rFonts w:cs="Arial"/>
        </w:rPr>
        <w:t xml:space="preserve">is </w:t>
      </w:r>
      <w:r>
        <w:t>Southland shopping centre</w:t>
      </w:r>
      <w:r w:rsidR="00BD6F28">
        <w:t xml:space="preserve"> </w:t>
      </w:r>
      <w:r w:rsidR="00314ACD">
        <w:t>–</w:t>
      </w:r>
      <w:r w:rsidR="00BD6F28">
        <w:t xml:space="preserve"> </w:t>
      </w:r>
      <w:r>
        <w:t>located</w:t>
      </w:r>
      <w:r w:rsidR="00314ACD">
        <w:t xml:space="preserve"> </w:t>
      </w:r>
      <w:r>
        <w:t xml:space="preserve">25 kilometres from </w:t>
      </w:r>
      <w:r w:rsidR="00A47126">
        <w:t xml:space="preserve">the Frankston CBD </w:t>
      </w:r>
      <w:r>
        <w:t>in Cheltenham, and Fountain Gate</w:t>
      </w:r>
      <w:r w:rsidR="00BD6F28">
        <w:t xml:space="preserve"> </w:t>
      </w:r>
      <w:r w:rsidR="00314ACD">
        <w:t>–</w:t>
      </w:r>
      <w:r w:rsidR="00BD6F28">
        <w:t xml:space="preserve"> </w:t>
      </w:r>
      <w:r>
        <w:t>located</w:t>
      </w:r>
      <w:r w:rsidR="00314ACD">
        <w:t xml:space="preserve"> </w:t>
      </w:r>
      <w:r>
        <w:t xml:space="preserve">29 kilometres away in Narre Warren. The ACCC considered that these shopping centres </w:t>
      </w:r>
      <w:r w:rsidR="00073113">
        <w:t xml:space="preserve">are </w:t>
      </w:r>
      <w:r>
        <w:t>not within the relevant geographic market</w:t>
      </w:r>
      <w:r w:rsidRPr="0017275D">
        <w:rPr>
          <w:rFonts w:cs="Arial"/>
        </w:rPr>
        <w:t>.</w:t>
      </w:r>
    </w:p>
    <w:p w:rsidR="004134D1" w:rsidRDefault="004134D1" w:rsidP="004134D1">
      <w:pPr>
        <w:pStyle w:val="NormalParagraph"/>
      </w:pPr>
      <w:r>
        <w:t xml:space="preserve">The ACCC considered that </w:t>
      </w:r>
      <w:r w:rsidR="00BD6F28">
        <w:t xml:space="preserve">the </w:t>
      </w:r>
      <w:r>
        <w:t>loss of competition between Bayside and Karingal may reduce the incentive of the merged entity to redevelop and improve the amenities at either or both shopping centres, thereby reducing the quality of each centre’s offering compared to the future without the acquisition.</w:t>
      </w:r>
    </w:p>
    <w:p w:rsidR="007A09CB" w:rsidRPr="009A2DF8" w:rsidRDefault="007A09CB" w:rsidP="0091539A">
      <w:pPr>
        <w:pStyle w:val="Heading5"/>
        <w:rPr>
          <w:rFonts w:cs="Arial"/>
        </w:rPr>
      </w:pPr>
      <w:r>
        <w:rPr>
          <w:rFonts w:ascii="Arial" w:hAnsi="Arial" w:cs="Arial"/>
        </w:rPr>
        <w:t>Retailers</w:t>
      </w:r>
    </w:p>
    <w:p w:rsidR="004134D1" w:rsidRPr="00291B56" w:rsidRDefault="004134D1" w:rsidP="0091539A">
      <w:pPr>
        <w:pStyle w:val="NormalParagraph"/>
        <w:ind w:left="425" w:hanging="425"/>
      </w:pPr>
      <w:r>
        <w:rPr>
          <w:rFonts w:cs="Arial"/>
        </w:rPr>
        <w:t xml:space="preserve">The ACCC also considered that the proposed merger </w:t>
      </w:r>
      <w:r w:rsidR="00DE35BC">
        <w:rPr>
          <w:rFonts w:cs="Arial"/>
        </w:rPr>
        <w:t>may</w:t>
      </w:r>
      <w:r>
        <w:rPr>
          <w:rFonts w:cs="Arial"/>
        </w:rPr>
        <w:t xml:space="preserve"> </w:t>
      </w:r>
      <w:r w:rsidR="00DE35BC">
        <w:rPr>
          <w:rFonts w:cs="Arial"/>
        </w:rPr>
        <w:t>lessen</w:t>
      </w:r>
      <w:r>
        <w:rPr>
          <w:rFonts w:cs="Arial"/>
        </w:rPr>
        <w:t xml:space="preserve"> competition in the </w:t>
      </w:r>
      <w:r w:rsidR="00BD6F28">
        <w:rPr>
          <w:rFonts w:cs="Arial"/>
        </w:rPr>
        <w:t>S</w:t>
      </w:r>
      <w:r>
        <w:rPr>
          <w:rFonts w:cs="Arial"/>
        </w:rPr>
        <w:t>outh</w:t>
      </w:r>
      <w:r w:rsidR="00BD6F28">
        <w:rPr>
          <w:rFonts w:cs="Arial"/>
        </w:rPr>
        <w:t xml:space="preserve"> E</w:t>
      </w:r>
      <w:r>
        <w:rPr>
          <w:rFonts w:cs="Arial"/>
        </w:rPr>
        <w:t>ast Melbourne market for the supply of retail space in shopping centres to retailers.</w:t>
      </w:r>
      <w:r w:rsidR="00291B56">
        <w:rPr>
          <w:rFonts w:cs="Arial"/>
        </w:rPr>
        <w:t xml:space="preserve"> </w:t>
      </w:r>
    </w:p>
    <w:p w:rsidR="00AE1BB4" w:rsidRDefault="00291B56" w:rsidP="0016744C">
      <w:pPr>
        <w:pStyle w:val="NormalParagraph"/>
      </w:pPr>
      <w:r w:rsidRPr="00291B56">
        <w:t>The ACCC considered that a loss of competition between the merger parties</w:t>
      </w:r>
      <w:r w:rsidR="003328B4">
        <w:t xml:space="preserve"> to attract shoppers to their respective shopping centres </w:t>
      </w:r>
      <w:r w:rsidRPr="00291B56">
        <w:t>in the South East Melbourne market</w:t>
      </w:r>
      <w:r w:rsidR="003328B4">
        <w:t xml:space="preserve"> would in turn reduce the need for the shopping centres to compete to attract and retain retailers (who</w:t>
      </w:r>
      <w:r w:rsidR="00AE1BB4">
        <w:t xml:space="preserve"> would</w:t>
      </w:r>
      <w:r w:rsidR="003328B4">
        <w:t xml:space="preserve"> in turn attract </w:t>
      </w:r>
      <w:r w:rsidR="00AE1BB4">
        <w:t>shoppers).</w:t>
      </w:r>
      <w:r w:rsidR="00B8063B">
        <w:t xml:space="preserve"> T</w:t>
      </w:r>
      <w:r w:rsidR="00C37129">
        <w:t>he absence of alternative regional and sub-regional shopping centres in the South East Melbourne market</w:t>
      </w:r>
      <w:r w:rsidR="00B8063B">
        <w:t>,</w:t>
      </w:r>
      <w:r w:rsidR="000A3585">
        <w:t xml:space="preserve"> and the limited ability of retailers to substitute to other retail spaces in the local area (for example, shopping strips)</w:t>
      </w:r>
      <w:r w:rsidR="00B8063B">
        <w:t>,</w:t>
      </w:r>
      <w:r w:rsidR="000A3585">
        <w:t xml:space="preserve"> may enable the merged entity to extract higher rents from retailers seeking retail space compared with the likely scenario absent the proposed merger. </w:t>
      </w:r>
      <w:r w:rsidR="00AE1BB4">
        <w:t>This loss of competition</w:t>
      </w:r>
      <w:r w:rsidR="000A3585">
        <w:t xml:space="preserve"> to attract retail tenants could also manifest itself in </w:t>
      </w:r>
      <w:r w:rsidR="00AE1BB4">
        <w:t>less favourable non-price terms for retailers (e.g. less flexibility in lease agreements,</w:t>
      </w:r>
      <w:r w:rsidR="00582928">
        <w:t xml:space="preserve"> or a</w:t>
      </w:r>
      <w:r w:rsidR="00AE1BB4">
        <w:t xml:space="preserve"> reduction in the quality of facilities that benefit retailers). </w:t>
      </w:r>
    </w:p>
    <w:p w:rsidR="004134D1" w:rsidRPr="004827D8" w:rsidRDefault="004134D1" w:rsidP="004827D8">
      <w:pPr>
        <w:pStyle w:val="Heading5"/>
        <w:rPr>
          <w:rFonts w:ascii="Arial" w:hAnsi="Arial"/>
          <w:iCs/>
        </w:rPr>
      </w:pPr>
      <w:r w:rsidRPr="004827D8">
        <w:rPr>
          <w:rFonts w:ascii="Arial" w:hAnsi="Arial"/>
          <w:iCs/>
        </w:rPr>
        <w:t>Other markets</w:t>
      </w:r>
    </w:p>
    <w:p w:rsidR="004134D1" w:rsidRPr="0095767C" w:rsidRDefault="004134D1" w:rsidP="004134D1">
      <w:pPr>
        <w:pStyle w:val="NormalParagraph"/>
      </w:pPr>
      <w:r w:rsidRPr="0095767C">
        <w:t>As outlined above, there are seven other</w:t>
      </w:r>
      <w:r w:rsidR="00582928">
        <w:t xml:space="preserve"> regions</w:t>
      </w:r>
      <w:r w:rsidRPr="0095767C">
        <w:t xml:space="preserve"> where the merger </w:t>
      </w:r>
      <w:proofErr w:type="gramStart"/>
      <w:r w:rsidRPr="0095767C">
        <w:t>parties</w:t>
      </w:r>
      <w:proofErr w:type="gramEnd"/>
      <w:r w:rsidRPr="0095767C">
        <w:t xml:space="preserve"> overlap based on a 10</w:t>
      </w:r>
      <w:r w:rsidR="003E646F">
        <w:t xml:space="preserve"> kilometre</w:t>
      </w:r>
      <w:r w:rsidRPr="0095767C">
        <w:t xml:space="preserve"> radius from a target shopping centr</w:t>
      </w:r>
      <w:r w:rsidR="00BD6F28">
        <w:t>e – S</w:t>
      </w:r>
      <w:r w:rsidRPr="0095767C">
        <w:t>outh</w:t>
      </w:r>
      <w:r w:rsidR="00BD6F28">
        <w:t xml:space="preserve"> W</w:t>
      </w:r>
      <w:r w:rsidRPr="0095767C">
        <w:t xml:space="preserve">est Perth, Brisbane, </w:t>
      </w:r>
      <w:r w:rsidR="00291B56">
        <w:t xml:space="preserve">the </w:t>
      </w:r>
      <w:r w:rsidRPr="0095767C">
        <w:t xml:space="preserve">Melbourne CBD, </w:t>
      </w:r>
      <w:r w:rsidR="00BD6F28">
        <w:t>E</w:t>
      </w:r>
      <w:r w:rsidRPr="0095767C">
        <w:t xml:space="preserve">ast Melbourne, </w:t>
      </w:r>
      <w:r w:rsidR="00BD6F28">
        <w:t>W</w:t>
      </w:r>
      <w:r w:rsidRPr="0095767C">
        <w:t>est Melbourne, Adelaide and Geelong.</w:t>
      </w:r>
    </w:p>
    <w:p w:rsidR="004134D1" w:rsidRPr="0095767C" w:rsidRDefault="004134D1" w:rsidP="004134D1">
      <w:pPr>
        <w:pStyle w:val="NormalParagraph"/>
      </w:pPr>
      <w:r w:rsidRPr="0095767C">
        <w:lastRenderedPageBreak/>
        <w:t>The ACCC considered that in these regions there appear to be sufficient alternatives to the merger parties</w:t>
      </w:r>
      <w:r w:rsidR="00D313A7">
        <w:t xml:space="preserve"> that would act as a competitive constraint</w:t>
      </w:r>
      <w:r w:rsidRPr="0095767C">
        <w:t xml:space="preserve"> and</w:t>
      </w:r>
      <w:r w:rsidR="00D313A7">
        <w:t xml:space="preserve"> therefore</w:t>
      </w:r>
      <w:r w:rsidR="00757DFA">
        <w:t xml:space="preserve"> competition concerns are less </w:t>
      </w:r>
      <w:r w:rsidRPr="0095767C">
        <w:t>likely.</w:t>
      </w:r>
    </w:p>
    <w:p w:rsidR="0015392F" w:rsidRPr="0095767C" w:rsidRDefault="004134D1" w:rsidP="004134D1">
      <w:pPr>
        <w:pStyle w:val="NormalParagraph"/>
      </w:pPr>
      <w:r w:rsidRPr="0095767C">
        <w:t xml:space="preserve">Additionally, in some </w:t>
      </w:r>
      <w:r w:rsidR="00582928">
        <w:t>region</w:t>
      </w:r>
      <w:r w:rsidRPr="0095767C">
        <w:t xml:space="preserve">s including </w:t>
      </w:r>
      <w:r w:rsidR="00D313A7">
        <w:t>W</w:t>
      </w:r>
      <w:r w:rsidRPr="0095767C">
        <w:t>est Melbourne</w:t>
      </w:r>
      <w:r w:rsidR="00960382">
        <w:t xml:space="preserve">, </w:t>
      </w:r>
      <w:r w:rsidR="00291B56">
        <w:t xml:space="preserve">the </w:t>
      </w:r>
      <w:r w:rsidR="00960382">
        <w:t>Melbourne CBD and Geelong</w:t>
      </w:r>
      <w:r w:rsidRPr="0095767C">
        <w:t>, the ACCC considered that there was minimal competitive overlap between the parties due to the distance between the parties’ shopping centres</w:t>
      </w:r>
      <w:r w:rsidR="007F4B4E">
        <w:t xml:space="preserve"> and therefore the proposed acquisition was unlikely to substantially lessen competition in those </w:t>
      </w:r>
      <w:r w:rsidR="00582928">
        <w:t>region</w:t>
      </w:r>
      <w:r w:rsidR="007F4B4E">
        <w:t>s</w:t>
      </w:r>
      <w:r w:rsidRPr="0095767C">
        <w:t>.</w:t>
      </w:r>
    </w:p>
    <w:p w:rsidR="004134D1" w:rsidRDefault="004134D1" w:rsidP="004134D1">
      <w:pPr>
        <w:pStyle w:val="Heading3"/>
      </w:pPr>
      <w:r>
        <w:t>Undertaking</w:t>
      </w:r>
      <w:r w:rsidR="007952E3">
        <w:t>s</w:t>
      </w:r>
    </w:p>
    <w:p w:rsidR="004134D1" w:rsidRPr="0095767C" w:rsidRDefault="004134D1" w:rsidP="004134D1">
      <w:pPr>
        <w:pStyle w:val="NormalParagraph"/>
      </w:pPr>
      <w:r>
        <w:t xml:space="preserve">In order to address the ACCC’s competition concerns, the parties provided </w:t>
      </w:r>
      <w:r w:rsidR="007F4B4E">
        <w:t xml:space="preserve">court enforceable undertakings under </w:t>
      </w:r>
      <w:r>
        <w:t xml:space="preserve">section 87B </w:t>
      </w:r>
      <w:r w:rsidR="007F4B4E">
        <w:t>of the Act</w:t>
      </w:r>
      <w:r>
        <w:t xml:space="preserve"> to divest either Federation Centres’ 50% interest in the Karingal </w:t>
      </w:r>
      <w:r w:rsidRPr="0095767C">
        <w:t xml:space="preserve">Hub shopping centre or Novion’s 100% interest in the </w:t>
      </w:r>
      <w:proofErr w:type="gramStart"/>
      <w:r w:rsidRPr="0095767C">
        <w:t>Bayside</w:t>
      </w:r>
      <w:proofErr w:type="gramEnd"/>
      <w:r w:rsidRPr="0095767C">
        <w:t xml:space="preserve"> shopping centre to an ACCC approved purchaser.</w:t>
      </w:r>
    </w:p>
    <w:p w:rsidR="004134D1" w:rsidRPr="00E40E08" w:rsidRDefault="004134D1" w:rsidP="004134D1">
      <w:pPr>
        <w:pStyle w:val="NormalParagraph"/>
      </w:pPr>
      <w:r>
        <w:t xml:space="preserve">The ACCC considered that the divestiture of either of these shopping centres </w:t>
      </w:r>
      <w:r w:rsidR="00D67888">
        <w:t xml:space="preserve">would </w:t>
      </w:r>
      <w:r>
        <w:t>re</w:t>
      </w:r>
      <w:r w:rsidR="007F4B4E">
        <w:t xml:space="preserve">store the pre-merger position whereby two independent </w:t>
      </w:r>
      <w:r>
        <w:t>parties</w:t>
      </w:r>
      <w:r w:rsidR="007F4B4E">
        <w:t xml:space="preserve"> compete</w:t>
      </w:r>
      <w:r w:rsidR="009A2DF8">
        <w:t xml:space="preserve"> for the</w:t>
      </w:r>
      <w:r>
        <w:t xml:space="preserve"> supply of shopping centre amenities to customers</w:t>
      </w:r>
      <w:r w:rsidR="009A2DF8">
        <w:t>, and the supply of retail space in shopping centres to retailers</w:t>
      </w:r>
      <w:r>
        <w:t xml:space="preserve"> in South East Melbourne. </w:t>
      </w:r>
      <w:r w:rsidR="00073113">
        <w:t xml:space="preserve">On this basis the </w:t>
      </w:r>
      <w:r>
        <w:t xml:space="preserve">undertakings </w:t>
      </w:r>
      <w:r w:rsidR="00073113">
        <w:t>were considered likely to</w:t>
      </w:r>
      <w:r>
        <w:t xml:space="preserve"> address the competition concerns and ensure that existing competition in the market is maintained. </w:t>
      </w:r>
    </w:p>
    <w:p w:rsidR="004134D1" w:rsidRDefault="004134D1" w:rsidP="004134D1">
      <w:pPr>
        <w:pStyle w:val="Heading3"/>
      </w:pPr>
      <w:r>
        <w:t xml:space="preserve">Conclusion </w:t>
      </w:r>
    </w:p>
    <w:p w:rsidR="004134D1" w:rsidRDefault="004134D1" w:rsidP="004134D1">
      <w:pPr>
        <w:pStyle w:val="NormalParagraph"/>
      </w:pPr>
      <w:r>
        <w:t>The ACCC concluded that the proposed merger was likely to raise significant competition concerns in the South East Melbourne market</w:t>
      </w:r>
      <w:r w:rsidR="004F5638">
        <w:t>s for</w:t>
      </w:r>
      <w:r w:rsidR="004F5638" w:rsidRPr="004F5638">
        <w:t xml:space="preserve"> </w:t>
      </w:r>
      <w:r w:rsidR="004F5638">
        <w:t>the supply of shopping centre amenities to shoppers</w:t>
      </w:r>
      <w:r w:rsidR="009A2DF8">
        <w:t xml:space="preserve"> and </w:t>
      </w:r>
      <w:r w:rsidR="00582928">
        <w:t xml:space="preserve">for </w:t>
      </w:r>
      <w:r w:rsidR="009A2DF8">
        <w:t>the supply of retail space in shopping centres to retailers</w:t>
      </w:r>
      <w:r w:rsidR="00582928">
        <w:t>,</w:t>
      </w:r>
      <w:r>
        <w:t xml:space="preserve"> as it would bring together the only two shopping centres of significant size in the Frankston area. The ACCC did not identify competition concerns in any other market.</w:t>
      </w:r>
    </w:p>
    <w:p w:rsidR="004134D1" w:rsidRDefault="004134D1" w:rsidP="004134D1">
      <w:pPr>
        <w:pStyle w:val="NormalParagraph"/>
      </w:pPr>
      <w:r>
        <w:t>The section 87B undertaking</w:t>
      </w:r>
      <w:r w:rsidR="007F4B4E">
        <w:t>s</w:t>
      </w:r>
      <w:r>
        <w:t xml:space="preserve"> accepted by the ACCC compel the merger parties to divest one of these shopping centres to a</w:t>
      </w:r>
      <w:r w:rsidR="00073113">
        <w:t>n</w:t>
      </w:r>
      <w:r>
        <w:t xml:space="preserve"> </w:t>
      </w:r>
      <w:r w:rsidR="00073113">
        <w:t xml:space="preserve">effective </w:t>
      </w:r>
      <w:r>
        <w:t xml:space="preserve">independent competitor </w:t>
      </w:r>
      <w:r w:rsidR="00073113">
        <w:t xml:space="preserve">in the event that </w:t>
      </w:r>
      <w:r>
        <w:t>the merger proceed</w:t>
      </w:r>
      <w:r w:rsidR="00073113">
        <w:t>s</w:t>
      </w:r>
      <w:r>
        <w:t>, thereby alleviating the competition concerns identified by the ACCC in th</w:t>
      </w:r>
      <w:r w:rsidR="004F5638">
        <w:t>e</w:t>
      </w:r>
      <w:r>
        <w:t xml:space="preserve"> </w:t>
      </w:r>
      <w:r w:rsidR="00073113">
        <w:t xml:space="preserve">South East Melbourne </w:t>
      </w:r>
      <w:r>
        <w:t xml:space="preserve">market. </w:t>
      </w:r>
    </w:p>
    <w:p w:rsidR="00496B6D" w:rsidRDefault="004134D1" w:rsidP="00496B6D">
      <w:pPr>
        <w:pStyle w:val="NormalParagraph"/>
      </w:pPr>
      <w:r>
        <w:t>Taking into account the section 87B undertaking</w:t>
      </w:r>
      <w:r w:rsidR="007F4B4E">
        <w:t>s</w:t>
      </w:r>
      <w:r>
        <w:t xml:space="preserve">, the ACCC concluded that the proposed merger was unlikely to substantially lessen competition. </w:t>
      </w:r>
    </w:p>
    <w:p w:rsidR="00C7223C" w:rsidRDefault="00C7223C" w:rsidP="00940EC1">
      <w:pPr>
        <w:pStyle w:val="Heading2"/>
        <w:pBdr>
          <w:bottom w:val="none" w:sz="0" w:space="0" w:color="auto"/>
        </w:pBdr>
        <w:jc w:val="left"/>
      </w:pPr>
    </w:p>
    <w:sectPr w:rsidR="00C7223C">
      <w:headerReference w:type="even" r:id="rId10"/>
      <w:headerReference w:type="default" r:id="rId11"/>
      <w:footerReference w:type="even" r:id="rId12"/>
      <w:footerReference w:type="default" r:id="rId13"/>
      <w:headerReference w:type="first" r:id="rId14"/>
      <w:footerReference w:type="first" r:id="rId15"/>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4B62" w:rsidRDefault="00FE4B62">
      <w:r>
        <w:separator/>
      </w:r>
    </w:p>
  </w:endnote>
  <w:endnote w:type="continuationSeparator" w:id="0">
    <w:p w:rsidR="00FE4B62" w:rsidRDefault="00FE4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Default="00B842B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B842B5" w:rsidRDefault="00B842B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86356B">
      <w:rPr>
        <w:rFonts w:ascii="Arial" w:hAnsi="Arial" w:cs="Arial"/>
        <w:b/>
        <w:noProof/>
        <w:sz w:val="22"/>
        <w:szCs w:val="22"/>
      </w:rPr>
      <w:t>2</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86356B">
      <w:rPr>
        <w:rFonts w:ascii="Arial" w:hAnsi="Arial" w:cs="Arial"/>
        <w:b/>
        <w:noProof/>
        <w:sz w:val="22"/>
        <w:szCs w:val="22"/>
      </w:rPr>
      <w:t>9</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D11F62" w:rsidRDefault="00B842B5">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86356B">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86356B">
      <w:rPr>
        <w:rFonts w:ascii="Arial" w:hAnsi="Arial" w:cs="Arial"/>
        <w:b/>
        <w:noProof/>
        <w:sz w:val="22"/>
        <w:szCs w:val="22"/>
      </w:rPr>
      <w:t>9</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4B62" w:rsidRDefault="00FE4B62">
      <w:r>
        <w:separator/>
      </w:r>
    </w:p>
  </w:footnote>
  <w:footnote w:type="continuationSeparator" w:id="0">
    <w:p w:rsidR="00FE4B62" w:rsidRDefault="00FE4B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EB2" w:rsidRDefault="003A0E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EB2" w:rsidRDefault="003A0E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0A8A"/>
    <w:multiLevelType w:val="multilevel"/>
    <w:tmpl w:val="1240A34C"/>
    <w:lvl w:ilvl="0">
      <w:start w:val="1"/>
      <w:numFmt w:val="bullet"/>
      <w:lvlText w:val=""/>
      <w:lvlJc w:val="left"/>
      <w:pPr>
        <w:tabs>
          <w:tab w:val="num" w:pos="1080"/>
        </w:tabs>
        <w:ind w:left="1080" w:hanging="360"/>
      </w:pPr>
      <w:rPr>
        <w:rFonts w:ascii="Symbol" w:hAnsi="Symbol" w:hint="default"/>
        <w:sz w:val="24"/>
      </w:rPr>
    </w:lvl>
    <w:lvl w:ilvl="1">
      <w:start w:val="1"/>
      <w:numFmt w:val="bullet"/>
      <w:lvlText w:val=""/>
      <w:lvlJc w:val="left"/>
      <w:pPr>
        <w:tabs>
          <w:tab w:val="num" w:pos="1440"/>
        </w:tabs>
        <w:ind w:left="1440" w:hanging="360"/>
      </w:pPr>
      <w:rPr>
        <w:rFonts w:ascii="Wingdings" w:hAnsi="Wingdings" w:hint="default"/>
        <w:sz w:val="22"/>
        <w:szCs w:val="22"/>
      </w:rPr>
    </w:lvl>
    <w:lvl w:ilvl="2">
      <w:start w:val="1"/>
      <w:numFmt w:val="bullet"/>
      <w:lvlText w:val="–"/>
      <w:lvlJc w:val="left"/>
      <w:pPr>
        <w:tabs>
          <w:tab w:val="num" w:pos="1800"/>
        </w:tabs>
        <w:ind w:left="1800" w:hanging="360"/>
      </w:pPr>
      <w:rPr>
        <w:rFonts w:ascii="Times New Roman" w:hAnsi="Times New Roman" w:hint="default"/>
        <w:sz w:val="24"/>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
    <w:nsid w:val="0DD2542B"/>
    <w:multiLevelType w:val="hybridMultilevel"/>
    <w:tmpl w:val="60FAC388"/>
    <w:lvl w:ilvl="0" w:tplc="50264BE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0704DCB"/>
    <w:multiLevelType w:val="hybridMultilevel"/>
    <w:tmpl w:val="37A6481C"/>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4">
    <w:nsid w:val="1B0C5CB3"/>
    <w:multiLevelType w:val="hybridMultilevel"/>
    <w:tmpl w:val="3634BA52"/>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FD26162"/>
    <w:multiLevelType w:val="hybridMultilevel"/>
    <w:tmpl w:val="94B43E30"/>
    <w:lvl w:ilvl="0" w:tplc="08586C44">
      <w:start w:val="1"/>
      <w:numFmt w:val="decimal"/>
      <w:lvlText w:val="%1."/>
      <w:lvlJc w:val="left"/>
      <w:pPr>
        <w:tabs>
          <w:tab w:val="num" w:pos="567"/>
        </w:tabs>
        <w:ind w:left="567" w:hanging="567"/>
      </w:pPr>
      <w:rPr>
        <w:rFonts w:ascii="Arial" w:hAnsi="Arial" w:cs="Arial" w:hint="default"/>
        <w:b w:val="0"/>
        <w:i w:val="0"/>
        <w:sz w:val="22"/>
        <w:szCs w:val="22"/>
      </w:rPr>
    </w:lvl>
    <w:lvl w:ilvl="1" w:tplc="24AC30B0">
      <w:start w:val="1"/>
      <w:numFmt w:val="bullet"/>
      <w:lvlText w:val=""/>
      <w:lvlJc w:val="left"/>
      <w:pPr>
        <w:tabs>
          <w:tab w:val="num" w:pos="502"/>
        </w:tabs>
        <w:ind w:left="502" w:hanging="360"/>
      </w:pPr>
      <w:rPr>
        <w:rFonts w:ascii="Symbol" w:hAnsi="Symbol" w:hint="default"/>
      </w:rPr>
    </w:lvl>
    <w:lvl w:ilvl="2" w:tplc="0C090001">
      <w:start w:val="1"/>
      <w:numFmt w:val="bullet"/>
      <w:lvlText w:val=""/>
      <w:lvlJc w:val="left"/>
      <w:pPr>
        <w:tabs>
          <w:tab w:val="num" w:pos="2160"/>
        </w:tabs>
        <w:ind w:left="2160" w:hanging="180"/>
      </w:pPr>
      <w:rPr>
        <w:rFonts w:ascii="Symbol" w:hAnsi="Symbol" w:hint="default"/>
        <w:sz w:val="22"/>
        <w:szCs w:val="22"/>
      </w:rPr>
    </w:lvl>
    <w:lvl w:ilvl="3" w:tplc="0C090019">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2AC62A43"/>
    <w:multiLevelType w:val="multilevel"/>
    <w:tmpl w:val="1240A34C"/>
    <w:lvl w:ilvl="0">
      <w:start w:val="1"/>
      <w:numFmt w:val="bullet"/>
      <w:lvlText w:val=""/>
      <w:lvlJc w:val="left"/>
      <w:pPr>
        <w:tabs>
          <w:tab w:val="num" w:pos="1080"/>
        </w:tabs>
        <w:ind w:left="1080" w:hanging="360"/>
      </w:pPr>
      <w:rPr>
        <w:rFonts w:ascii="Symbol" w:hAnsi="Symbol" w:hint="default"/>
        <w:sz w:val="24"/>
      </w:rPr>
    </w:lvl>
    <w:lvl w:ilvl="1">
      <w:start w:val="1"/>
      <w:numFmt w:val="bullet"/>
      <w:lvlText w:val=""/>
      <w:lvlJc w:val="left"/>
      <w:pPr>
        <w:tabs>
          <w:tab w:val="num" w:pos="1440"/>
        </w:tabs>
        <w:ind w:left="1440" w:hanging="360"/>
      </w:pPr>
      <w:rPr>
        <w:rFonts w:ascii="Wingdings" w:hAnsi="Wingdings" w:hint="default"/>
        <w:sz w:val="22"/>
        <w:szCs w:val="22"/>
      </w:rPr>
    </w:lvl>
    <w:lvl w:ilvl="2">
      <w:start w:val="1"/>
      <w:numFmt w:val="bullet"/>
      <w:lvlText w:val="–"/>
      <w:lvlJc w:val="left"/>
      <w:pPr>
        <w:tabs>
          <w:tab w:val="num" w:pos="1800"/>
        </w:tabs>
        <w:ind w:left="1800" w:hanging="360"/>
      </w:pPr>
      <w:rPr>
        <w:rFonts w:ascii="Times New Roman" w:hAnsi="Times New Roman" w:hint="default"/>
        <w:sz w:val="24"/>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9">
    <w:nsid w:val="329237AE"/>
    <w:multiLevelType w:val="hybridMultilevel"/>
    <w:tmpl w:val="76E8FF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nsid w:val="391A4841"/>
    <w:multiLevelType w:val="hybridMultilevel"/>
    <w:tmpl w:val="6ADE23D0"/>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12">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3">
    <w:nsid w:val="43D17458"/>
    <w:multiLevelType w:val="hybridMultilevel"/>
    <w:tmpl w:val="36C2FAB4"/>
    <w:lvl w:ilvl="0" w:tplc="0C090001">
      <w:start w:val="1"/>
      <w:numFmt w:val="bullet"/>
      <w:lvlText w:val=""/>
      <w:lvlJc w:val="left"/>
      <w:pPr>
        <w:tabs>
          <w:tab w:val="num" w:pos="862"/>
        </w:tabs>
        <w:ind w:left="862" w:hanging="360"/>
      </w:pPr>
      <w:rPr>
        <w:rFonts w:ascii="Symbol" w:hAnsi="Symbol" w:hint="default"/>
        <w:sz w:val="22"/>
        <w:szCs w:val="22"/>
      </w:rPr>
    </w:lvl>
    <w:lvl w:ilvl="1" w:tplc="FFFFFFFF">
      <w:start w:val="1"/>
      <w:numFmt w:val="decimal"/>
      <w:lvlText w:val="%2."/>
      <w:lvlJc w:val="left"/>
      <w:pPr>
        <w:tabs>
          <w:tab w:val="num" w:pos="862"/>
        </w:tabs>
        <w:ind w:left="862" w:hanging="360"/>
      </w:pPr>
    </w:lvl>
    <w:lvl w:ilvl="2" w:tplc="0C090005">
      <w:start w:val="1"/>
      <w:numFmt w:val="bullet"/>
      <w:lvlText w:val=""/>
      <w:lvlJc w:val="left"/>
      <w:pPr>
        <w:tabs>
          <w:tab w:val="num" w:pos="862"/>
        </w:tabs>
        <w:ind w:left="862" w:hanging="360"/>
      </w:pPr>
      <w:rPr>
        <w:rFonts w:ascii="Wingdings" w:hAnsi="Wingdings" w:hint="default"/>
        <w:b/>
        <w:sz w:val="22"/>
        <w:szCs w:val="22"/>
      </w:rPr>
    </w:lvl>
    <w:lvl w:ilvl="3" w:tplc="0C090003">
      <w:start w:val="1"/>
      <w:numFmt w:val="bullet"/>
      <w:lvlText w:val="o"/>
      <w:lvlJc w:val="left"/>
      <w:pPr>
        <w:tabs>
          <w:tab w:val="num" w:pos="3240"/>
        </w:tabs>
        <w:ind w:left="3240" w:hanging="360"/>
      </w:pPr>
      <w:rPr>
        <w:rFonts w:ascii="Courier New" w:hAnsi="Courier New" w:cs="Courier New" w:hint="default"/>
        <w:sz w:val="22"/>
        <w:szCs w:val="22"/>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4">
    <w:nsid w:val="44E305FB"/>
    <w:multiLevelType w:val="multilevel"/>
    <w:tmpl w:val="CEB0C218"/>
    <w:lvl w:ilvl="0">
      <w:start w:val="1"/>
      <w:numFmt w:val="decimal"/>
      <w:pStyle w:val="NormalParagraph"/>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sz w:val="22"/>
        <w:szCs w:val="2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4A3F0692"/>
    <w:multiLevelType w:val="multilevel"/>
    <w:tmpl w:val="7BC83B62"/>
    <w:lvl w:ilvl="0">
      <w:start w:val="1"/>
      <w:numFmt w:val="decimal"/>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b/>
        <w:sz w:val="22"/>
        <w:szCs w:val="2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nsid w:val="4FFE7720"/>
    <w:multiLevelType w:val="hybridMultilevel"/>
    <w:tmpl w:val="3822CF6A"/>
    <w:lvl w:ilvl="0" w:tplc="0C090005">
      <w:start w:val="1"/>
      <w:numFmt w:val="bullet"/>
      <w:lvlText w:val=""/>
      <w:lvlJc w:val="left"/>
      <w:pPr>
        <w:ind w:left="720" w:hanging="360"/>
      </w:pPr>
      <w:rPr>
        <w:rFonts w:ascii="Wingdings" w:hAnsi="Wingdings" w:hint="default"/>
        <w:b/>
        <w:sz w:val="22"/>
        <w:szCs w:val="2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nsid w:val="55212318"/>
    <w:multiLevelType w:val="hybridMultilevel"/>
    <w:tmpl w:val="8D08DC3A"/>
    <w:lvl w:ilvl="0" w:tplc="0C09001B">
      <w:start w:val="1"/>
      <w:numFmt w:val="lowerRoman"/>
      <w:lvlText w:val="%1."/>
      <w:lvlJc w:val="right"/>
      <w:pPr>
        <w:ind w:left="1195" w:hanging="360"/>
      </w:pPr>
      <w:rPr>
        <w:rFonts w:hint="default"/>
      </w:rPr>
    </w:lvl>
    <w:lvl w:ilvl="1" w:tplc="0C090003" w:tentative="1">
      <w:start w:val="1"/>
      <w:numFmt w:val="bullet"/>
      <w:lvlText w:val="o"/>
      <w:lvlJc w:val="left"/>
      <w:pPr>
        <w:ind w:left="1915" w:hanging="360"/>
      </w:pPr>
      <w:rPr>
        <w:rFonts w:ascii="Courier New" w:hAnsi="Courier New" w:cs="Courier New" w:hint="default"/>
      </w:rPr>
    </w:lvl>
    <w:lvl w:ilvl="2" w:tplc="0C090005" w:tentative="1">
      <w:start w:val="1"/>
      <w:numFmt w:val="bullet"/>
      <w:lvlText w:val=""/>
      <w:lvlJc w:val="left"/>
      <w:pPr>
        <w:ind w:left="2635" w:hanging="360"/>
      </w:pPr>
      <w:rPr>
        <w:rFonts w:ascii="Wingdings" w:hAnsi="Wingdings" w:hint="default"/>
      </w:rPr>
    </w:lvl>
    <w:lvl w:ilvl="3" w:tplc="0C090001" w:tentative="1">
      <w:start w:val="1"/>
      <w:numFmt w:val="bullet"/>
      <w:lvlText w:val=""/>
      <w:lvlJc w:val="left"/>
      <w:pPr>
        <w:ind w:left="3355" w:hanging="360"/>
      </w:pPr>
      <w:rPr>
        <w:rFonts w:ascii="Symbol" w:hAnsi="Symbol" w:hint="default"/>
      </w:rPr>
    </w:lvl>
    <w:lvl w:ilvl="4" w:tplc="0C090003" w:tentative="1">
      <w:start w:val="1"/>
      <w:numFmt w:val="bullet"/>
      <w:lvlText w:val="o"/>
      <w:lvlJc w:val="left"/>
      <w:pPr>
        <w:ind w:left="4075" w:hanging="360"/>
      </w:pPr>
      <w:rPr>
        <w:rFonts w:ascii="Courier New" w:hAnsi="Courier New" w:cs="Courier New" w:hint="default"/>
      </w:rPr>
    </w:lvl>
    <w:lvl w:ilvl="5" w:tplc="0C090005" w:tentative="1">
      <w:start w:val="1"/>
      <w:numFmt w:val="bullet"/>
      <w:lvlText w:val=""/>
      <w:lvlJc w:val="left"/>
      <w:pPr>
        <w:ind w:left="4795" w:hanging="360"/>
      </w:pPr>
      <w:rPr>
        <w:rFonts w:ascii="Wingdings" w:hAnsi="Wingdings" w:hint="default"/>
      </w:rPr>
    </w:lvl>
    <w:lvl w:ilvl="6" w:tplc="0C090001" w:tentative="1">
      <w:start w:val="1"/>
      <w:numFmt w:val="bullet"/>
      <w:lvlText w:val=""/>
      <w:lvlJc w:val="left"/>
      <w:pPr>
        <w:ind w:left="5515" w:hanging="360"/>
      </w:pPr>
      <w:rPr>
        <w:rFonts w:ascii="Symbol" w:hAnsi="Symbol" w:hint="default"/>
      </w:rPr>
    </w:lvl>
    <w:lvl w:ilvl="7" w:tplc="0C090003" w:tentative="1">
      <w:start w:val="1"/>
      <w:numFmt w:val="bullet"/>
      <w:lvlText w:val="o"/>
      <w:lvlJc w:val="left"/>
      <w:pPr>
        <w:ind w:left="6235" w:hanging="360"/>
      </w:pPr>
      <w:rPr>
        <w:rFonts w:ascii="Courier New" w:hAnsi="Courier New" w:cs="Courier New" w:hint="default"/>
      </w:rPr>
    </w:lvl>
    <w:lvl w:ilvl="8" w:tplc="0C090005" w:tentative="1">
      <w:start w:val="1"/>
      <w:numFmt w:val="bullet"/>
      <w:lvlText w:val=""/>
      <w:lvlJc w:val="left"/>
      <w:pPr>
        <w:ind w:left="6955" w:hanging="360"/>
      </w:pPr>
      <w:rPr>
        <w:rFonts w:ascii="Wingdings" w:hAnsi="Wingdings" w:hint="default"/>
      </w:rPr>
    </w:lvl>
  </w:abstractNum>
  <w:abstractNum w:abstractNumId="19">
    <w:nsid w:val="59821838"/>
    <w:multiLevelType w:val="hybridMultilevel"/>
    <w:tmpl w:val="B5C26382"/>
    <w:lvl w:ilvl="0" w:tplc="0C090005">
      <w:start w:val="1"/>
      <w:numFmt w:val="bullet"/>
      <w:lvlText w:val=""/>
      <w:lvlJc w:val="left"/>
      <w:pPr>
        <w:ind w:left="1440" w:hanging="360"/>
      </w:pPr>
      <w:rPr>
        <w:rFonts w:ascii="Wingdings" w:hAnsi="Wingdings" w:hint="default"/>
        <w:b/>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nsid w:val="5A6D4B26"/>
    <w:multiLevelType w:val="hybridMultilevel"/>
    <w:tmpl w:val="A06A7F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5B290947"/>
    <w:multiLevelType w:val="hybridMultilevel"/>
    <w:tmpl w:val="72B85B7C"/>
    <w:lvl w:ilvl="0" w:tplc="0C09000F">
      <w:start w:val="1"/>
      <w:numFmt w:val="decimal"/>
      <w:lvlText w:val="%1."/>
      <w:lvlJc w:val="left"/>
      <w:pPr>
        <w:ind w:left="644" w:hanging="360"/>
      </w:pPr>
    </w:lvl>
    <w:lvl w:ilvl="1" w:tplc="0C090001">
      <w:start w:val="1"/>
      <w:numFmt w:val="bullet"/>
      <w:lvlText w:val=""/>
      <w:lvlJc w:val="left"/>
      <w:pPr>
        <w:ind w:left="1440" w:hanging="360"/>
      </w:pPr>
      <w:rPr>
        <w:rFonts w:ascii="Symbol" w:hAnsi="Symbol" w:cs="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09E68DC"/>
    <w:multiLevelType w:val="hybridMultilevel"/>
    <w:tmpl w:val="3E2CB2F2"/>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3">
    <w:nsid w:val="6DBC0D61"/>
    <w:multiLevelType w:val="hybridMultilevel"/>
    <w:tmpl w:val="0E7CF282"/>
    <w:lvl w:ilvl="0" w:tplc="F6523AE6">
      <w:start w:val="1"/>
      <w:numFmt w:val="decimal"/>
      <w:lvlText w:val="%1."/>
      <w:lvlJc w:val="left"/>
      <w:pPr>
        <w:tabs>
          <w:tab w:val="num" w:pos="360"/>
        </w:tabs>
        <w:ind w:left="360" w:hanging="360"/>
      </w:pPr>
      <w:rPr>
        <w:rFonts w:ascii="Arial" w:hAnsi="Arial" w:cs="Arial" w:hint="default"/>
        <w:i w:val="0"/>
        <w:color w:val="auto"/>
        <w:sz w:val="22"/>
        <w:szCs w:val="22"/>
      </w:rPr>
    </w:lvl>
    <w:lvl w:ilvl="1" w:tplc="0C090005">
      <w:start w:val="1"/>
      <w:numFmt w:val="bullet"/>
      <w:lvlText w:val=""/>
      <w:lvlJc w:val="left"/>
      <w:pPr>
        <w:tabs>
          <w:tab w:val="num" w:pos="1080"/>
        </w:tabs>
        <w:ind w:left="1080" w:hanging="360"/>
      </w:pPr>
      <w:rPr>
        <w:rFonts w:ascii="Wingdings" w:hAnsi="Wingdings" w:hint="default"/>
        <w:b/>
        <w:sz w:val="22"/>
        <w:szCs w:val="22"/>
      </w:rPr>
    </w:lvl>
    <w:lvl w:ilvl="2" w:tplc="0C090001">
      <w:start w:val="1"/>
      <w:numFmt w:val="bullet"/>
      <w:lvlText w:val=""/>
      <w:lvlJc w:val="left"/>
      <w:pPr>
        <w:tabs>
          <w:tab w:val="num" w:pos="1800"/>
        </w:tabs>
        <w:ind w:left="1800" w:hanging="360"/>
      </w:pPr>
      <w:rPr>
        <w:rFonts w:ascii="Symbol" w:hAnsi="Symbol" w:hint="default"/>
      </w:rPr>
    </w:lvl>
    <w:lvl w:ilvl="3" w:tplc="FEB63544">
      <w:start w:val="1"/>
      <w:numFmt w:val="decimal"/>
      <w:lvlText w:val="%4."/>
      <w:lvlJc w:val="left"/>
      <w:pPr>
        <w:ind w:left="2520" w:hanging="360"/>
      </w:pPr>
      <w:rPr>
        <w:rFonts w:hint="default"/>
      </w:rPr>
    </w:lvl>
    <w:lvl w:ilvl="4" w:tplc="18BE7D3E">
      <w:start w:val="5"/>
      <w:numFmt w:val="bullet"/>
      <w:lvlText w:val="-"/>
      <w:lvlJc w:val="left"/>
      <w:pPr>
        <w:ind w:left="3240" w:hanging="360"/>
      </w:pPr>
      <w:rPr>
        <w:rFonts w:ascii="Times New Roman" w:eastAsia="Times New Roman" w:hAnsi="Times New Roman" w:cs="Times New Roman"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num w:numId="1">
    <w:abstractNumId w:val="14"/>
  </w:num>
  <w:num w:numId="2">
    <w:abstractNumId w:val="12"/>
  </w:num>
  <w:num w:numId="3">
    <w:abstractNumId w:val="3"/>
  </w:num>
  <w:num w:numId="4">
    <w:abstractNumId w:val="11"/>
  </w:num>
  <w:num w:numId="5">
    <w:abstractNumId w:val="7"/>
  </w:num>
  <w:num w:numId="6">
    <w:abstractNumId w:val="6"/>
  </w:num>
  <w:num w:numId="7">
    <w:abstractNumId w:val="17"/>
  </w:num>
  <w:num w:numId="8">
    <w:abstractNumId w:val="23"/>
  </w:num>
  <w:num w:numId="9">
    <w:abstractNumId w:val="21"/>
  </w:num>
  <w:num w:numId="10">
    <w:abstractNumId w:val="16"/>
  </w:num>
  <w:num w:numId="11">
    <w:abstractNumId w:val="9"/>
  </w:num>
  <w:num w:numId="12">
    <w:abstractNumId w:val="13"/>
  </w:num>
  <w:num w:numId="13">
    <w:abstractNumId w:val="19"/>
  </w:num>
  <w:num w:numId="14">
    <w:abstractNumId w:val="20"/>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1"/>
  </w:num>
  <w:num w:numId="18">
    <w:abstractNumId w:val="11"/>
  </w:num>
  <w:num w:numId="19">
    <w:abstractNumId w:val="15"/>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8"/>
  </w:num>
  <w:num w:numId="23">
    <w:abstractNumId w:val="10"/>
  </w:num>
  <w:num w:numId="24">
    <w:abstractNumId w:val="5"/>
  </w:num>
  <w:num w:numId="25">
    <w:abstractNumId w:val="4"/>
  </w:num>
  <w:num w:numId="26">
    <w:abstractNumId w:val="2"/>
  </w:num>
  <w:num w:numId="27">
    <w:abstractNumId w:val="8"/>
  </w:num>
  <w:num w:numId="28">
    <w:abstractNumId w:val="22"/>
  </w:num>
  <w:num w:numId="2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81921"/>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scamp\federation centres novion - public competition assessment - june 2015 (MER2015-05847).docx"/>
  </w:docVars>
  <w:rsids>
    <w:rsidRoot w:val="00906C64"/>
    <w:rsid w:val="000002BE"/>
    <w:rsid w:val="00002E51"/>
    <w:rsid w:val="00012FFF"/>
    <w:rsid w:val="000159FF"/>
    <w:rsid w:val="00015E55"/>
    <w:rsid w:val="00037C38"/>
    <w:rsid w:val="00041635"/>
    <w:rsid w:val="00053096"/>
    <w:rsid w:val="00073113"/>
    <w:rsid w:val="000840E0"/>
    <w:rsid w:val="000853A2"/>
    <w:rsid w:val="00091521"/>
    <w:rsid w:val="000943CA"/>
    <w:rsid w:val="000A3585"/>
    <w:rsid w:val="000B02B5"/>
    <w:rsid w:val="000C2333"/>
    <w:rsid w:val="000D14A1"/>
    <w:rsid w:val="000E147B"/>
    <w:rsid w:val="000E3CA6"/>
    <w:rsid w:val="00101078"/>
    <w:rsid w:val="00104007"/>
    <w:rsid w:val="00113306"/>
    <w:rsid w:val="00125FA6"/>
    <w:rsid w:val="00127D30"/>
    <w:rsid w:val="00141C8B"/>
    <w:rsid w:val="00142DCC"/>
    <w:rsid w:val="0015392F"/>
    <w:rsid w:val="00154A05"/>
    <w:rsid w:val="00163542"/>
    <w:rsid w:val="0016744C"/>
    <w:rsid w:val="00172534"/>
    <w:rsid w:val="001734E4"/>
    <w:rsid w:val="00182A2B"/>
    <w:rsid w:val="00193A3C"/>
    <w:rsid w:val="001A0EA9"/>
    <w:rsid w:val="001A3FD2"/>
    <w:rsid w:val="001A63BB"/>
    <w:rsid w:val="001B0AD5"/>
    <w:rsid w:val="001D4DCB"/>
    <w:rsid w:val="001D52AC"/>
    <w:rsid w:val="001D5EC8"/>
    <w:rsid w:val="001E2914"/>
    <w:rsid w:val="001E5D4B"/>
    <w:rsid w:val="00203A5B"/>
    <w:rsid w:val="00207F7E"/>
    <w:rsid w:val="002108CC"/>
    <w:rsid w:val="00212CF3"/>
    <w:rsid w:val="0023387E"/>
    <w:rsid w:val="00243758"/>
    <w:rsid w:val="00247A10"/>
    <w:rsid w:val="002530FE"/>
    <w:rsid w:val="00261058"/>
    <w:rsid w:val="002660F0"/>
    <w:rsid w:val="0027627F"/>
    <w:rsid w:val="002803CE"/>
    <w:rsid w:val="00286515"/>
    <w:rsid w:val="002872CA"/>
    <w:rsid w:val="00287D03"/>
    <w:rsid w:val="00291B56"/>
    <w:rsid w:val="00294606"/>
    <w:rsid w:val="002A54F8"/>
    <w:rsid w:val="002B614D"/>
    <w:rsid w:val="002C7B34"/>
    <w:rsid w:val="002E2333"/>
    <w:rsid w:val="002E2430"/>
    <w:rsid w:val="002E30A0"/>
    <w:rsid w:val="003006EB"/>
    <w:rsid w:val="00301B7C"/>
    <w:rsid w:val="003074F2"/>
    <w:rsid w:val="00307640"/>
    <w:rsid w:val="00313B40"/>
    <w:rsid w:val="00314ACD"/>
    <w:rsid w:val="003328B4"/>
    <w:rsid w:val="00355143"/>
    <w:rsid w:val="00356B11"/>
    <w:rsid w:val="00360C0D"/>
    <w:rsid w:val="00363FAE"/>
    <w:rsid w:val="00397481"/>
    <w:rsid w:val="003A0EB2"/>
    <w:rsid w:val="003A7E7A"/>
    <w:rsid w:val="003B3FD1"/>
    <w:rsid w:val="003C0550"/>
    <w:rsid w:val="003D07D2"/>
    <w:rsid w:val="003D45B6"/>
    <w:rsid w:val="003D6752"/>
    <w:rsid w:val="003D7370"/>
    <w:rsid w:val="003E646F"/>
    <w:rsid w:val="003E7CE3"/>
    <w:rsid w:val="003F2C43"/>
    <w:rsid w:val="0040634A"/>
    <w:rsid w:val="00411C3D"/>
    <w:rsid w:val="00412076"/>
    <w:rsid w:val="004134D1"/>
    <w:rsid w:val="00421C1A"/>
    <w:rsid w:val="00422F25"/>
    <w:rsid w:val="00424ED0"/>
    <w:rsid w:val="00450A58"/>
    <w:rsid w:val="004533C0"/>
    <w:rsid w:val="00454ED5"/>
    <w:rsid w:val="00461E8B"/>
    <w:rsid w:val="00462218"/>
    <w:rsid w:val="004705D1"/>
    <w:rsid w:val="00482579"/>
    <w:rsid w:val="004827D8"/>
    <w:rsid w:val="00487CF4"/>
    <w:rsid w:val="004961A4"/>
    <w:rsid w:val="00496B6D"/>
    <w:rsid w:val="004A23B2"/>
    <w:rsid w:val="004A3640"/>
    <w:rsid w:val="004A4AA2"/>
    <w:rsid w:val="004C434A"/>
    <w:rsid w:val="004E1B62"/>
    <w:rsid w:val="004E3A84"/>
    <w:rsid w:val="004E5ED0"/>
    <w:rsid w:val="004E6500"/>
    <w:rsid w:val="004F5638"/>
    <w:rsid w:val="00504E50"/>
    <w:rsid w:val="00505D6D"/>
    <w:rsid w:val="0050709C"/>
    <w:rsid w:val="00512557"/>
    <w:rsid w:val="00523A37"/>
    <w:rsid w:val="00544FF9"/>
    <w:rsid w:val="00547439"/>
    <w:rsid w:val="00582928"/>
    <w:rsid w:val="00582F74"/>
    <w:rsid w:val="0059285B"/>
    <w:rsid w:val="00594532"/>
    <w:rsid w:val="0059643D"/>
    <w:rsid w:val="00597B11"/>
    <w:rsid w:val="005A21D7"/>
    <w:rsid w:val="005A33E8"/>
    <w:rsid w:val="005A520D"/>
    <w:rsid w:val="005B0B53"/>
    <w:rsid w:val="005D7C33"/>
    <w:rsid w:val="005E2A4F"/>
    <w:rsid w:val="005E537F"/>
    <w:rsid w:val="005F2C4B"/>
    <w:rsid w:val="005F4F69"/>
    <w:rsid w:val="005F5086"/>
    <w:rsid w:val="00601232"/>
    <w:rsid w:val="006025DF"/>
    <w:rsid w:val="00603A21"/>
    <w:rsid w:val="006277C9"/>
    <w:rsid w:val="00641537"/>
    <w:rsid w:val="006436E3"/>
    <w:rsid w:val="006439EF"/>
    <w:rsid w:val="00646279"/>
    <w:rsid w:val="006531C0"/>
    <w:rsid w:val="0065501B"/>
    <w:rsid w:val="00656A99"/>
    <w:rsid w:val="00663FD4"/>
    <w:rsid w:val="006649BA"/>
    <w:rsid w:val="00670789"/>
    <w:rsid w:val="0068014F"/>
    <w:rsid w:val="00686A92"/>
    <w:rsid w:val="00694D04"/>
    <w:rsid w:val="006A1D8A"/>
    <w:rsid w:val="006A3250"/>
    <w:rsid w:val="006A7FE8"/>
    <w:rsid w:val="006B1713"/>
    <w:rsid w:val="006B6B3F"/>
    <w:rsid w:val="006B6C78"/>
    <w:rsid w:val="006D547D"/>
    <w:rsid w:val="006E05A8"/>
    <w:rsid w:val="00725106"/>
    <w:rsid w:val="00747CC6"/>
    <w:rsid w:val="00757DFA"/>
    <w:rsid w:val="0076297C"/>
    <w:rsid w:val="00762CDA"/>
    <w:rsid w:val="007814E0"/>
    <w:rsid w:val="007815AB"/>
    <w:rsid w:val="00790564"/>
    <w:rsid w:val="0079096F"/>
    <w:rsid w:val="00794965"/>
    <w:rsid w:val="007952E3"/>
    <w:rsid w:val="00796F28"/>
    <w:rsid w:val="007A09CB"/>
    <w:rsid w:val="007A2A00"/>
    <w:rsid w:val="007C048A"/>
    <w:rsid w:val="007C790D"/>
    <w:rsid w:val="007D0A33"/>
    <w:rsid w:val="007F34BF"/>
    <w:rsid w:val="007F4B4E"/>
    <w:rsid w:val="00830E21"/>
    <w:rsid w:val="00837EA1"/>
    <w:rsid w:val="008502BA"/>
    <w:rsid w:val="00851A18"/>
    <w:rsid w:val="008551B0"/>
    <w:rsid w:val="0086356B"/>
    <w:rsid w:val="008741FA"/>
    <w:rsid w:val="008844B7"/>
    <w:rsid w:val="008910F3"/>
    <w:rsid w:val="008A6607"/>
    <w:rsid w:val="008C13FC"/>
    <w:rsid w:val="008C5378"/>
    <w:rsid w:val="008D6EC1"/>
    <w:rsid w:val="008E4E5E"/>
    <w:rsid w:val="008F4EFF"/>
    <w:rsid w:val="008F5E61"/>
    <w:rsid w:val="008F79E2"/>
    <w:rsid w:val="00902883"/>
    <w:rsid w:val="00906C64"/>
    <w:rsid w:val="00914915"/>
    <w:rsid w:val="0091539A"/>
    <w:rsid w:val="00932F11"/>
    <w:rsid w:val="00935049"/>
    <w:rsid w:val="00940EC1"/>
    <w:rsid w:val="00950B1E"/>
    <w:rsid w:val="00960382"/>
    <w:rsid w:val="00977366"/>
    <w:rsid w:val="00977B66"/>
    <w:rsid w:val="009A2DF8"/>
    <w:rsid w:val="009B2A85"/>
    <w:rsid w:val="009E2429"/>
    <w:rsid w:val="009E4903"/>
    <w:rsid w:val="009E61B7"/>
    <w:rsid w:val="009F1D67"/>
    <w:rsid w:val="00A10BE5"/>
    <w:rsid w:val="00A318D6"/>
    <w:rsid w:val="00A33D44"/>
    <w:rsid w:val="00A36B2F"/>
    <w:rsid w:val="00A41F39"/>
    <w:rsid w:val="00A4598A"/>
    <w:rsid w:val="00A47126"/>
    <w:rsid w:val="00A53505"/>
    <w:rsid w:val="00A56771"/>
    <w:rsid w:val="00A575E3"/>
    <w:rsid w:val="00A57788"/>
    <w:rsid w:val="00A67F2F"/>
    <w:rsid w:val="00A85F66"/>
    <w:rsid w:val="00A95668"/>
    <w:rsid w:val="00AC1261"/>
    <w:rsid w:val="00AC4A2E"/>
    <w:rsid w:val="00AC5198"/>
    <w:rsid w:val="00AE1BB4"/>
    <w:rsid w:val="00AF17B3"/>
    <w:rsid w:val="00AF1C87"/>
    <w:rsid w:val="00AF2397"/>
    <w:rsid w:val="00AF40FA"/>
    <w:rsid w:val="00B16B12"/>
    <w:rsid w:val="00B23FF3"/>
    <w:rsid w:val="00B2495A"/>
    <w:rsid w:val="00B25634"/>
    <w:rsid w:val="00B32F62"/>
    <w:rsid w:val="00B51AA9"/>
    <w:rsid w:val="00B571B2"/>
    <w:rsid w:val="00B8063B"/>
    <w:rsid w:val="00B842B5"/>
    <w:rsid w:val="00B91440"/>
    <w:rsid w:val="00BA073F"/>
    <w:rsid w:val="00BB0306"/>
    <w:rsid w:val="00BB7DF6"/>
    <w:rsid w:val="00BC2A89"/>
    <w:rsid w:val="00BC3FEC"/>
    <w:rsid w:val="00BC72D9"/>
    <w:rsid w:val="00BD3D02"/>
    <w:rsid w:val="00BD4FB5"/>
    <w:rsid w:val="00BD6F28"/>
    <w:rsid w:val="00BE6440"/>
    <w:rsid w:val="00BE6456"/>
    <w:rsid w:val="00BF2370"/>
    <w:rsid w:val="00C0523F"/>
    <w:rsid w:val="00C12A07"/>
    <w:rsid w:val="00C145ED"/>
    <w:rsid w:val="00C30A0B"/>
    <w:rsid w:val="00C324FB"/>
    <w:rsid w:val="00C37129"/>
    <w:rsid w:val="00C4726A"/>
    <w:rsid w:val="00C62C01"/>
    <w:rsid w:val="00C717A5"/>
    <w:rsid w:val="00C7223C"/>
    <w:rsid w:val="00C72BE6"/>
    <w:rsid w:val="00C73E7D"/>
    <w:rsid w:val="00C77FD3"/>
    <w:rsid w:val="00C87A3D"/>
    <w:rsid w:val="00C91650"/>
    <w:rsid w:val="00CB0699"/>
    <w:rsid w:val="00CB0A30"/>
    <w:rsid w:val="00CB149B"/>
    <w:rsid w:val="00CF3CF5"/>
    <w:rsid w:val="00CF6855"/>
    <w:rsid w:val="00D0008F"/>
    <w:rsid w:val="00D04501"/>
    <w:rsid w:val="00D11397"/>
    <w:rsid w:val="00D11F62"/>
    <w:rsid w:val="00D2156E"/>
    <w:rsid w:val="00D256AB"/>
    <w:rsid w:val="00D3095B"/>
    <w:rsid w:val="00D313A7"/>
    <w:rsid w:val="00D33A1F"/>
    <w:rsid w:val="00D43343"/>
    <w:rsid w:val="00D47250"/>
    <w:rsid w:val="00D63FEE"/>
    <w:rsid w:val="00D64ECA"/>
    <w:rsid w:val="00D671C4"/>
    <w:rsid w:val="00D67888"/>
    <w:rsid w:val="00DB1E8A"/>
    <w:rsid w:val="00DB3CA6"/>
    <w:rsid w:val="00DB708C"/>
    <w:rsid w:val="00DC11ED"/>
    <w:rsid w:val="00DC754F"/>
    <w:rsid w:val="00DE0C30"/>
    <w:rsid w:val="00DE35BC"/>
    <w:rsid w:val="00DE42F4"/>
    <w:rsid w:val="00DF30F9"/>
    <w:rsid w:val="00E3378E"/>
    <w:rsid w:val="00E37EC8"/>
    <w:rsid w:val="00E423BC"/>
    <w:rsid w:val="00E623ED"/>
    <w:rsid w:val="00E62F59"/>
    <w:rsid w:val="00E707DB"/>
    <w:rsid w:val="00E71A0E"/>
    <w:rsid w:val="00E83A00"/>
    <w:rsid w:val="00E845AB"/>
    <w:rsid w:val="00E91F41"/>
    <w:rsid w:val="00E96E5E"/>
    <w:rsid w:val="00EA37DF"/>
    <w:rsid w:val="00EC1851"/>
    <w:rsid w:val="00EC284A"/>
    <w:rsid w:val="00EC34DF"/>
    <w:rsid w:val="00ED2F16"/>
    <w:rsid w:val="00ED6489"/>
    <w:rsid w:val="00EF0DD8"/>
    <w:rsid w:val="00EF2E41"/>
    <w:rsid w:val="00EF54A5"/>
    <w:rsid w:val="00F02581"/>
    <w:rsid w:val="00F10EC5"/>
    <w:rsid w:val="00F13942"/>
    <w:rsid w:val="00F156C3"/>
    <w:rsid w:val="00F36008"/>
    <w:rsid w:val="00F80A7E"/>
    <w:rsid w:val="00F85E5C"/>
    <w:rsid w:val="00FB349B"/>
    <w:rsid w:val="00FC4B2C"/>
    <w:rsid w:val="00FE4B62"/>
    <w:rsid w:val="00FE5D1D"/>
    <w:rsid w:val="00FE78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footnote reference" w:uiPriority="99"/>
    <w:lsdException w:name="Hyperlink" w:uiPriority="99"/>
    <w:lsdException w:name="Balloon Tex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7A09CB"/>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6A7FE8"/>
    <w:pPr>
      <w:keepNext/>
      <w:spacing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pPr>
      <w:numPr>
        <w:numId w:val="4"/>
      </w:numPr>
    </w:pPr>
  </w:style>
  <w:style w:type="character" w:styleId="FootnoteReference">
    <w:name w:val="footnote reference"/>
    <w:uiPriority w:val="99"/>
    <w:rPr>
      <w:rFonts w:ascii="Times New Roman" w:hAnsi="Times New Roman"/>
      <w:sz w:val="18"/>
      <w:vertAlign w:val="superscript"/>
    </w:rPr>
  </w:style>
  <w:style w:type="paragraph" w:styleId="FootnoteText">
    <w:name w:val="footnote text"/>
    <w:basedOn w:val="Normal"/>
    <w:link w:val="FootnoteTextChar"/>
    <w:uiPriority w:val="99"/>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663FD4"/>
    <w:pPr>
      <w:numPr>
        <w:numId w:val="1"/>
      </w:numPr>
      <w:tabs>
        <w:tab w:val="clear" w:pos="360"/>
      </w:tabs>
      <w:spacing w:before="120" w:after="120"/>
      <w:ind w:left="426" w:hanging="426"/>
    </w:pPr>
    <w:rPr>
      <w:rFonts w:ascii="Arial" w:hAnsi="Arial"/>
      <w:sz w:val="22"/>
      <w:szCs w:val="22"/>
    </w:rPr>
  </w:style>
  <w:style w:type="paragraph" w:styleId="ListParagraph">
    <w:name w:val="List Paragraph"/>
    <w:aliases w:val="Dot point list"/>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paragraph" w:customStyle="1" w:styleId="HeadNumb">
    <w:name w:val="Head Numb"/>
    <w:basedOn w:val="Normal"/>
    <w:rsid w:val="003E7CE3"/>
    <w:pPr>
      <w:numPr>
        <w:numId w:val="7"/>
      </w:numPr>
      <w:shd w:val="clear" w:color="auto" w:fill="D9D9D9"/>
      <w:tabs>
        <w:tab w:val="clear" w:pos="397"/>
        <w:tab w:val="num" w:pos="360"/>
      </w:tabs>
      <w:ind w:left="360" w:hanging="360"/>
    </w:pPr>
    <w:rPr>
      <w:rFonts w:ascii="Arial" w:eastAsia="Calibri" w:hAnsi="Arial"/>
      <w:b/>
      <w:sz w:val="18"/>
      <w:szCs w:val="18"/>
    </w:rPr>
  </w:style>
  <w:style w:type="paragraph" w:customStyle="1" w:styleId="SecondlevelNumb">
    <w:name w:val="Second level Numb"/>
    <w:basedOn w:val="Normal"/>
    <w:rsid w:val="003E7CE3"/>
    <w:pPr>
      <w:numPr>
        <w:ilvl w:val="1"/>
        <w:numId w:val="7"/>
      </w:numPr>
      <w:tabs>
        <w:tab w:val="clear" w:pos="567"/>
        <w:tab w:val="num" w:pos="720"/>
      </w:tabs>
      <w:spacing w:line="360" w:lineRule="auto"/>
      <w:ind w:left="720" w:hanging="360"/>
    </w:pPr>
    <w:rPr>
      <w:rFonts w:eastAsia="Calibri"/>
      <w:sz w:val="22"/>
      <w:szCs w:val="22"/>
    </w:rPr>
  </w:style>
  <w:style w:type="character" w:customStyle="1" w:styleId="BalloonTextChar">
    <w:name w:val="Balloon Text Char"/>
    <w:link w:val="BalloonText"/>
    <w:uiPriority w:val="99"/>
    <w:semiHidden/>
    <w:rsid w:val="003E7CE3"/>
    <w:rPr>
      <w:rFonts w:ascii="Tahoma" w:hAnsi="Tahoma" w:cs="Tahoma"/>
      <w:sz w:val="16"/>
      <w:szCs w:val="16"/>
    </w:rPr>
  </w:style>
  <w:style w:type="character" w:customStyle="1" w:styleId="FootnoteTextChar">
    <w:name w:val="Footnote Text Char"/>
    <w:link w:val="FootnoteText"/>
    <w:uiPriority w:val="99"/>
    <w:rsid w:val="003E7CE3"/>
    <w:rPr>
      <w:szCs w:val="24"/>
    </w:rPr>
  </w:style>
  <w:style w:type="character" w:styleId="Hyperlink">
    <w:name w:val="Hyperlink"/>
    <w:uiPriority w:val="99"/>
    <w:unhideWhenUsed/>
    <w:rsid w:val="003E7CE3"/>
    <w:rPr>
      <w:color w:val="0000FF"/>
      <w:u w:val="single"/>
    </w:rPr>
  </w:style>
  <w:style w:type="character" w:customStyle="1" w:styleId="contentacccinformalmergercompleted">
    <w:name w:val="contentacccinformalmergercompleted"/>
    <w:rsid w:val="00E423BC"/>
  </w:style>
  <w:style w:type="paragraph" w:customStyle="1" w:styleId="Bulletpoint">
    <w:name w:val="Bullet point"/>
    <w:basedOn w:val="Normal"/>
    <w:qFormat/>
    <w:rsid w:val="00663FD4"/>
    <w:pPr>
      <w:tabs>
        <w:tab w:val="num" w:pos="1080"/>
      </w:tabs>
      <w:spacing w:before="240" w:after="240"/>
      <w:ind w:left="1080" w:hanging="360"/>
    </w:pPr>
    <w:rPr>
      <w:rFonts w:ascii="Arial" w:eastAsia="Calibri" w:hAnsi="Arial"/>
      <w:sz w:val="22"/>
      <w:szCs w:val="22"/>
      <w:lang w:eastAsia="en-US"/>
    </w:rPr>
  </w:style>
  <w:style w:type="character" w:customStyle="1" w:styleId="NormalParagraphChar">
    <w:name w:val="Normal Paragraph Char"/>
    <w:link w:val="NormalParagraph"/>
    <w:uiPriority w:val="99"/>
    <w:rsid w:val="001A63BB"/>
    <w:rPr>
      <w:rFonts w:ascii="Arial" w:hAnsi="Arial"/>
      <w:sz w:val="22"/>
      <w:szCs w:val="22"/>
    </w:rPr>
  </w:style>
  <w:style w:type="paragraph" w:customStyle="1" w:styleId="StyleHeading5Arial">
    <w:name w:val="Style Heading 5 + Arial"/>
    <w:basedOn w:val="Heading5"/>
    <w:qFormat/>
    <w:rsid w:val="007A09CB"/>
    <w:rPr>
      <w:rFonts w:ascii="Arial" w:hAnsi="Arial"/>
      <w:iCs/>
    </w:rPr>
  </w:style>
  <w:style w:type="paragraph" w:styleId="Revision">
    <w:name w:val="Revision"/>
    <w:hidden/>
    <w:uiPriority w:val="99"/>
    <w:semiHidden/>
    <w:rsid w:val="00830E2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628243511">
      <w:bodyDiv w:val="1"/>
      <w:marLeft w:val="0"/>
      <w:marRight w:val="0"/>
      <w:marTop w:val="0"/>
      <w:marBottom w:val="0"/>
      <w:divBdr>
        <w:top w:val="none" w:sz="0" w:space="0" w:color="auto"/>
        <w:left w:val="none" w:sz="0" w:space="0" w:color="auto"/>
        <w:bottom w:val="none" w:sz="0" w:space="0" w:color="auto"/>
        <w:right w:val="none" w:sz="0" w:space="0" w:color="auto"/>
      </w:divBdr>
    </w:div>
    <w:div w:id="1702124520">
      <w:bodyDiv w:val="1"/>
      <w:marLeft w:val="0"/>
      <w:marRight w:val="0"/>
      <w:marTop w:val="0"/>
      <w:marBottom w:val="0"/>
      <w:divBdr>
        <w:top w:val="none" w:sz="0" w:space="0" w:color="auto"/>
        <w:left w:val="none" w:sz="0" w:space="0" w:color="auto"/>
        <w:bottom w:val="none" w:sz="0" w:space="0" w:color="auto"/>
        <w:right w:val="none" w:sz="0" w:space="0" w:color="auto"/>
      </w:divBdr>
    </w:div>
    <w:div w:id="1717504230">
      <w:bodyDiv w:val="1"/>
      <w:marLeft w:val="0"/>
      <w:marRight w:val="0"/>
      <w:marTop w:val="0"/>
      <w:marBottom w:val="0"/>
      <w:divBdr>
        <w:top w:val="none" w:sz="0" w:space="0" w:color="auto"/>
        <w:left w:val="none" w:sz="0" w:space="0" w:color="auto"/>
        <w:bottom w:val="none" w:sz="0" w:space="0" w:color="auto"/>
        <w:right w:val="none" w:sz="0" w:space="0" w:color="auto"/>
      </w:divBdr>
    </w:div>
    <w:div w:id="186439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9DED51-6251-4E4A-9839-E5DA1234E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B25CAEE0</Template>
  <TotalTime>0</TotalTime>
  <Pages>9</Pages>
  <Words>3307</Words>
  <Characters>18165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2015-12-22T00:18:00Z</dcterms:created>
  <dcterms:modified xsi:type="dcterms:W3CDTF">2015-12-22T00:18:00Z</dcterms:modified>
</cp:coreProperties>
</file>