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32F8" w:rsidRPr="001D52AC" w:rsidRDefault="00E81366" w:rsidP="008C7BBD">
      <w:pPr>
        <w:pStyle w:val="Heading1"/>
      </w:pPr>
      <w:bookmarkStart w:id="0" w:name="_GoBack"/>
      <w:bookmarkEnd w:id="0"/>
      <w:r>
        <w:rPr>
          <w:noProof/>
        </w:rPr>
        <w:drawing>
          <wp:inline distT="0" distB="0" distL="0" distR="0">
            <wp:extent cx="2406650" cy="563245"/>
            <wp:effectExtent l="0" t="0" r="0" b="8255"/>
            <wp:docPr id="1" name="Picture 1" descr="Australian Competition &amp; Consumer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stralian Competition &amp; Consumer Commiss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6650" cy="563245"/>
                    </a:xfrm>
                    <a:prstGeom prst="rect">
                      <a:avLst/>
                    </a:prstGeom>
                    <a:noFill/>
                    <a:ln>
                      <a:noFill/>
                    </a:ln>
                  </pic:spPr>
                </pic:pic>
              </a:graphicData>
            </a:graphic>
          </wp:inline>
        </w:drawing>
      </w:r>
    </w:p>
    <w:p w:rsidR="007132F8" w:rsidRPr="008C7BBD" w:rsidRDefault="007132F8" w:rsidP="001C68D0">
      <w:pPr>
        <w:pStyle w:val="Heading1"/>
        <w:spacing w:after="480"/>
      </w:pPr>
      <w:r w:rsidRPr="008C7BBD">
        <w:t>Public Competition Assessment</w:t>
      </w:r>
    </w:p>
    <w:p w:rsidR="001C68D0" w:rsidRDefault="001C68D0" w:rsidP="001C68D0">
      <w:pPr>
        <w:pStyle w:val="Date1"/>
      </w:pPr>
      <w:bookmarkStart w:id="1" w:name="Title"/>
      <w:bookmarkEnd w:id="1"/>
      <w:r>
        <w:t>1</w:t>
      </w:r>
      <w:r w:rsidR="00666D5D">
        <w:t>4</w:t>
      </w:r>
      <w:r w:rsidRPr="006649BA">
        <w:t xml:space="preserve"> </w:t>
      </w:r>
      <w:r>
        <w:t>October 2015</w:t>
      </w:r>
    </w:p>
    <w:p w:rsidR="00AF1C87" w:rsidRDefault="00C62B29" w:rsidP="00923314">
      <w:pPr>
        <w:pStyle w:val="Heading2"/>
      </w:pPr>
      <w:r>
        <w:t xml:space="preserve">Victoria Quay International </w:t>
      </w:r>
      <w:proofErr w:type="spellStart"/>
      <w:r>
        <w:t>RoRo</w:t>
      </w:r>
      <w:proofErr w:type="spellEnd"/>
      <w:r>
        <w:t xml:space="preserve"> Terminal Pty Ltd </w:t>
      </w:r>
      <w:r w:rsidR="007132F8">
        <w:t xml:space="preserve">and </w:t>
      </w:r>
      <w:r>
        <w:t>Australian Amalgamated Terminals Pty Ltd</w:t>
      </w:r>
      <w:r w:rsidR="006649BA" w:rsidRPr="006649BA">
        <w:t xml:space="preserve"> </w:t>
      </w:r>
      <w:r w:rsidR="00923314">
        <w:t xml:space="preserve">– separate </w:t>
      </w:r>
      <w:r w:rsidR="006649BA" w:rsidRPr="006649BA">
        <w:t>pro</w:t>
      </w:r>
      <w:r w:rsidR="006649BA">
        <w:t xml:space="preserve">posed </w:t>
      </w:r>
      <w:r>
        <w:t xml:space="preserve">acquisitions of </w:t>
      </w:r>
      <w:r w:rsidR="00923314">
        <w:t xml:space="preserve">the </w:t>
      </w:r>
      <w:r>
        <w:t>long term lease of</w:t>
      </w:r>
      <w:r w:rsidR="00923314">
        <w:t xml:space="preserve"> the</w:t>
      </w:r>
      <w:r>
        <w:t xml:space="preserve"> new automotive and </w:t>
      </w:r>
      <w:proofErr w:type="spellStart"/>
      <w:r>
        <w:t>RoRo</w:t>
      </w:r>
      <w:proofErr w:type="spellEnd"/>
      <w:r>
        <w:t xml:space="preserve"> terminal at the Port of Fremantle</w:t>
      </w:r>
    </w:p>
    <w:p w:rsidR="00AF1C87" w:rsidRPr="00977B66" w:rsidRDefault="00A56771" w:rsidP="006A7FE8">
      <w:pPr>
        <w:pStyle w:val="Heading3"/>
      </w:pPr>
      <w:r>
        <w:t>Purpose</w:t>
      </w:r>
    </w:p>
    <w:p w:rsidR="00A731CE" w:rsidRDefault="00A56771" w:rsidP="0017266E">
      <w:pPr>
        <w:pStyle w:val="NormalParagraph"/>
        <w:tabs>
          <w:tab w:val="clear" w:pos="360"/>
          <w:tab w:val="num" w:pos="426"/>
        </w:tabs>
        <w:ind w:left="426" w:hanging="426"/>
      </w:pPr>
      <w:r w:rsidRPr="0071499C">
        <w:t>This public competition ass</w:t>
      </w:r>
      <w:r>
        <w:t>essment outlines reasons</w:t>
      </w:r>
      <w:r w:rsidRPr="0071499C">
        <w:t xml:space="preserve"> </w:t>
      </w:r>
      <w:r>
        <w:t xml:space="preserve">for </w:t>
      </w:r>
      <w:r w:rsidRPr="0071499C">
        <w:t xml:space="preserve">the </w:t>
      </w:r>
      <w:r w:rsidR="00B55807">
        <w:t xml:space="preserve">following separate </w:t>
      </w:r>
      <w:r w:rsidR="00F56BF1" w:rsidRPr="00C4726A">
        <w:t>decision</w:t>
      </w:r>
      <w:r w:rsidR="00F56BF1">
        <w:t xml:space="preserve">s by the </w:t>
      </w:r>
      <w:r>
        <w:t xml:space="preserve">Australian </w:t>
      </w:r>
      <w:r w:rsidRPr="00C4726A">
        <w:t>Competition and Consumer Commission (</w:t>
      </w:r>
      <w:r w:rsidRPr="00C4726A">
        <w:rPr>
          <w:b/>
        </w:rPr>
        <w:t>ACCC</w:t>
      </w:r>
      <w:r w:rsidRPr="00C4726A">
        <w:t>)</w:t>
      </w:r>
      <w:r w:rsidR="00A731CE">
        <w:t>:</w:t>
      </w:r>
    </w:p>
    <w:p w:rsidR="00A731CE" w:rsidRDefault="00A731CE" w:rsidP="00A731CE">
      <w:pPr>
        <w:pStyle w:val="ListParagraph"/>
        <w:tabs>
          <w:tab w:val="clear" w:pos="360"/>
          <w:tab w:val="num" w:pos="993"/>
        </w:tabs>
        <w:ind w:left="993" w:hanging="426"/>
      </w:pPr>
      <w:r>
        <w:t xml:space="preserve">on 2 April 2015, </w:t>
      </w:r>
      <w:r w:rsidR="002E2430" w:rsidRPr="00C4726A">
        <w:t>not</w:t>
      </w:r>
      <w:r w:rsidR="00951AD3">
        <w:t xml:space="preserve"> to</w:t>
      </w:r>
      <w:r w:rsidR="002E2430" w:rsidRPr="00C4726A">
        <w:t xml:space="preserve"> </w:t>
      </w:r>
      <w:r w:rsidR="00A56771" w:rsidRPr="00C4726A">
        <w:t>oppose</w:t>
      </w:r>
      <w:r w:rsidR="00A56771">
        <w:t xml:space="preserve"> </w:t>
      </w:r>
      <w:r w:rsidR="00C62B29">
        <w:t xml:space="preserve">Victoria Quay International </w:t>
      </w:r>
      <w:proofErr w:type="spellStart"/>
      <w:r w:rsidR="00C62B29">
        <w:t>RoRo</w:t>
      </w:r>
      <w:proofErr w:type="spellEnd"/>
      <w:r w:rsidR="00C62B29">
        <w:t xml:space="preserve"> Terminal Pty </w:t>
      </w:r>
      <w:proofErr w:type="spellStart"/>
      <w:r w:rsidR="00C62B29">
        <w:t>Ltd’s</w:t>
      </w:r>
      <w:proofErr w:type="spellEnd"/>
      <w:r w:rsidR="00C62B29">
        <w:t xml:space="preserve"> (</w:t>
      </w:r>
      <w:r w:rsidR="00C62B29">
        <w:rPr>
          <w:b/>
        </w:rPr>
        <w:t>VQIRT</w:t>
      </w:r>
      <w:r w:rsidR="00C62B29">
        <w:t>)</w:t>
      </w:r>
      <w:r w:rsidR="00631F7A">
        <w:t xml:space="preserve"> </w:t>
      </w:r>
      <w:r>
        <w:t xml:space="preserve">proposed acquisition of the long term lease of the new automotive and </w:t>
      </w:r>
      <w:r w:rsidR="004B25BF">
        <w:t>roll-on roll</w:t>
      </w:r>
      <w:r w:rsidR="0008211E">
        <w:t>-</w:t>
      </w:r>
      <w:r w:rsidR="004B25BF">
        <w:t>off (</w:t>
      </w:r>
      <w:proofErr w:type="spellStart"/>
      <w:r w:rsidRPr="0065299B">
        <w:rPr>
          <w:b/>
        </w:rPr>
        <w:t>RoRo</w:t>
      </w:r>
      <w:proofErr w:type="spellEnd"/>
      <w:r w:rsidR="004B25BF">
        <w:t>)</w:t>
      </w:r>
      <w:r>
        <w:t xml:space="preserve"> terminal </w:t>
      </w:r>
      <w:r w:rsidR="007107BB">
        <w:t>on</w:t>
      </w:r>
      <w:r>
        <w:t xml:space="preserve"> </w:t>
      </w:r>
      <w:r w:rsidR="005D545A">
        <w:t xml:space="preserve">Victoria Quay at </w:t>
      </w:r>
      <w:r>
        <w:t>the Port of Fremantle</w:t>
      </w:r>
      <w:r w:rsidR="00362123">
        <w:t xml:space="preserve"> (the </w:t>
      </w:r>
      <w:r w:rsidR="00362123" w:rsidRPr="00A52168">
        <w:rPr>
          <w:b/>
        </w:rPr>
        <w:t>Terminal</w:t>
      </w:r>
      <w:r w:rsidR="00362123">
        <w:t>)</w:t>
      </w:r>
      <w:r w:rsidR="00F56BF1">
        <w:t xml:space="preserve"> </w:t>
      </w:r>
      <w:r w:rsidR="00F56BF1" w:rsidRPr="0016276A">
        <w:t xml:space="preserve">subject to </w:t>
      </w:r>
      <w:r w:rsidR="00F56BF1">
        <w:t>a court-enforceable undertaking</w:t>
      </w:r>
      <w:r w:rsidR="00F56BF1" w:rsidRPr="0016276A">
        <w:t xml:space="preserve"> accepted by the ACCC pursuant to section 87B of the </w:t>
      </w:r>
      <w:r w:rsidR="00F56BF1" w:rsidRPr="000110D8">
        <w:rPr>
          <w:i/>
        </w:rPr>
        <w:t>Competition and Consumer Act 2010</w:t>
      </w:r>
      <w:r w:rsidR="00F56BF1" w:rsidRPr="0016276A">
        <w:t xml:space="preserve"> (the </w:t>
      </w:r>
      <w:r w:rsidR="00F56BF1" w:rsidRPr="000110D8">
        <w:rPr>
          <w:b/>
        </w:rPr>
        <w:t>Act</w:t>
      </w:r>
      <w:r w:rsidR="00F56BF1" w:rsidRPr="0016276A">
        <w:t>)</w:t>
      </w:r>
      <w:r>
        <w:t>; and</w:t>
      </w:r>
    </w:p>
    <w:p w:rsidR="00A731CE" w:rsidRDefault="00A731CE" w:rsidP="00A731CE">
      <w:pPr>
        <w:pStyle w:val="ListParagraph"/>
        <w:tabs>
          <w:tab w:val="clear" w:pos="360"/>
          <w:tab w:val="num" w:pos="993"/>
        </w:tabs>
        <w:ind w:left="993" w:hanging="426"/>
      </w:pPr>
      <w:r>
        <w:t xml:space="preserve">on 23 April 2015, not </w:t>
      </w:r>
      <w:r w:rsidR="00951AD3">
        <w:t xml:space="preserve">to </w:t>
      </w:r>
      <w:r>
        <w:t xml:space="preserve">oppose </w:t>
      </w:r>
      <w:r w:rsidR="00631F7A">
        <w:t xml:space="preserve">Australian Amalgamated Terminals Pty </w:t>
      </w:r>
      <w:proofErr w:type="spellStart"/>
      <w:r w:rsidR="00631F7A">
        <w:t>Ltd’s</w:t>
      </w:r>
      <w:proofErr w:type="spellEnd"/>
      <w:r w:rsidR="00631F7A">
        <w:t xml:space="preserve"> (</w:t>
      </w:r>
      <w:r w:rsidR="00631F7A">
        <w:rPr>
          <w:b/>
        </w:rPr>
        <w:t>AAT</w:t>
      </w:r>
      <w:r>
        <w:t xml:space="preserve">) </w:t>
      </w:r>
      <w:r w:rsidR="000110D8">
        <w:t xml:space="preserve">proposed acquisition of the long term lease of the </w:t>
      </w:r>
      <w:r w:rsidR="00362123">
        <w:t>Terminal</w:t>
      </w:r>
      <w:r w:rsidR="000110D8">
        <w:t xml:space="preserve"> (</w:t>
      </w:r>
      <w:r>
        <w:t xml:space="preserve">together, </w:t>
      </w:r>
      <w:r w:rsidR="000110D8">
        <w:t xml:space="preserve">the </w:t>
      </w:r>
      <w:r w:rsidR="00631F7A" w:rsidRPr="00631F7A">
        <w:rPr>
          <w:b/>
        </w:rPr>
        <w:t>proposed</w:t>
      </w:r>
      <w:r w:rsidR="00631F7A">
        <w:rPr>
          <w:b/>
        </w:rPr>
        <w:t xml:space="preserve"> acquisitions</w:t>
      </w:r>
      <w:r w:rsidR="000110D8">
        <w:t>)</w:t>
      </w:r>
      <w:r w:rsidR="00F56BF1" w:rsidRPr="00F56BF1">
        <w:t xml:space="preserve"> </w:t>
      </w:r>
      <w:r w:rsidR="00F56BF1" w:rsidRPr="0016276A">
        <w:t xml:space="preserve">subject to </w:t>
      </w:r>
      <w:r w:rsidR="00F56BF1">
        <w:t>a court-enforceable undertaking</w:t>
      </w:r>
      <w:r w:rsidR="00F56BF1" w:rsidRPr="0016276A">
        <w:t xml:space="preserve"> accepted by the ACCC pursuant to section 87B of the </w:t>
      </w:r>
      <w:r w:rsidR="00F56BF1" w:rsidRPr="002C789F">
        <w:t>Act</w:t>
      </w:r>
      <w:r w:rsidR="002C789F">
        <w:t>.</w:t>
      </w:r>
    </w:p>
    <w:p w:rsidR="00A52168" w:rsidRDefault="007132F8" w:rsidP="0017266E">
      <w:pPr>
        <w:pStyle w:val="NormalParagraph"/>
        <w:tabs>
          <w:tab w:val="clear" w:pos="360"/>
          <w:tab w:val="num" w:pos="426"/>
        </w:tabs>
        <w:ind w:left="426" w:hanging="426"/>
      </w:pPr>
      <w:r>
        <w:t xml:space="preserve">VQIRT and AAT </w:t>
      </w:r>
      <w:r w:rsidR="00362123">
        <w:t xml:space="preserve">both </w:t>
      </w:r>
      <w:r w:rsidR="00EE1B17">
        <w:t>separately</w:t>
      </w:r>
      <w:r>
        <w:t xml:space="preserve"> </w:t>
      </w:r>
      <w:r w:rsidR="00951AD3">
        <w:t xml:space="preserve">sought </w:t>
      </w:r>
      <w:r>
        <w:t xml:space="preserve">to acquire the long term lease of the Terminal. </w:t>
      </w:r>
      <w:r w:rsidR="007E1115">
        <w:t>G</w:t>
      </w:r>
      <w:r>
        <w:t>iven that the proposed acquisition by VQIRT and</w:t>
      </w:r>
      <w:r w:rsidR="00B55807">
        <w:t xml:space="preserve"> the</w:t>
      </w:r>
      <w:r>
        <w:t xml:space="preserve"> </w:t>
      </w:r>
      <w:r w:rsidR="00CD53DB">
        <w:t xml:space="preserve">proposed acquisition by </w:t>
      </w:r>
      <w:r>
        <w:t xml:space="preserve">AAT </w:t>
      </w:r>
      <w:r w:rsidR="00CC5A23">
        <w:t>both raise</w:t>
      </w:r>
      <w:r w:rsidR="00951AD3">
        <w:t>d</w:t>
      </w:r>
      <w:r w:rsidR="00CC5A23">
        <w:t xml:space="preserve"> vertical</w:t>
      </w:r>
      <w:r>
        <w:t xml:space="preserve"> competi</w:t>
      </w:r>
      <w:r w:rsidR="00286CD9">
        <w:t xml:space="preserve">tion concerns, this </w:t>
      </w:r>
      <w:r w:rsidR="00D43B84">
        <w:t>P</w:t>
      </w:r>
      <w:r w:rsidR="00286CD9">
        <w:t xml:space="preserve">ublic </w:t>
      </w:r>
      <w:r w:rsidR="00D43B84">
        <w:t>C</w:t>
      </w:r>
      <w:r w:rsidR="00286CD9">
        <w:t xml:space="preserve">ompetition </w:t>
      </w:r>
      <w:r w:rsidR="00D43B84">
        <w:t>A</w:t>
      </w:r>
      <w:r w:rsidR="00286CD9">
        <w:t>ssessment</w:t>
      </w:r>
      <w:r w:rsidR="007E1115">
        <w:t xml:space="preserve"> </w:t>
      </w:r>
      <w:r w:rsidR="00AC1CF1">
        <w:t>provides a summary of both decisions</w:t>
      </w:r>
      <w:r>
        <w:t>.</w:t>
      </w:r>
    </w:p>
    <w:p w:rsidR="00D43B84" w:rsidRDefault="00D43B84" w:rsidP="00C56039">
      <w:pPr>
        <w:pStyle w:val="NormalParagraph"/>
        <w:tabs>
          <w:tab w:val="clear" w:pos="360"/>
          <w:tab w:val="num" w:pos="426"/>
        </w:tabs>
        <w:ind w:left="426" w:hanging="426"/>
      </w:pPr>
      <w:bookmarkStart w:id="2" w:name="_Ref358050218"/>
      <w:r>
        <w:t>A Public Competition Assessment is a detailed summary of the ACCC’s reasons and issues considered by the ACCC in a merger review and is generally published when:</w:t>
      </w:r>
      <w:bookmarkEnd w:id="2"/>
    </w:p>
    <w:p w:rsidR="00D43B84" w:rsidRDefault="00D43B84" w:rsidP="00C56039">
      <w:pPr>
        <w:pStyle w:val="ListParagraph"/>
        <w:tabs>
          <w:tab w:val="clear" w:pos="360"/>
          <w:tab w:val="num" w:pos="993"/>
        </w:tabs>
        <w:ind w:left="993" w:hanging="426"/>
      </w:pPr>
      <w:r>
        <w:t>A merger is opposed</w:t>
      </w:r>
    </w:p>
    <w:p w:rsidR="00D43B84" w:rsidRDefault="00D43B84" w:rsidP="00C56039">
      <w:pPr>
        <w:pStyle w:val="ListParagraph"/>
        <w:tabs>
          <w:tab w:val="clear" w:pos="360"/>
          <w:tab w:val="num" w:pos="993"/>
        </w:tabs>
        <w:ind w:left="993" w:hanging="426"/>
      </w:pPr>
      <w:r>
        <w:t>A merger is subject to enforceable undertakings</w:t>
      </w:r>
    </w:p>
    <w:p w:rsidR="00D43B84" w:rsidRDefault="00D43B84" w:rsidP="00C56039">
      <w:pPr>
        <w:pStyle w:val="ListParagraph"/>
        <w:tabs>
          <w:tab w:val="clear" w:pos="360"/>
          <w:tab w:val="num" w:pos="993"/>
        </w:tabs>
        <w:ind w:left="993" w:hanging="426"/>
      </w:pPr>
      <w:r>
        <w:t>The merger parties seek such disclosure</w:t>
      </w:r>
    </w:p>
    <w:p w:rsidR="00D43B84" w:rsidRDefault="00D43B84" w:rsidP="00C56039">
      <w:pPr>
        <w:pStyle w:val="ListParagraph"/>
        <w:tabs>
          <w:tab w:val="clear" w:pos="360"/>
          <w:tab w:val="num" w:pos="993"/>
        </w:tabs>
        <w:ind w:left="993" w:hanging="426"/>
      </w:pPr>
      <w:r>
        <w:t>A merger is cleared but raises important issues that the ACCC considers should be made public</w:t>
      </w:r>
    </w:p>
    <w:p w:rsidR="00D43B84" w:rsidRDefault="00D43B84" w:rsidP="00C56039">
      <w:pPr>
        <w:pStyle w:val="NormalParagraph"/>
        <w:tabs>
          <w:tab w:val="clear" w:pos="360"/>
          <w:tab w:val="num" w:pos="426"/>
        </w:tabs>
        <w:ind w:left="426" w:hanging="426"/>
      </w:pPr>
      <w:r>
        <w:t>By publishing a Public Competition Assessment, the ACCC aims to provide guidance to the public about the ACCC’s analysis of the competition issues involved in certain merger reviews.</w:t>
      </w:r>
    </w:p>
    <w:p w:rsidR="00A56771" w:rsidRPr="0071499C" w:rsidRDefault="00A56771" w:rsidP="0017266E">
      <w:pPr>
        <w:pStyle w:val="NormalParagraph"/>
        <w:tabs>
          <w:tab w:val="clear" w:pos="360"/>
          <w:tab w:val="num" w:pos="426"/>
        </w:tabs>
        <w:ind w:left="426" w:hanging="426"/>
      </w:pPr>
      <w:r w:rsidRPr="0071499C">
        <w:lastRenderedPageBreak/>
        <w:t xml:space="preserve">The ACCC considers each </w:t>
      </w:r>
      <w:r w:rsidR="00951AD3">
        <w:t>acquisition</w:t>
      </w:r>
      <w:r w:rsidRPr="0071499C">
        <w:t xml:space="preserve"> on a case-by-cas</w:t>
      </w:r>
      <w:r w:rsidR="009F1D67">
        <w:t xml:space="preserve">e basis. While some transactions </w:t>
      </w:r>
      <w:r w:rsidRPr="0071499C">
        <w:t xml:space="preserve">may involve the same or related markets, the analysis and decision outlined in one assessment will not necessarily reflect the ACCC’s view about other </w:t>
      </w:r>
      <w:r w:rsidR="009F1D67">
        <w:t>transactions</w:t>
      </w:r>
      <w:r w:rsidRPr="0071499C">
        <w:t>.</w:t>
      </w:r>
    </w:p>
    <w:p w:rsidR="00A56771" w:rsidRDefault="00A56771" w:rsidP="0017266E">
      <w:pPr>
        <w:pStyle w:val="NormalParagraph"/>
        <w:tabs>
          <w:tab w:val="clear" w:pos="360"/>
          <w:tab w:val="num" w:pos="426"/>
        </w:tabs>
        <w:ind w:left="426" w:hanging="426"/>
      </w:pPr>
      <w:r w:rsidRPr="0071499C">
        <w:t xml:space="preserve">The ACCC </w:t>
      </w:r>
      <w:r w:rsidRPr="00360C0D">
        <w:t xml:space="preserve">considers confidential information from </w:t>
      </w:r>
      <w:r w:rsidR="007E1115">
        <w:t xml:space="preserve">merger </w:t>
      </w:r>
      <w:r w:rsidRPr="00360C0D">
        <w:t>parties</w:t>
      </w:r>
      <w:r w:rsidRPr="0071499C">
        <w:t xml:space="preserve"> and </w:t>
      </w:r>
      <w:r w:rsidR="007E1115">
        <w:t xml:space="preserve">other </w:t>
      </w:r>
      <w:r w:rsidRPr="0071499C">
        <w:t xml:space="preserve">market participants when making a decision. </w:t>
      </w:r>
      <w:r>
        <w:t>Our</w:t>
      </w:r>
      <w:r w:rsidRPr="0071499C">
        <w:t xml:space="preserve"> </w:t>
      </w:r>
      <w:r w:rsidR="00951AD3">
        <w:t xml:space="preserve">public competition </w:t>
      </w:r>
      <w:r w:rsidRPr="0071499C">
        <w:t>assessments may not identify and explain all issues that we consider</w:t>
      </w:r>
      <w:r w:rsidR="009F1D67">
        <w:t>ed</w:t>
      </w:r>
      <w:r w:rsidRPr="0071499C">
        <w:t xml:space="preserve"> because we must maintain confidentiality about c</w:t>
      </w:r>
      <w:r w:rsidR="005F2C4B">
        <w:t>ertain information and sources.</w:t>
      </w:r>
    </w:p>
    <w:p w:rsidR="003F66F1" w:rsidRPr="00360C0D" w:rsidRDefault="003F66F1" w:rsidP="003F66F1">
      <w:pPr>
        <w:pStyle w:val="Heading3"/>
      </w:pPr>
      <w:r w:rsidRPr="00360C0D">
        <w:t>The ACCC’s decision</w:t>
      </w:r>
      <w:r>
        <w:t>s</w:t>
      </w:r>
    </w:p>
    <w:p w:rsidR="003F66F1" w:rsidRDefault="003F66F1" w:rsidP="003F66F1">
      <w:pPr>
        <w:pStyle w:val="NormalParagraph"/>
        <w:tabs>
          <w:tab w:val="clear" w:pos="360"/>
          <w:tab w:val="num" w:pos="426"/>
        </w:tabs>
        <w:ind w:left="426" w:hanging="426"/>
      </w:pPr>
      <w:r>
        <w:t>On 2 April 2015,</w:t>
      </w:r>
      <w:r w:rsidRPr="00A53505">
        <w:t xml:space="preserve"> the </w:t>
      </w:r>
      <w:r>
        <w:t>ACCC</w:t>
      </w:r>
      <w:r w:rsidRPr="00A53505">
        <w:t xml:space="preserve"> announced its </w:t>
      </w:r>
      <w:r>
        <w:t>decision not to oppose the proposed acquisition by VQIRT</w:t>
      </w:r>
      <w:r w:rsidR="00F56BF1">
        <w:t xml:space="preserve"> subject to </w:t>
      </w:r>
      <w:proofErr w:type="gramStart"/>
      <w:r w:rsidR="00F56BF1">
        <w:t>a</w:t>
      </w:r>
      <w:proofErr w:type="gramEnd"/>
      <w:r w:rsidR="00F56BF1">
        <w:t xml:space="preserve"> s</w:t>
      </w:r>
      <w:r w:rsidR="002C789F">
        <w:t xml:space="preserve"> </w:t>
      </w:r>
      <w:r w:rsidR="00F56BF1">
        <w:t>87B undertaking</w:t>
      </w:r>
      <w:r>
        <w:t>.</w:t>
      </w:r>
      <w:r w:rsidRPr="002B614D">
        <w:t xml:space="preserve"> </w:t>
      </w:r>
      <w:r>
        <w:t xml:space="preserve">On 23 April 2015, </w:t>
      </w:r>
      <w:r w:rsidRPr="00A53505">
        <w:t xml:space="preserve">the </w:t>
      </w:r>
      <w:r>
        <w:t>ACCC</w:t>
      </w:r>
      <w:r w:rsidRPr="00A53505">
        <w:t xml:space="preserve"> announced its </w:t>
      </w:r>
      <w:r>
        <w:t>decision not to oppose the proposed acquisition by AAT</w:t>
      </w:r>
      <w:r w:rsidR="00F56BF1">
        <w:t xml:space="preserve"> subject to a s</w:t>
      </w:r>
      <w:r w:rsidR="002C789F">
        <w:t xml:space="preserve"> </w:t>
      </w:r>
      <w:r w:rsidR="00F56BF1">
        <w:t>87B undertaking</w:t>
      </w:r>
      <w:r>
        <w:t>.</w:t>
      </w:r>
    </w:p>
    <w:p w:rsidR="003F66F1" w:rsidRDefault="003F66F1" w:rsidP="003F66F1">
      <w:pPr>
        <w:pStyle w:val="NormalParagraph"/>
        <w:tabs>
          <w:tab w:val="clear" w:pos="360"/>
          <w:tab w:val="num" w:pos="426"/>
        </w:tabs>
        <w:ind w:left="426" w:hanging="426"/>
      </w:pPr>
      <w:r w:rsidRPr="002B614D">
        <w:t>The ACCC decided that</w:t>
      </w:r>
      <w:r>
        <w:t>, subject to each of the undertakings,</w:t>
      </w:r>
      <w:r w:rsidRPr="002B614D">
        <w:t xml:space="preserve"> </w:t>
      </w:r>
      <w:r>
        <w:t xml:space="preserve">each of </w:t>
      </w:r>
      <w:r w:rsidRPr="002B614D">
        <w:t xml:space="preserve">the </w:t>
      </w:r>
      <w:r>
        <w:t>separate proposed acquisitions by VQIRT and AAT would be unl</w:t>
      </w:r>
      <w:r w:rsidRPr="002B614D">
        <w:t xml:space="preserve">ikely to have the effect of </w:t>
      </w:r>
      <w:r w:rsidRPr="00BD7E5A">
        <w:t xml:space="preserve">substantially lessening competition in </w:t>
      </w:r>
      <w:r>
        <w:t xml:space="preserve">the relevant markets </w:t>
      </w:r>
      <w:r w:rsidRPr="00BD7E5A">
        <w:t>in contravention of section 50 of the Act.</w:t>
      </w:r>
    </w:p>
    <w:p w:rsidR="003F66F1" w:rsidRDefault="003F66F1" w:rsidP="003F66F1">
      <w:pPr>
        <w:pStyle w:val="NormalParagraph"/>
        <w:tabs>
          <w:tab w:val="clear" w:pos="360"/>
          <w:tab w:val="num" w:pos="426"/>
        </w:tabs>
        <w:ind w:left="426" w:hanging="426"/>
      </w:pPr>
      <w:r>
        <w:t>Without the undertaking</w:t>
      </w:r>
      <w:r w:rsidR="00855095">
        <w:t>s</w:t>
      </w:r>
      <w:r>
        <w:t>, the ACCC considered that the proposed acquisition by VQIRT and proposed acquisition by AAT would each have raised similar competition concerns related to the vertical integration that would occur post acquisition. These concerns relate to the potential for the successful bidder to exer</w:t>
      </w:r>
      <w:r w:rsidR="00951AD3">
        <w:t>cise</w:t>
      </w:r>
      <w:r>
        <w:t xml:space="preserve"> market power by leveraging its position as the operator of the</w:t>
      </w:r>
      <w:r w:rsidRPr="006F77DA">
        <w:t xml:space="preserve"> sole automotive terminal at the Port o</w:t>
      </w:r>
      <w:r>
        <w:t>f Fremantle to benefit its other upstream or downstream interests at the port. These concerns are detailed in the competition analysis below.</w:t>
      </w:r>
    </w:p>
    <w:p w:rsidR="0009525D" w:rsidRDefault="0009525D" w:rsidP="0009525D">
      <w:pPr>
        <w:pStyle w:val="Heading3"/>
      </w:pPr>
      <w:r>
        <w:t xml:space="preserve">The </w:t>
      </w:r>
      <w:r w:rsidRPr="00A53505">
        <w:t>parties</w:t>
      </w:r>
    </w:p>
    <w:p w:rsidR="0009525D" w:rsidRPr="006A7FE8" w:rsidRDefault="0009525D" w:rsidP="0009525D">
      <w:pPr>
        <w:pStyle w:val="Heading4"/>
      </w:pPr>
      <w:r>
        <w:t>Fremantle Ports</w:t>
      </w:r>
    </w:p>
    <w:p w:rsidR="0009525D" w:rsidRPr="00F4510B" w:rsidRDefault="004B25BF" w:rsidP="0009525D">
      <w:pPr>
        <w:pStyle w:val="NormalParagraph"/>
        <w:tabs>
          <w:tab w:val="clear" w:pos="360"/>
          <w:tab w:val="num" w:pos="426"/>
        </w:tabs>
        <w:ind w:left="426" w:hanging="426"/>
        <w:rPr>
          <w:kern w:val="32"/>
        </w:rPr>
      </w:pPr>
      <w:r>
        <w:t>The Fremantle Port Authority (</w:t>
      </w:r>
      <w:r w:rsidR="0009525D" w:rsidRPr="0065299B">
        <w:rPr>
          <w:b/>
        </w:rPr>
        <w:t>Fremantle Ports</w:t>
      </w:r>
      <w:r>
        <w:t>)</w:t>
      </w:r>
      <w:r w:rsidR="0009525D" w:rsidRPr="00F4510B">
        <w:t xml:space="preserve"> is a government trading enterprise and is the owner and manager of the Port of Fremantle. Fremantle Ports is the current operator of the existing</w:t>
      </w:r>
      <w:r w:rsidR="0009525D">
        <w:t xml:space="preserve"> automotive</w:t>
      </w:r>
      <w:r w:rsidR="0009525D" w:rsidRPr="00F4510B">
        <w:t xml:space="preserve"> terminal</w:t>
      </w:r>
      <w:r w:rsidR="0009525D">
        <w:t>s</w:t>
      </w:r>
      <w:r w:rsidR="007E1115">
        <w:t xml:space="preserve"> at the Port</w:t>
      </w:r>
      <w:r w:rsidR="003F66F1">
        <w:t xml:space="preserve"> of Fremantle</w:t>
      </w:r>
      <w:r w:rsidR="0009525D" w:rsidRPr="00F4510B">
        <w:t>.</w:t>
      </w:r>
    </w:p>
    <w:p w:rsidR="0009525D" w:rsidRDefault="0009525D" w:rsidP="0009525D">
      <w:pPr>
        <w:pStyle w:val="NormalParagraph"/>
        <w:tabs>
          <w:tab w:val="clear" w:pos="360"/>
          <w:tab w:val="num" w:pos="426"/>
        </w:tabs>
        <w:ind w:left="426" w:hanging="426"/>
      </w:pPr>
      <w:r w:rsidRPr="00F4510B">
        <w:t>The Port of Fremantle operates through two harbours</w:t>
      </w:r>
      <w:r w:rsidR="007E1115">
        <w:t>;</w:t>
      </w:r>
      <w:r w:rsidRPr="00F4510B">
        <w:t xml:space="preserve"> the Inner Harbour and the Outer Harbour. The Inner Harbour handles almost all of Western Australia’s container trade, in addition to livestock exports, motor vehicle imports, other genera</w:t>
      </w:r>
      <w:r w:rsidR="00CC5A23">
        <w:t xml:space="preserve">l cargo, cruise ships and </w:t>
      </w:r>
      <w:r w:rsidRPr="00F4510B">
        <w:t xml:space="preserve">visiting naval vessels. </w:t>
      </w:r>
    </w:p>
    <w:p w:rsidR="0009525D" w:rsidRDefault="0009525D" w:rsidP="0009525D">
      <w:pPr>
        <w:pStyle w:val="NormalParagraph"/>
      </w:pPr>
      <w:r>
        <w:t xml:space="preserve">The Port of Fremantle is the only port in Western Australia that is used for the import of motor vehicles. </w:t>
      </w:r>
      <w:r w:rsidRPr="00F4510B">
        <w:t>Fremantle</w:t>
      </w:r>
      <w:r w:rsidR="004B25BF">
        <w:t xml:space="preserve"> Port</w:t>
      </w:r>
      <w:r w:rsidRPr="00F4510B">
        <w:t>s</w:t>
      </w:r>
      <w:r w:rsidR="00F84B74">
        <w:t>’</w:t>
      </w:r>
      <w:r w:rsidRPr="00F4510B">
        <w:t xml:space="preserve"> existing </w:t>
      </w:r>
      <w:r>
        <w:t>automotive</w:t>
      </w:r>
      <w:r w:rsidRPr="00F4510B">
        <w:t xml:space="preserve"> and other </w:t>
      </w:r>
      <w:proofErr w:type="spellStart"/>
      <w:r w:rsidRPr="00F4510B">
        <w:t>RoRo</w:t>
      </w:r>
      <w:proofErr w:type="spellEnd"/>
      <w:r w:rsidRPr="00F4510B">
        <w:t xml:space="preserve"> trade is spread across the North Quay (Berths 11 and 12) and Victoria Qu</w:t>
      </w:r>
      <w:r>
        <w:t>ay (Berths E and H) within the Inner H</w:t>
      </w:r>
      <w:r w:rsidRPr="00F4510B">
        <w:t>arbour.</w:t>
      </w:r>
    </w:p>
    <w:p w:rsidR="0009525D" w:rsidRDefault="0009525D" w:rsidP="0009525D">
      <w:pPr>
        <w:pStyle w:val="Heading4"/>
      </w:pPr>
      <w:bookmarkStart w:id="3" w:name="Target3"/>
      <w:bookmarkEnd w:id="3"/>
      <w:r>
        <w:t>VQIRT</w:t>
      </w:r>
    </w:p>
    <w:p w:rsidR="0009525D" w:rsidRPr="0009525D" w:rsidRDefault="0009525D" w:rsidP="0009525D">
      <w:pPr>
        <w:pStyle w:val="NormalParagraph"/>
        <w:tabs>
          <w:tab w:val="clear" w:pos="360"/>
          <w:tab w:val="num" w:pos="426"/>
        </w:tabs>
        <w:ind w:left="426" w:hanging="426"/>
      </w:pPr>
      <w:r>
        <w:rPr>
          <w:rFonts w:cs="Arial"/>
        </w:rPr>
        <w:t xml:space="preserve">VQIRT is a wholly owned subsidiary of </w:t>
      </w:r>
      <w:proofErr w:type="spellStart"/>
      <w:r>
        <w:rPr>
          <w:rFonts w:cs="Arial"/>
        </w:rPr>
        <w:t>Wallenius</w:t>
      </w:r>
      <w:proofErr w:type="spellEnd"/>
      <w:r>
        <w:rPr>
          <w:rFonts w:cs="Arial"/>
        </w:rPr>
        <w:t xml:space="preserve"> </w:t>
      </w:r>
      <w:proofErr w:type="spellStart"/>
      <w:r>
        <w:rPr>
          <w:rFonts w:cs="Arial"/>
        </w:rPr>
        <w:t>Wilhelmsen</w:t>
      </w:r>
      <w:proofErr w:type="spellEnd"/>
      <w:r>
        <w:rPr>
          <w:rFonts w:cs="Arial"/>
        </w:rPr>
        <w:t xml:space="preserve"> Terminals Holding AS (</w:t>
      </w:r>
      <w:r w:rsidRPr="00B419A5">
        <w:rPr>
          <w:rFonts w:cs="Arial"/>
          <w:b/>
        </w:rPr>
        <w:t>WW Terminals</w:t>
      </w:r>
      <w:r>
        <w:rPr>
          <w:rFonts w:cs="Arial"/>
        </w:rPr>
        <w:t xml:space="preserve">), a company which operates automotive terminals in Europe, the United States and Asia. WW Terminals is a wholly owned subsidiary of </w:t>
      </w:r>
      <w:proofErr w:type="spellStart"/>
      <w:r w:rsidR="00FF1BE8">
        <w:rPr>
          <w:rFonts w:cs="Arial"/>
        </w:rPr>
        <w:lastRenderedPageBreak/>
        <w:t>Wallenius</w:t>
      </w:r>
      <w:proofErr w:type="spellEnd"/>
      <w:r w:rsidR="00286CD9">
        <w:rPr>
          <w:rFonts w:cs="Arial"/>
        </w:rPr>
        <w:t xml:space="preserve"> </w:t>
      </w:r>
      <w:proofErr w:type="spellStart"/>
      <w:r w:rsidR="00286CD9">
        <w:rPr>
          <w:rFonts w:cs="Arial"/>
        </w:rPr>
        <w:t>Wilhelmsen</w:t>
      </w:r>
      <w:proofErr w:type="spellEnd"/>
      <w:r w:rsidR="00286CD9">
        <w:rPr>
          <w:rFonts w:cs="Arial"/>
        </w:rPr>
        <w:t xml:space="preserve"> Logistics AS (</w:t>
      </w:r>
      <w:r w:rsidR="00286CD9" w:rsidRPr="00F84B74">
        <w:rPr>
          <w:b/>
        </w:rPr>
        <w:t>WW Logistics</w:t>
      </w:r>
      <w:r w:rsidR="00286CD9">
        <w:rPr>
          <w:rFonts w:cs="Arial"/>
        </w:rPr>
        <w:t>)</w:t>
      </w:r>
      <w:r w:rsidR="00621C9C">
        <w:rPr>
          <w:rFonts w:cs="Arial"/>
        </w:rPr>
        <w:t xml:space="preserve">. </w:t>
      </w:r>
      <w:r w:rsidR="00621C9C" w:rsidRPr="00F84B74">
        <w:t>WW Logistics</w:t>
      </w:r>
      <w:r w:rsidR="00286CD9">
        <w:rPr>
          <w:rFonts w:cs="Arial"/>
        </w:rPr>
        <w:t xml:space="preserve"> </w:t>
      </w:r>
      <w:r w:rsidRPr="00286CD9">
        <w:rPr>
          <w:rFonts w:cs="Arial"/>
        </w:rPr>
        <w:t>is</w:t>
      </w:r>
      <w:r>
        <w:rPr>
          <w:rFonts w:cs="Arial"/>
        </w:rPr>
        <w:t xml:space="preserve"> a full service global shipping and logistics provider. WW Logistics’ vessels call at a number of ports in Australia, including the Port of Fremantle. </w:t>
      </w:r>
    </w:p>
    <w:p w:rsidR="0009525D" w:rsidRPr="0009525D" w:rsidRDefault="0009525D" w:rsidP="0009525D">
      <w:pPr>
        <w:pStyle w:val="NormalParagraph"/>
        <w:tabs>
          <w:tab w:val="clear" w:pos="360"/>
          <w:tab w:val="num" w:pos="426"/>
        </w:tabs>
        <w:ind w:left="426" w:hanging="426"/>
      </w:pPr>
      <w:r>
        <w:t xml:space="preserve">VQIRT does not </w:t>
      </w:r>
      <w:r w:rsidR="00621C9C">
        <w:t xml:space="preserve">currently </w:t>
      </w:r>
      <w:r>
        <w:t xml:space="preserve">operate at any other port in Australia. However, </w:t>
      </w:r>
      <w:r w:rsidRPr="0009525D">
        <w:rPr>
          <w:rFonts w:cs="Arial"/>
          <w:kern w:val="32"/>
        </w:rPr>
        <w:t xml:space="preserve">VQIRT is a related body corporate of Melbourne International </w:t>
      </w:r>
      <w:proofErr w:type="spellStart"/>
      <w:r w:rsidRPr="0009525D">
        <w:rPr>
          <w:rFonts w:cs="Arial"/>
          <w:kern w:val="32"/>
        </w:rPr>
        <w:t>RoRo</w:t>
      </w:r>
      <w:proofErr w:type="spellEnd"/>
      <w:r w:rsidRPr="0009525D">
        <w:rPr>
          <w:rFonts w:cs="Arial"/>
          <w:kern w:val="32"/>
        </w:rPr>
        <w:t xml:space="preserve"> &amp; Auto Terminal Pty Ltd (</w:t>
      </w:r>
      <w:r w:rsidRPr="0009525D">
        <w:rPr>
          <w:rFonts w:cs="Arial"/>
          <w:b/>
          <w:kern w:val="32"/>
        </w:rPr>
        <w:t>MIRRAT</w:t>
      </w:r>
      <w:r w:rsidRPr="0009525D">
        <w:rPr>
          <w:rFonts w:cs="Arial"/>
          <w:kern w:val="32"/>
        </w:rPr>
        <w:t xml:space="preserve">) which is also a wholly owned subsidiary of WW Terminals. In 2014, MIRRAT successfully bid for the </w:t>
      </w:r>
      <w:r w:rsidRPr="0009525D">
        <w:rPr>
          <w:rFonts w:cs="Arial"/>
        </w:rPr>
        <w:t>right</w:t>
      </w:r>
      <w:r w:rsidRPr="0009525D">
        <w:rPr>
          <w:rFonts w:cs="Arial"/>
          <w:kern w:val="32"/>
        </w:rPr>
        <w:t xml:space="preserve"> to lease, redevelop and operate the automotive terminal at Webb Dock West at the Port of Melbourne until 30 June 2040. </w:t>
      </w:r>
      <w:r w:rsidR="00A760BB">
        <w:rPr>
          <w:rFonts w:cs="Arial"/>
          <w:kern w:val="32"/>
        </w:rPr>
        <w:t>It is expected that MIRRAT will commence operations at the Port of Melbourne in early 2016.</w:t>
      </w:r>
    </w:p>
    <w:p w:rsidR="0009525D" w:rsidRDefault="0009525D" w:rsidP="0009525D">
      <w:pPr>
        <w:pStyle w:val="Heading4"/>
      </w:pPr>
      <w:r>
        <w:t>AAT</w:t>
      </w:r>
    </w:p>
    <w:p w:rsidR="0009525D" w:rsidRPr="0017266E" w:rsidRDefault="0009525D" w:rsidP="0009525D">
      <w:pPr>
        <w:pStyle w:val="NormalParagraph"/>
        <w:tabs>
          <w:tab w:val="clear" w:pos="360"/>
          <w:tab w:val="num" w:pos="426"/>
        </w:tabs>
        <w:ind w:left="426" w:hanging="426"/>
      </w:pPr>
      <w:r w:rsidRPr="0017266E">
        <w:t>AAT is an incorporated joint venture, the shares of which are equally held by:</w:t>
      </w:r>
    </w:p>
    <w:p w:rsidR="0009525D" w:rsidRPr="0017266E" w:rsidRDefault="0009525D" w:rsidP="0009525D">
      <w:pPr>
        <w:pStyle w:val="ListParagraph"/>
        <w:tabs>
          <w:tab w:val="clear" w:pos="360"/>
          <w:tab w:val="num" w:pos="993"/>
        </w:tabs>
        <w:ind w:left="993" w:hanging="426"/>
      </w:pPr>
      <w:r w:rsidRPr="0017266E">
        <w:rPr>
          <w:rFonts w:cs="Times New Roman"/>
        </w:rPr>
        <w:t>P&amp;</w:t>
      </w:r>
      <w:r w:rsidRPr="0017266E">
        <w:t>O Wharf Management Pty Limited, a wholly owned subsidiary of Qube</w:t>
      </w:r>
      <w:r w:rsidR="00286CD9">
        <w:t xml:space="preserve"> Holdings Ltd (</w:t>
      </w:r>
      <w:r w:rsidR="00286CD9">
        <w:rPr>
          <w:b/>
        </w:rPr>
        <w:t>Qube</w:t>
      </w:r>
      <w:r w:rsidR="00286CD9">
        <w:t>)</w:t>
      </w:r>
      <w:r w:rsidRPr="0017266E">
        <w:t>; and</w:t>
      </w:r>
    </w:p>
    <w:p w:rsidR="0009525D" w:rsidRDefault="0009525D" w:rsidP="0009525D">
      <w:pPr>
        <w:pStyle w:val="ListParagraph"/>
        <w:tabs>
          <w:tab w:val="clear" w:pos="360"/>
          <w:tab w:val="num" w:pos="993"/>
        </w:tabs>
        <w:ind w:left="993" w:hanging="426"/>
        <w:rPr>
          <w:rFonts w:cs="Times New Roman"/>
        </w:rPr>
      </w:pPr>
      <w:r w:rsidRPr="0017266E">
        <w:t>Plzen Pty Limited, a wholly owned subsidiary of Asciano</w:t>
      </w:r>
      <w:r w:rsidR="00286CD9">
        <w:t xml:space="preserve"> Ltd (</w:t>
      </w:r>
      <w:r w:rsidR="00286CD9">
        <w:rPr>
          <w:b/>
        </w:rPr>
        <w:t>Asciano</w:t>
      </w:r>
      <w:r w:rsidR="00286CD9">
        <w:t>)</w:t>
      </w:r>
      <w:r w:rsidRPr="0017266E">
        <w:rPr>
          <w:rFonts w:cs="Times New Roman"/>
        </w:rPr>
        <w:t xml:space="preserve">. </w:t>
      </w:r>
    </w:p>
    <w:p w:rsidR="0009525D" w:rsidRDefault="00CC5A23" w:rsidP="0009525D">
      <w:pPr>
        <w:pStyle w:val="NormalParagraph"/>
        <w:tabs>
          <w:tab w:val="clear" w:pos="360"/>
          <w:tab w:val="num" w:pos="426"/>
        </w:tabs>
        <w:ind w:left="426" w:hanging="426"/>
      </w:pPr>
      <w:r>
        <w:t>Qube and Asciano have interests in the supply of</w:t>
      </w:r>
      <w:r w:rsidR="0009525D" w:rsidRPr="0017266E">
        <w:t xml:space="preserve"> land based logistics services for automotive cargo</w:t>
      </w:r>
      <w:r>
        <w:t xml:space="preserve"> at the Port of Fremantle</w:t>
      </w:r>
      <w:r w:rsidR="0009525D" w:rsidRPr="0017266E">
        <w:t>.</w:t>
      </w:r>
      <w:r w:rsidR="0009525D">
        <w:t xml:space="preserve"> In particular:</w:t>
      </w:r>
    </w:p>
    <w:p w:rsidR="0009525D" w:rsidRPr="009958F3" w:rsidRDefault="0009525D" w:rsidP="0009525D">
      <w:pPr>
        <w:pStyle w:val="ListParagraph"/>
        <w:tabs>
          <w:tab w:val="clear" w:pos="360"/>
          <w:tab w:val="num" w:pos="993"/>
        </w:tabs>
        <w:ind w:left="993" w:hanging="426"/>
      </w:pPr>
      <w:r w:rsidRPr="009958F3">
        <w:t>Qube and Patrick Stevedoring Pty Ltd (a wholly owned subsidiary of Asciano) have automotive stevedoring operations at the Port of Fremantle; and</w:t>
      </w:r>
    </w:p>
    <w:p w:rsidR="0009525D" w:rsidRDefault="0009525D" w:rsidP="0009525D">
      <w:pPr>
        <w:pStyle w:val="ListParagraph"/>
        <w:tabs>
          <w:tab w:val="clear" w:pos="360"/>
          <w:tab w:val="num" w:pos="993"/>
        </w:tabs>
        <w:ind w:left="993" w:hanging="426"/>
      </w:pPr>
      <w:proofErr w:type="spellStart"/>
      <w:r w:rsidRPr="009958F3">
        <w:t>Prixcar</w:t>
      </w:r>
      <w:proofErr w:type="spellEnd"/>
      <w:r w:rsidRPr="009958F3">
        <w:t xml:space="preserve"> Services Pty Limited (in which Qube has an indirect 25% shareholding) and Patrick </w:t>
      </w:r>
      <w:proofErr w:type="spellStart"/>
      <w:r w:rsidRPr="009958F3">
        <w:t>Autocare</w:t>
      </w:r>
      <w:proofErr w:type="spellEnd"/>
      <w:r w:rsidRPr="009958F3">
        <w:t xml:space="preserve"> Pty Limited (in which Asciano </w:t>
      </w:r>
      <w:r w:rsidR="00286CD9">
        <w:t>has an 80% interest) provide pre-delivery inspection (</w:t>
      </w:r>
      <w:r w:rsidR="00286CD9">
        <w:rPr>
          <w:b/>
        </w:rPr>
        <w:t>PDI</w:t>
      </w:r>
      <w:r w:rsidR="00286CD9">
        <w:t>)</w:t>
      </w:r>
      <w:r w:rsidRPr="009958F3">
        <w:t xml:space="preserve"> services for motor vehicles at the Port of Fremantle.</w:t>
      </w:r>
    </w:p>
    <w:p w:rsidR="0009525D" w:rsidRPr="00F4510B" w:rsidRDefault="00A52168" w:rsidP="00A52168">
      <w:pPr>
        <w:pStyle w:val="NormalParagraph"/>
        <w:tabs>
          <w:tab w:val="clear" w:pos="360"/>
          <w:tab w:val="num" w:pos="426"/>
        </w:tabs>
        <w:ind w:left="426" w:hanging="426"/>
      </w:pPr>
      <w:r>
        <w:t xml:space="preserve">AAT </w:t>
      </w:r>
      <w:r w:rsidR="00621C9C">
        <w:t xml:space="preserve">currently </w:t>
      </w:r>
      <w:r>
        <w:t xml:space="preserve">operates automotive </w:t>
      </w:r>
      <w:r w:rsidR="0009525D" w:rsidRPr="00F4510B">
        <w:t>terminals at the following ports in Australia:</w:t>
      </w:r>
    </w:p>
    <w:p w:rsidR="0009525D" w:rsidRPr="00F4510B" w:rsidRDefault="0009525D" w:rsidP="00A52168">
      <w:pPr>
        <w:pStyle w:val="ListParagraph"/>
        <w:tabs>
          <w:tab w:val="clear" w:pos="360"/>
          <w:tab w:val="num" w:pos="993"/>
        </w:tabs>
        <w:ind w:left="993" w:hanging="426"/>
      </w:pPr>
      <w:r w:rsidRPr="00F4510B">
        <w:t>Port Adelaide (South Australia);</w:t>
      </w:r>
    </w:p>
    <w:p w:rsidR="0009525D" w:rsidRPr="00F4510B" w:rsidRDefault="0009525D" w:rsidP="00A52168">
      <w:pPr>
        <w:pStyle w:val="ListParagraph"/>
        <w:tabs>
          <w:tab w:val="clear" w:pos="360"/>
          <w:tab w:val="num" w:pos="993"/>
        </w:tabs>
        <w:ind w:left="993" w:hanging="426"/>
      </w:pPr>
      <w:r w:rsidRPr="00F4510B">
        <w:t>Port of Brisbane (Queensland);</w:t>
      </w:r>
    </w:p>
    <w:p w:rsidR="0009525D" w:rsidRPr="00F4510B" w:rsidRDefault="0009525D" w:rsidP="00A52168">
      <w:pPr>
        <w:pStyle w:val="ListParagraph"/>
        <w:tabs>
          <w:tab w:val="clear" w:pos="360"/>
          <w:tab w:val="num" w:pos="993"/>
        </w:tabs>
        <w:ind w:left="993" w:hanging="426"/>
      </w:pPr>
      <w:r w:rsidRPr="00F4510B">
        <w:t xml:space="preserve">Port Kembla (New South Wales); </w:t>
      </w:r>
      <w:r w:rsidR="00A52168">
        <w:t>and</w:t>
      </w:r>
    </w:p>
    <w:p w:rsidR="0009525D" w:rsidRDefault="0009525D" w:rsidP="00A52168">
      <w:pPr>
        <w:pStyle w:val="ListParagraph"/>
        <w:tabs>
          <w:tab w:val="clear" w:pos="360"/>
          <w:tab w:val="num" w:pos="993"/>
        </w:tabs>
        <w:ind w:left="993" w:hanging="426"/>
      </w:pPr>
      <w:r>
        <w:t>Port of Melbourne (Victoria).</w:t>
      </w:r>
      <w:r w:rsidR="00F84B74" w:rsidRPr="00A760BB">
        <w:rPr>
          <w:rStyle w:val="FootnoteReference"/>
          <w:rFonts w:ascii="Arial" w:hAnsi="Arial"/>
          <w:szCs w:val="18"/>
        </w:rPr>
        <w:footnoteReference w:id="2"/>
      </w:r>
    </w:p>
    <w:p w:rsidR="00DB5C2E" w:rsidRPr="00F4510B" w:rsidRDefault="00A52168" w:rsidP="00DB5C2E">
      <w:pPr>
        <w:pStyle w:val="NormalParagraph"/>
        <w:tabs>
          <w:tab w:val="clear" w:pos="360"/>
          <w:tab w:val="num" w:pos="426"/>
        </w:tabs>
        <w:ind w:left="426" w:hanging="426"/>
      </w:pPr>
      <w:r>
        <w:t>AAT’s operations at these terminals are covered by a conditional authorisation granted by the ACCC on 3 December 2009</w:t>
      </w:r>
      <w:r w:rsidR="00A96FA7">
        <w:t>, which will expire on 31 December 2019</w:t>
      </w:r>
      <w:r>
        <w:t>.</w:t>
      </w:r>
      <w:bookmarkStart w:id="4" w:name="_Ref411258370"/>
      <w:r>
        <w:t xml:space="preserve"> </w:t>
      </w:r>
      <w:bookmarkEnd w:id="4"/>
      <w:r w:rsidR="00DB5C2E" w:rsidRPr="00F4510B">
        <w:t>The conditions of authorisation broadly require AAT to:</w:t>
      </w:r>
    </w:p>
    <w:p w:rsidR="00DB5C2E" w:rsidRPr="00DC5BEA" w:rsidRDefault="00DB5C2E" w:rsidP="00DB5C2E">
      <w:pPr>
        <w:pStyle w:val="ListParagraph"/>
        <w:tabs>
          <w:tab w:val="clear" w:pos="360"/>
          <w:tab w:val="num" w:pos="993"/>
        </w:tabs>
        <w:ind w:left="993" w:hanging="426"/>
      </w:pPr>
      <w:r w:rsidRPr="00DC5BEA">
        <w:t>provide a mechanis</w:t>
      </w:r>
      <w:r>
        <w:t xml:space="preserve">m for stevedores other than AAT </w:t>
      </w:r>
      <w:r w:rsidRPr="00DC5BEA">
        <w:t>aligned stevedores to seek access to AAT’s terminals;</w:t>
      </w:r>
    </w:p>
    <w:p w:rsidR="00DB5C2E" w:rsidRPr="00DC5BEA" w:rsidRDefault="00DB5C2E" w:rsidP="00DB5C2E">
      <w:pPr>
        <w:pStyle w:val="ListParagraph"/>
        <w:tabs>
          <w:tab w:val="clear" w:pos="360"/>
          <w:tab w:val="num" w:pos="993"/>
        </w:tabs>
        <w:ind w:left="993" w:hanging="426"/>
      </w:pPr>
      <w:r w:rsidRPr="00DC5BEA">
        <w:t>subject any proposed price increases to terminal users to review by an independent party; and</w:t>
      </w:r>
    </w:p>
    <w:p w:rsidR="00DB5C2E" w:rsidRPr="00DC5BEA" w:rsidRDefault="00DB5C2E" w:rsidP="00DB5C2E">
      <w:pPr>
        <w:pStyle w:val="ListParagraph"/>
        <w:tabs>
          <w:tab w:val="clear" w:pos="360"/>
          <w:tab w:val="num" w:pos="993"/>
        </w:tabs>
        <w:ind w:left="993" w:hanging="426"/>
      </w:pPr>
      <w:r w:rsidRPr="00DC5BEA">
        <w:t>offer a dispute resolution process to terminal users for non-price disputes.</w:t>
      </w:r>
    </w:p>
    <w:p w:rsidR="00DB5C2E" w:rsidRPr="00F4510B" w:rsidRDefault="00DB5C2E" w:rsidP="00DB5C2E">
      <w:pPr>
        <w:pStyle w:val="NormalParagraph"/>
        <w:tabs>
          <w:tab w:val="clear" w:pos="360"/>
          <w:tab w:val="num" w:pos="426"/>
        </w:tabs>
        <w:ind w:left="426" w:hanging="426"/>
      </w:pPr>
      <w:r w:rsidRPr="00F4510B">
        <w:lastRenderedPageBreak/>
        <w:t xml:space="preserve">The authorisation </w:t>
      </w:r>
      <w:r>
        <w:t xml:space="preserve">would </w:t>
      </w:r>
      <w:r w:rsidRPr="002C789F">
        <w:t>not</w:t>
      </w:r>
      <w:r>
        <w:t xml:space="preserve"> extend to cover</w:t>
      </w:r>
      <w:r w:rsidRPr="00F4510B">
        <w:t xml:space="preserve"> AAT’s</w:t>
      </w:r>
      <w:r>
        <w:t xml:space="preserve"> </w:t>
      </w:r>
      <w:r w:rsidRPr="00F4510B">
        <w:t>operations at the Port of Fremantle</w:t>
      </w:r>
      <w:r>
        <w:t>, should it be successful in its bid for the long term lease</w:t>
      </w:r>
      <w:r w:rsidRPr="00F4510B">
        <w:t>.</w:t>
      </w:r>
      <w:r>
        <w:t xml:space="preserve"> Consequently, </w:t>
      </w:r>
      <w:r w:rsidR="009C6BB6">
        <w:t xml:space="preserve">in the absence of the separate undertakings accepted by the ACCC, </w:t>
      </w:r>
      <w:r>
        <w:t xml:space="preserve">AAT’s operations at the Port of Fremantle would only be subject to the </w:t>
      </w:r>
      <w:r>
        <w:rPr>
          <w:rFonts w:cs="Arial"/>
        </w:rPr>
        <w:t xml:space="preserve">open </w:t>
      </w:r>
      <w:r w:rsidRPr="004163D0">
        <w:rPr>
          <w:rFonts w:cs="Arial"/>
        </w:rPr>
        <w:t xml:space="preserve">access regime set out in the </w:t>
      </w:r>
      <w:r>
        <w:rPr>
          <w:rFonts w:cs="Arial"/>
        </w:rPr>
        <w:t>proposed terminal licence</w:t>
      </w:r>
      <w:r w:rsidRPr="004163D0">
        <w:rPr>
          <w:rFonts w:cs="Arial"/>
        </w:rPr>
        <w:t xml:space="preserve"> between the terminal operator and Fremantle Ports</w:t>
      </w:r>
      <w:r>
        <w:rPr>
          <w:rFonts w:cs="Arial"/>
        </w:rPr>
        <w:t>.</w:t>
      </w:r>
    </w:p>
    <w:p w:rsidR="00A56771" w:rsidRDefault="009F1D67" w:rsidP="009F1D67">
      <w:pPr>
        <w:pStyle w:val="Heading3"/>
      </w:pPr>
      <w:r w:rsidRPr="00360C0D">
        <w:t>The</w:t>
      </w:r>
      <w:r w:rsidR="00360C0D" w:rsidRPr="00360C0D">
        <w:t xml:space="preserve"> proposed </w:t>
      </w:r>
      <w:r w:rsidR="00BD3354">
        <w:t xml:space="preserve">transaction </w:t>
      </w:r>
    </w:p>
    <w:p w:rsidR="00631F7A" w:rsidRPr="00631F7A" w:rsidRDefault="00631F7A" w:rsidP="0017266E">
      <w:pPr>
        <w:pStyle w:val="NormalParagraph"/>
        <w:tabs>
          <w:tab w:val="clear" w:pos="360"/>
          <w:tab w:val="num" w:pos="426"/>
        </w:tabs>
        <w:ind w:left="426" w:hanging="426"/>
      </w:pPr>
      <w:r w:rsidRPr="00631F7A">
        <w:t xml:space="preserve">In December 2013, </w:t>
      </w:r>
      <w:r w:rsidRPr="00DD2BE9">
        <w:t>Fremantle Ports</w:t>
      </w:r>
      <w:r w:rsidRPr="00631F7A">
        <w:t xml:space="preserve"> sought expressions of interest from parties interested in developing and operating</w:t>
      </w:r>
      <w:r w:rsidR="0017266E">
        <w:t xml:space="preserve"> a </w:t>
      </w:r>
      <w:r w:rsidR="006F41A8">
        <w:t xml:space="preserve">new </w:t>
      </w:r>
      <w:r w:rsidR="0017266E">
        <w:t xml:space="preserve">dedicated automotive and </w:t>
      </w:r>
      <w:proofErr w:type="spellStart"/>
      <w:r w:rsidR="0017266E" w:rsidRPr="00DD2BE9">
        <w:t>RoRo</w:t>
      </w:r>
      <w:proofErr w:type="spellEnd"/>
      <w:r w:rsidR="00AA7153">
        <w:t xml:space="preserve"> </w:t>
      </w:r>
      <w:r w:rsidR="00FF1BE8">
        <w:t>t</w:t>
      </w:r>
      <w:r w:rsidR="00FF1BE8" w:rsidRPr="00631F7A">
        <w:t>erminal</w:t>
      </w:r>
      <w:r w:rsidR="009A0593">
        <w:t xml:space="preserve"> </w:t>
      </w:r>
      <w:r w:rsidRPr="006C2532">
        <w:t>under</w:t>
      </w:r>
      <w:r w:rsidRPr="00631F7A">
        <w:t xml:space="preserve"> a long</w:t>
      </w:r>
      <w:r w:rsidR="00A760BB">
        <w:t xml:space="preserve"> </w:t>
      </w:r>
      <w:r w:rsidRPr="00631F7A">
        <w:t>term lease on Victoria Quay in the Port of Fremantle’s Inner Harbour.</w:t>
      </w:r>
      <w:r w:rsidR="002726B6">
        <w:t xml:space="preserve"> The term of the lease is </w:t>
      </w:r>
      <w:r w:rsidR="0065299B">
        <w:t>expected to be</w:t>
      </w:r>
      <w:r w:rsidR="002726B6">
        <w:t xml:space="preserve"> for approximately 20 years. </w:t>
      </w:r>
    </w:p>
    <w:p w:rsidR="00A52168" w:rsidRDefault="00631F7A" w:rsidP="0017266E">
      <w:pPr>
        <w:pStyle w:val="NormalParagraph"/>
        <w:tabs>
          <w:tab w:val="clear" w:pos="360"/>
          <w:tab w:val="num" w:pos="426"/>
        </w:tabs>
        <w:ind w:left="426" w:hanging="426"/>
      </w:pPr>
      <w:r w:rsidRPr="00631F7A">
        <w:t xml:space="preserve">Fremantle Ports </w:t>
      </w:r>
      <w:r w:rsidR="00A52168">
        <w:t>seeks</w:t>
      </w:r>
      <w:r w:rsidRPr="00631F7A">
        <w:t xml:space="preserve"> to pro</w:t>
      </w:r>
      <w:r w:rsidR="00A731CE">
        <w:t xml:space="preserve">vide increased </w:t>
      </w:r>
      <w:r w:rsidR="006F41A8">
        <w:t xml:space="preserve">automotive </w:t>
      </w:r>
      <w:r w:rsidR="00E036A8">
        <w:t xml:space="preserve">and </w:t>
      </w:r>
      <w:proofErr w:type="spellStart"/>
      <w:r w:rsidR="00E036A8">
        <w:t>RoRo</w:t>
      </w:r>
      <w:proofErr w:type="spellEnd"/>
      <w:r w:rsidR="00E036A8">
        <w:t xml:space="preserve"> </w:t>
      </w:r>
      <w:r w:rsidR="00A731CE">
        <w:t xml:space="preserve">capacity at the </w:t>
      </w:r>
      <w:r w:rsidR="006F41A8">
        <w:t>Port of Fremantle</w:t>
      </w:r>
      <w:r w:rsidRPr="00631F7A">
        <w:t xml:space="preserve"> by consolidating </w:t>
      </w:r>
      <w:r w:rsidR="00B057F7">
        <w:t>automotive</w:t>
      </w:r>
      <w:r w:rsidRPr="00631F7A">
        <w:t xml:space="preserve"> </w:t>
      </w:r>
      <w:r w:rsidR="00E036A8">
        <w:t xml:space="preserve">and </w:t>
      </w:r>
      <w:proofErr w:type="spellStart"/>
      <w:r w:rsidR="00E036A8">
        <w:t>RoRo</w:t>
      </w:r>
      <w:proofErr w:type="spellEnd"/>
      <w:r w:rsidR="00E036A8">
        <w:t xml:space="preserve"> </w:t>
      </w:r>
      <w:r w:rsidRPr="00631F7A">
        <w:t xml:space="preserve">trade from </w:t>
      </w:r>
      <w:r w:rsidR="00E036A8">
        <w:t xml:space="preserve">a number of </w:t>
      </w:r>
      <w:r w:rsidRPr="00631F7A">
        <w:t>common user terminals within the Port</w:t>
      </w:r>
      <w:r w:rsidR="00B057F7">
        <w:t xml:space="preserve"> of Fremantle</w:t>
      </w:r>
      <w:r w:rsidRPr="00631F7A">
        <w:t xml:space="preserve"> to </w:t>
      </w:r>
      <w:r w:rsidR="00B057F7">
        <w:t xml:space="preserve">the </w:t>
      </w:r>
      <w:r w:rsidR="00E036A8">
        <w:t xml:space="preserve">new </w:t>
      </w:r>
      <w:r w:rsidR="00B057F7">
        <w:t xml:space="preserve">Terminal, which will be the sole </w:t>
      </w:r>
      <w:r w:rsidR="005D545A">
        <w:t xml:space="preserve">dedicated </w:t>
      </w:r>
      <w:r w:rsidRPr="00631F7A">
        <w:t xml:space="preserve">automotive and </w:t>
      </w:r>
      <w:proofErr w:type="spellStart"/>
      <w:r w:rsidRPr="00631F7A">
        <w:t>RoRo</w:t>
      </w:r>
      <w:proofErr w:type="spellEnd"/>
      <w:r w:rsidRPr="00631F7A">
        <w:t xml:space="preserve"> terminal at </w:t>
      </w:r>
      <w:r w:rsidR="00B057F7">
        <w:t>the Port of Fremantle.</w:t>
      </w:r>
    </w:p>
    <w:p w:rsidR="00AA7153" w:rsidRDefault="00631F7A" w:rsidP="00AA7153">
      <w:pPr>
        <w:pStyle w:val="NormalParagraph"/>
        <w:tabs>
          <w:tab w:val="clear" w:pos="360"/>
          <w:tab w:val="num" w:pos="426"/>
        </w:tabs>
        <w:ind w:left="426" w:hanging="426"/>
      </w:pPr>
      <w:r w:rsidRPr="00631F7A">
        <w:t>As part of this consolidation</w:t>
      </w:r>
      <w:r w:rsidR="007107BB">
        <w:t>,</w:t>
      </w:r>
      <w:r w:rsidRPr="00631F7A">
        <w:t xml:space="preserve"> </w:t>
      </w:r>
      <w:r w:rsidR="005D545A">
        <w:t>Fre</w:t>
      </w:r>
      <w:r w:rsidR="006F41A8">
        <w:t xml:space="preserve">mantle Ports will appoint </w:t>
      </w:r>
      <w:r w:rsidR="00A52168">
        <w:t xml:space="preserve">a single terminal operator </w:t>
      </w:r>
      <w:r w:rsidR="006F41A8">
        <w:t xml:space="preserve">to operate </w:t>
      </w:r>
      <w:r w:rsidR="007132F8">
        <w:t>the Terminal</w:t>
      </w:r>
      <w:r w:rsidR="0009525D" w:rsidRPr="00BF4C54">
        <w:t xml:space="preserve"> on a multi-user, open access basis. </w:t>
      </w:r>
      <w:r w:rsidR="007107BB">
        <w:rPr>
          <w:rFonts w:cs="Arial"/>
        </w:rPr>
        <w:t>T</w:t>
      </w:r>
      <w:r w:rsidR="00AA7153" w:rsidRPr="009A6755">
        <w:rPr>
          <w:rFonts w:cs="Arial"/>
        </w:rPr>
        <w:t xml:space="preserve">he </w:t>
      </w:r>
      <w:r w:rsidR="006F41A8">
        <w:rPr>
          <w:rFonts w:cs="Arial"/>
        </w:rPr>
        <w:t>t</w:t>
      </w:r>
      <w:r w:rsidR="006F41A8" w:rsidRPr="009A6755">
        <w:rPr>
          <w:rFonts w:cs="Arial"/>
        </w:rPr>
        <w:t xml:space="preserve">erminal </w:t>
      </w:r>
      <w:r w:rsidR="00AA7153" w:rsidRPr="009A6755">
        <w:rPr>
          <w:rFonts w:cs="Arial"/>
        </w:rPr>
        <w:t>operator</w:t>
      </w:r>
      <w:r w:rsidR="00DD2BE9">
        <w:rPr>
          <w:rFonts w:cs="Arial"/>
        </w:rPr>
        <w:t xml:space="preserve"> </w:t>
      </w:r>
      <w:r w:rsidR="00AA7153" w:rsidRPr="009A6755">
        <w:rPr>
          <w:rFonts w:cs="Arial"/>
        </w:rPr>
        <w:t>will have no responsibility for berthing allocation. Fremantle Ports will retain responsibility for berthing allocation and the provision of mooring services at the Terminal</w:t>
      </w:r>
      <w:r w:rsidR="00A760BB">
        <w:rPr>
          <w:rFonts w:cs="Arial"/>
        </w:rPr>
        <w:t>.</w:t>
      </w:r>
    </w:p>
    <w:p w:rsidR="0009525D" w:rsidRDefault="0009525D" w:rsidP="007132F8">
      <w:pPr>
        <w:pStyle w:val="NormalParagraph"/>
        <w:tabs>
          <w:tab w:val="clear" w:pos="360"/>
          <w:tab w:val="num" w:pos="426"/>
        </w:tabs>
        <w:ind w:left="426" w:hanging="426"/>
      </w:pPr>
      <w:r w:rsidRPr="00BF4C54">
        <w:t xml:space="preserve">The </w:t>
      </w:r>
      <w:r w:rsidR="00547C17">
        <w:t xml:space="preserve">proposed </w:t>
      </w:r>
      <w:r w:rsidR="00912A42">
        <w:t>t</w:t>
      </w:r>
      <w:r w:rsidRPr="00BF4C54">
        <w:t xml:space="preserve">erminal </w:t>
      </w:r>
      <w:r w:rsidR="00912A42">
        <w:t>lease and terminal</w:t>
      </w:r>
      <w:r w:rsidRPr="00BF4C54">
        <w:t xml:space="preserve"> licence </w:t>
      </w:r>
      <w:r w:rsidR="00E036A8">
        <w:t xml:space="preserve">to be </w:t>
      </w:r>
      <w:r w:rsidRPr="00BF4C54">
        <w:t xml:space="preserve">granted by </w:t>
      </w:r>
      <w:r w:rsidR="00912A42">
        <w:t xml:space="preserve">Fremantle Ports </w:t>
      </w:r>
      <w:r w:rsidRPr="00BF4C54">
        <w:t>require</w:t>
      </w:r>
      <w:r w:rsidR="00E036A8">
        <w:t>s</w:t>
      </w:r>
      <w:r w:rsidRPr="00BF4C54">
        <w:t xml:space="preserve"> the </w:t>
      </w:r>
      <w:r w:rsidR="00912A42">
        <w:t>terminal operator</w:t>
      </w:r>
      <w:r w:rsidRPr="00BF4C54">
        <w:t xml:space="preserve"> to operate</w:t>
      </w:r>
      <w:r w:rsidR="00912A42">
        <w:t xml:space="preserve"> the Terminal</w:t>
      </w:r>
      <w:r w:rsidRPr="00BF4C54">
        <w:t xml:space="preserve"> in accordance with open access principles including: </w:t>
      </w:r>
    </w:p>
    <w:p w:rsidR="0009525D" w:rsidRPr="0009525D" w:rsidRDefault="0009525D" w:rsidP="00257A33">
      <w:pPr>
        <w:pStyle w:val="NormalParagraph"/>
        <w:numPr>
          <w:ilvl w:val="0"/>
          <w:numId w:val="11"/>
        </w:numPr>
        <w:ind w:left="993"/>
      </w:pPr>
      <w:r w:rsidRPr="0009525D">
        <w:t>a mechanism for stevedores, PDI operators and others to access the Terminal;</w:t>
      </w:r>
    </w:p>
    <w:p w:rsidR="0009525D" w:rsidRPr="0009525D" w:rsidRDefault="0009525D" w:rsidP="00257A33">
      <w:pPr>
        <w:pStyle w:val="NormalParagraph"/>
        <w:numPr>
          <w:ilvl w:val="0"/>
          <w:numId w:val="11"/>
        </w:numPr>
        <w:ind w:left="993"/>
      </w:pPr>
      <w:r w:rsidRPr="0009525D">
        <w:t xml:space="preserve">non-discrimination provisions in relation to the </w:t>
      </w:r>
      <w:r w:rsidR="00912A42">
        <w:t>t</w:t>
      </w:r>
      <w:r w:rsidR="00912A42" w:rsidRPr="0009525D">
        <w:t xml:space="preserve">erminal </w:t>
      </w:r>
      <w:r w:rsidRPr="0009525D">
        <w:t xml:space="preserve">operator’s provision of services; </w:t>
      </w:r>
    </w:p>
    <w:p w:rsidR="0009525D" w:rsidRPr="0009525D" w:rsidRDefault="0009525D" w:rsidP="00257A33">
      <w:pPr>
        <w:pStyle w:val="NormalParagraph"/>
        <w:numPr>
          <w:ilvl w:val="0"/>
          <w:numId w:val="11"/>
        </w:numPr>
        <w:ind w:left="993"/>
      </w:pPr>
      <w:r w:rsidRPr="0009525D">
        <w:t xml:space="preserve">a price dispute resolution process for </w:t>
      </w:r>
      <w:r w:rsidR="00912A42">
        <w:t>t</w:t>
      </w:r>
      <w:r w:rsidR="00912A42" w:rsidRPr="0009525D">
        <w:t xml:space="preserve">erminal </w:t>
      </w:r>
      <w:r w:rsidRPr="0009525D">
        <w:t>users and other interested third parties to raise price disputes which includes a procedure for resolving the disputes by negotiation and, if the dispute is not resolved, a procedure for referring the dispute to an independent expert for binding determination; and</w:t>
      </w:r>
    </w:p>
    <w:p w:rsidR="0009525D" w:rsidRPr="0009525D" w:rsidRDefault="0009525D" w:rsidP="00257A33">
      <w:pPr>
        <w:pStyle w:val="NormalParagraph"/>
        <w:numPr>
          <w:ilvl w:val="0"/>
          <w:numId w:val="11"/>
        </w:numPr>
        <w:ind w:left="993"/>
      </w:pPr>
      <w:r w:rsidRPr="0009525D">
        <w:t>a dispute resolution process for non-price disputes.</w:t>
      </w:r>
    </w:p>
    <w:p w:rsidR="006F1A6B" w:rsidRPr="006F1A6B" w:rsidRDefault="0009525D" w:rsidP="006F1A6B">
      <w:pPr>
        <w:pStyle w:val="NormalParagraph"/>
        <w:tabs>
          <w:tab w:val="clear" w:pos="360"/>
          <w:tab w:val="num" w:pos="426"/>
        </w:tabs>
        <w:ind w:left="426" w:hanging="426"/>
        <w:rPr>
          <w:b/>
        </w:rPr>
      </w:pPr>
      <w:r>
        <w:t>Following completion of its expression of interest phase for interested parties, Fremantle Ports announced that AAT and VQIRT ha</w:t>
      </w:r>
      <w:r w:rsidR="007F0322">
        <w:t>d</w:t>
      </w:r>
      <w:r w:rsidR="00A52168">
        <w:t xml:space="preserve"> each</w:t>
      </w:r>
      <w:r>
        <w:t xml:space="preserve"> been shortlisted to proceed to the Request For Proposal phase. </w:t>
      </w:r>
      <w:r w:rsidR="00261EEB">
        <w:t xml:space="preserve">As part of their proposals, </w:t>
      </w:r>
      <w:r w:rsidR="006F1A6B">
        <w:t xml:space="preserve">AAT and VQIRT </w:t>
      </w:r>
      <w:r w:rsidR="00855095">
        <w:t>were required by the vendor to</w:t>
      </w:r>
      <w:r w:rsidR="006F1A6B">
        <w:t xml:space="preserve"> submit a letter of no objection from the ACCC.</w:t>
      </w:r>
    </w:p>
    <w:p w:rsidR="00AF1C87" w:rsidRDefault="00E845AB" w:rsidP="001B0AD5">
      <w:pPr>
        <w:pStyle w:val="Heading3"/>
      </w:pPr>
      <w:r>
        <w:lastRenderedPageBreak/>
        <w:t>Review timeline</w:t>
      </w:r>
    </w:p>
    <w:p w:rsidR="0017266E" w:rsidRDefault="0017266E" w:rsidP="001C68D0">
      <w:pPr>
        <w:pStyle w:val="NormalParagraph"/>
        <w:keepNext/>
        <w:tabs>
          <w:tab w:val="clear" w:pos="360"/>
          <w:tab w:val="num" w:pos="426"/>
        </w:tabs>
        <w:ind w:left="425" w:hanging="425"/>
      </w:pPr>
      <w:r>
        <w:t>The following tables outline the timeline of key events in these matters.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170" w:type="dxa"/>
        </w:tblCellMar>
        <w:tblLook w:val="01A0" w:firstRow="1" w:lastRow="0" w:firstColumn="1" w:lastColumn="1" w:noHBand="0" w:noVBand="0"/>
      </w:tblPr>
      <w:tblGrid>
        <w:gridCol w:w="2235"/>
        <w:gridCol w:w="6333"/>
      </w:tblGrid>
      <w:tr w:rsidR="00954D8A" w:rsidRPr="00F80A7E" w:rsidTr="001C68D0">
        <w:trPr>
          <w:trHeight w:val="263"/>
          <w:tblHeader/>
        </w:trPr>
        <w:tc>
          <w:tcPr>
            <w:tcW w:w="8568" w:type="dxa"/>
            <w:gridSpan w:val="2"/>
            <w:shd w:val="clear" w:color="auto" w:fill="000000" w:themeFill="text1"/>
          </w:tcPr>
          <w:p w:rsidR="00954D8A" w:rsidRDefault="00954D8A" w:rsidP="00954D8A">
            <w:pPr>
              <w:keepNext/>
              <w:ind w:left="-68"/>
              <w:jc w:val="center"/>
              <w:rPr>
                <w:rFonts w:ascii="Arial" w:hAnsi="Arial" w:cs="Arial"/>
                <w:b/>
                <w:sz w:val="22"/>
                <w:szCs w:val="22"/>
              </w:rPr>
            </w:pPr>
            <w:r>
              <w:rPr>
                <w:rFonts w:ascii="Arial" w:hAnsi="Arial" w:cs="Arial"/>
                <w:b/>
                <w:sz w:val="22"/>
                <w:szCs w:val="22"/>
              </w:rPr>
              <w:t>VQIRT</w:t>
            </w:r>
          </w:p>
        </w:tc>
      </w:tr>
      <w:tr w:rsidR="00AF1C87" w:rsidRPr="00F80A7E" w:rsidTr="001C68D0">
        <w:trPr>
          <w:trHeight w:val="263"/>
          <w:tblHeader/>
        </w:trPr>
        <w:tc>
          <w:tcPr>
            <w:tcW w:w="2235" w:type="dxa"/>
            <w:tcBorders>
              <w:bottom w:val="single" w:sz="4" w:space="0" w:color="auto"/>
            </w:tcBorders>
          </w:tcPr>
          <w:p w:rsidR="00AF1C87" w:rsidRPr="00E845AB" w:rsidRDefault="00AF1C87" w:rsidP="001B0AD5">
            <w:pPr>
              <w:keepNext/>
              <w:rPr>
                <w:rFonts w:ascii="Arial" w:hAnsi="Arial" w:cs="Arial"/>
                <w:b/>
                <w:sz w:val="22"/>
                <w:szCs w:val="22"/>
              </w:rPr>
            </w:pPr>
            <w:r w:rsidRPr="00E845AB">
              <w:rPr>
                <w:rFonts w:ascii="Arial" w:hAnsi="Arial" w:cs="Arial"/>
                <w:b/>
                <w:sz w:val="22"/>
                <w:szCs w:val="22"/>
              </w:rPr>
              <w:t>Date</w:t>
            </w:r>
          </w:p>
        </w:tc>
        <w:tc>
          <w:tcPr>
            <w:tcW w:w="6333" w:type="dxa"/>
            <w:tcBorders>
              <w:bottom w:val="single" w:sz="4" w:space="0" w:color="auto"/>
            </w:tcBorders>
          </w:tcPr>
          <w:p w:rsidR="00AF1C87" w:rsidRPr="00E845AB" w:rsidRDefault="00725106" w:rsidP="001B0AD5">
            <w:pPr>
              <w:keepNext/>
              <w:ind w:left="-68"/>
              <w:rPr>
                <w:rFonts w:ascii="Arial" w:hAnsi="Arial" w:cs="Arial"/>
                <w:b/>
                <w:sz w:val="22"/>
                <w:szCs w:val="22"/>
              </w:rPr>
            </w:pPr>
            <w:r>
              <w:rPr>
                <w:rFonts w:ascii="Arial" w:hAnsi="Arial" w:cs="Arial"/>
                <w:b/>
                <w:sz w:val="22"/>
                <w:szCs w:val="22"/>
              </w:rPr>
              <w:t xml:space="preserve"> </w:t>
            </w:r>
            <w:r w:rsidR="00AF1C87" w:rsidRPr="00E845AB">
              <w:rPr>
                <w:rFonts w:ascii="Arial" w:hAnsi="Arial" w:cs="Arial"/>
                <w:b/>
                <w:sz w:val="22"/>
                <w:szCs w:val="22"/>
              </w:rPr>
              <w:t>Event</w:t>
            </w:r>
          </w:p>
        </w:tc>
      </w:tr>
      <w:tr w:rsidR="00E81366" w:rsidRPr="00F80A7E" w:rsidTr="001C68D0">
        <w:tc>
          <w:tcPr>
            <w:tcW w:w="2235" w:type="dxa"/>
            <w:tcBorders>
              <w:top w:val="single" w:sz="4" w:space="0" w:color="auto"/>
              <w:left w:val="single" w:sz="4" w:space="0" w:color="auto"/>
              <w:bottom w:val="nil"/>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23 December 2014</w:t>
            </w:r>
          </w:p>
        </w:tc>
        <w:tc>
          <w:tcPr>
            <w:tcW w:w="6333" w:type="dxa"/>
            <w:tcBorders>
              <w:top w:val="single" w:sz="4" w:space="0" w:color="auto"/>
              <w:left w:val="single" w:sz="4" w:space="0" w:color="auto"/>
              <w:bottom w:val="nil"/>
              <w:right w:val="single" w:sz="4" w:space="0" w:color="auto"/>
            </w:tcBorders>
          </w:tcPr>
          <w:p w:rsidR="00E81366" w:rsidRPr="00313B40" w:rsidRDefault="00E81366" w:rsidP="00E81366">
            <w:pPr>
              <w:rPr>
                <w:rFonts w:ascii="Arial" w:hAnsi="Arial" w:cs="Arial"/>
                <w:sz w:val="22"/>
                <w:szCs w:val="22"/>
              </w:rPr>
            </w:pPr>
            <w:r w:rsidRPr="00313B40">
              <w:rPr>
                <w:rFonts w:ascii="Arial" w:hAnsi="Arial" w:cs="Arial"/>
                <w:sz w:val="22"/>
                <w:szCs w:val="22"/>
              </w:rPr>
              <w:t xml:space="preserve">ACCC commenced </w:t>
            </w:r>
            <w:r>
              <w:rPr>
                <w:rFonts w:ascii="Arial" w:hAnsi="Arial" w:cs="Arial"/>
                <w:sz w:val="22"/>
                <w:szCs w:val="22"/>
              </w:rPr>
              <w:t xml:space="preserve">a </w:t>
            </w:r>
            <w:r w:rsidRPr="00313B40">
              <w:rPr>
                <w:rFonts w:ascii="Arial" w:hAnsi="Arial" w:cs="Arial"/>
                <w:sz w:val="22"/>
                <w:szCs w:val="22"/>
              </w:rPr>
              <w:t>review under the Merger Review Process Guidelines.</w:t>
            </w:r>
            <w:r>
              <w:rPr>
                <w:rFonts w:ascii="Arial" w:hAnsi="Arial" w:cs="Arial"/>
                <w:sz w:val="22"/>
                <w:szCs w:val="22"/>
              </w:rPr>
              <w:t xml:space="preserve"> </w:t>
            </w:r>
          </w:p>
        </w:tc>
      </w:tr>
      <w:tr w:rsidR="00E81366" w:rsidRPr="00F80A7E" w:rsidTr="001C68D0">
        <w:tc>
          <w:tcPr>
            <w:tcW w:w="2235" w:type="dxa"/>
            <w:tcBorders>
              <w:top w:val="nil"/>
              <w:left w:val="single" w:sz="4" w:space="0" w:color="auto"/>
              <w:bottom w:val="nil"/>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2 February 2015</w:t>
            </w:r>
          </w:p>
        </w:tc>
        <w:tc>
          <w:tcPr>
            <w:tcW w:w="6333" w:type="dxa"/>
            <w:tcBorders>
              <w:top w:val="nil"/>
              <w:left w:val="single" w:sz="4" w:space="0" w:color="auto"/>
              <w:bottom w:val="nil"/>
              <w:right w:val="single" w:sz="4" w:space="0" w:color="auto"/>
            </w:tcBorders>
          </w:tcPr>
          <w:p w:rsidR="00E81366" w:rsidRPr="00313B40" w:rsidRDefault="00E81366" w:rsidP="00E81366">
            <w:pPr>
              <w:rPr>
                <w:rFonts w:ascii="Arial" w:hAnsi="Arial" w:cs="Arial"/>
                <w:sz w:val="22"/>
                <w:szCs w:val="22"/>
              </w:rPr>
            </w:pPr>
            <w:r w:rsidRPr="00313B40">
              <w:rPr>
                <w:rFonts w:ascii="Arial" w:hAnsi="Arial" w:cs="Arial"/>
                <w:sz w:val="22"/>
                <w:szCs w:val="22"/>
              </w:rPr>
              <w:t>Closing date for submissions for interested parties.</w:t>
            </w:r>
          </w:p>
        </w:tc>
      </w:tr>
      <w:tr w:rsidR="00E81366" w:rsidRPr="00F80A7E" w:rsidTr="001C68D0">
        <w:tc>
          <w:tcPr>
            <w:tcW w:w="2235" w:type="dxa"/>
            <w:tcBorders>
              <w:top w:val="nil"/>
              <w:left w:val="single" w:sz="4" w:space="0" w:color="auto"/>
              <w:bottom w:val="nil"/>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11 February 2015</w:t>
            </w:r>
          </w:p>
        </w:tc>
        <w:tc>
          <w:tcPr>
            <w:tcW w:w="6333" w:type="dxa"/>
            <w:tcBorders>
              <w:top w:val="nil"/>
              <w:left w:val="single" w:sz="4" w:space="0" w:color="auto"/>
              <w:bottom w:val="nil"/>
              <w:right w:val="single" w:sz="4" w:space="0" w:color="auto"/>
            </w:tcBorders>
          </w:tcPr>
          <w:p w:rsidR="00E81366" w:rsidRPr="00313B40" w:rsidRDefault="00E81366">
            <w:pPr>
              <w:rPr>
                <w:rFonts w:ascii="Arial" w:hAnsi="Arial" w:cs="Arial"/>
                <w:sz w:val="22"/>
                <w:szCs w:val="22"/>
              </w:rPr>
            </w:pPr>
            <w:r>
              <w:rPr>
                <w:rFonts w:ascii="Arial" w:hAnsi="Arial" w:cs="Arial"/>
                <w:sz w:val="22"/>
                <w:szCs w:val="22"/>
              </w:rPr>
              <w:t>ACCC commenced market inquiries on the draft section 87B undertaking.</w:t>
            </w:r>
          </w:p>
        </w:tc>
      </w:tr>
      <w:tr w:rsidR="00E81366" w:rsidRPr="00F80A7E" w:rsidTr="001C68D0">
        <w:tc>
          <w:tcPr>
            <w:tcW w:w="2235" w:type="dxa"/>
            <w:tcBorders>
              <w:top w:val="nil"/>
              <w:left w:val="single" w:sz="4" w:space="0" w:color="auto"/>
              <w:bottom w:val="nil"/>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16 February 2015</w:t>
            </w:r>
          </w:p>
        </w:tc>
        <w:tc>
          <w:tcPr>
            <w:tcW w:w="6333" w:type="dxa"/>
            <w:tcBorders>
              <w:top w:val="nil"/>
              <w:left w:val="single" w:sz="4" w:space="0" w:color="auto"/>
              <w:bottom w:val="nil"/>
              <w:right w:val="single" w:sz="4" w:space="0" w:color="auto"/>
            </w:tcBorders>
          </w:tcPr>
          <w:p w:rsidR="00E81366" w:rsidRPr="00313B40" w:rsidRDefault="00E81366">
            <w:pPr>
              <w:rPr>
                <w:rFonts w:ascii="Arial" w:hAnsi="Arial" w:cs="Arial"/>
                <w:sz w:val="22"/>
                <w:szCs w:val="22"/>
              </w:rPr>
            </w:pPr>
            <w:r w:rsidRPr="0017266E">
              <w:rPr>
                <w:rFonts w:ascii="Arial" w:hAnsi="Arial" w:cs="Arial"/>
                <w:sz w:val="22"/>
                <w:szCs w:val="22"/>
              </w:rPr>
              <w:t>Closing date for further submissions from interested parties regarding draft key performance indicators.</w:t>
            </w:r>
          </w:p>
        </w:tc>
      </w:tr>
      <w:tr w:rsidR="00E81366" w:rsidRPr="00F80A7E" w:rsidTr="001C68D0">
        <w:tc>
          <w:tcPr>
            <w:tcW w:w="2235" w:type="dxa"/>
            <w:tcBorders>
              <w:top w:val="nil"/>
              <w:left w:val="single" w:sz="4" w:space="0" w:color="auto"/>
              <w:bottom w:val="nil"/>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20 February 2015</w:t>
            </w:r>
          </w:p>
        </w:tc>
        <w:tc>
          <w:tcPr>
            <w:tcW w:w="6333" w:type="dxa"/>
            <w:tcBorders>
              <w:top w:val="nil"/>
              <w:left w:val="single" w:sz="4" w:space="0" w:color="auto"/>
              <w:bottom w:val="nil"/>
              <w:right w:val="single" w:sz="4" w:space="0" w:color="auto"/>
            </w:tcBorders>
          </w:tcPr>
          <w:p w:rsidR="00E81366" w:rsidRPr="00313B40" w:rsidRDefault="00E81366">
            <w:pPr>
              <w:rPr>
                <w:rFonts w:ascii="Arial" w:hAnsi="Arial" w:cs="Arial"/>
                <w:sz w:val="22"/>
                <w:szCs w:val="22"/>
              </w:rPr>
            </w:pPr>
            <w:r w:rsidRPr="0017266E">
              <w:rPr>
                <w:rFonts w:ascii="Arial" w:hAnsi="Arial" w:cs="Arial"/>
                <w:sz w:val="22"/>
                <w:szCs w:val="22"/>
              </w:rPr>
              <w:t>Former proposed decision date of 26 February delayed at the request of VQIRT.</w:t>
            </w:r>
          </w:p>
        </w:tc>
      </w:tr>
      <w:tr w:rsidR="00E81366" w:rsidRPr="00F80A7E" w:rsidTr="001C68D0">
        <w:tc>
          <w:tcPr>
            <w:tcW w:w="2235" w:type="dxa"/>
            <w:tcBorders>
              <w:top w:val="nil"/>
              <w:left w:val="single" w:sz="4" w:space="0" w:color="auto"/>
              <w:bottom w:val="single" w:sz="4" w:space="0" w:color="auto"/>
              <w:right w:val="single" w:sz="4" w:space="0" w:color="auto"/>
            </w:tcBorders>
          </w:tcPr>
          <w:p w:rsidR="00E81366" w:rsidRDefault="00E81366">
            <w:pPr>
              <w:rPr>
                <w:rFonts w:ascii="Arial" w:hAnsi="Arial" w:cs="Arial"/>
                <w:sz w:val="22"/>
                <w:szCs w:val="22"/>
              </w:rPr>
            </w:pPr>
            <w:r>
              <w:rPr>
                <w:rFonts w:ascii="Arial" w:hAnsi="Arial" w:cs="Arial"/>
                <w:sz w:val="22"/>
                <w:szCs w:val="22"/>
              </w:rPr>
              <w:t>2 April 2015</w:t>
            </w:r>
          </w:p>
        </w:tc>
        <w:tc>
          <w:tcPr>
            <w:tcW w:w="6333" w:type="dxa"/>
            <w:tcBorders>
              <w:top w:val="nil"/>
              <w:left w:val="single" w:sz="4" w:space="0" w:color="auto"/>
              <w:bottom w:val="single" w:sz="4" w:space="0" w:color="auto"/>
              <w:right w:val="single" w:sz="4" w:space="0" w:color="auto"/>
            </w:tcBorders>
          </w:tcPr>
          <w:p w:rsidR="00E81366" w:rsidRPr="00313B40" w:rsidRDefault="00E81366">
            <w:pPr>
              <w:rPr>
                <w:rFonts w:ascii="Arial" w:hAnsi="Arial" w:cs="Arial"/>
                <w:sz w:val="22"/>
                <w:szCs w:val="22"/>
              </w:rPr>
            </w:pPr>
            <w:r w:rsidRPr="0017266E">
              <w:rPr>
                <w:rFonts w:ascii="Arial" w:hAnsi="Arial" w:cs="Arial"/>
                <w:sz w:val="22"/>
                <w:szCs w:val="22"/>
              </w:rPr>
              <w:t xml:space="preserve">ACCC announced it would not oppose the proposed acquisition, subject to a </w:t>
            </w:r>
            <w:r>
              <w:rPr>
                <w:rFonts w:ascii="Arial" w:hAnsi="Arial" w:cs="Arial"/>
                <w:sz w:val="22"/>
                <w:szCs w:val="22"/>
              </w:rPr>
              <w:t xml:space="preserve">section </w:t>
            </w:r>
            <w:r w:rsidRPr="0017266E">
              <w:rPr>
                <w:rFonts w:ascii="Arial" w:hAnsi="Arial" w:cs="Arial"/>
                <w:sz w:val="22"/>
                <w:szCs w:val="22"/>
              </w:rPr>
              <w:t>87B undertaking accepted by the ACCC.</w:t>
            </w:r>
          </w:p>
        </w:tc>
      </w:tr>
    </w:tbl>
    <w:p w:rsidR="00EC63A9" w:rsidRPr="00954D8A" w:rsidRDefault="00EC63A9" w:rsidP="00EC63A9">
      <w:pPr>
        <w:pStyle w:val="Heading4"/>
        <w:rPr>
          <w:sz w:val="4"/>
          <w:szCs w:val="4"/>
        </w:rPr>
      </w:pPr>
      <w:bookmarkStart w:id="5" w:name="EventDate"/>
      <w:bookmarkEnd w:id="5"/>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170" w:type="dxa"/>
        </w:tblCellMar>
        <w:tblLook w:val="01A0" w:firstRow="1" w:lastRow="0" w:firstColumn="1" w:lastColumn="1" w:noHBand="0" w:noVBand="0"/>
      </w:tblPr>
      <w:tblGrid>
        <w:gridCol w:w="2235"/>
        <w:gridCol w:w="6333"/>
      </w:tblGrid>
      <w:tr w:rsidR="00954D8A" w:rsidRPr="00F80A7E" w:rsidTr="001C68D0">
        <w:trPr>
          <w:trHeight w:val="263"/>
          <w:tblHeader/>
        </w:trPr>
        <w:tc>
          <w:tcPr>
            <w:tcW w:w="8568" w:type="dxa"/>
            <w:gridSpan w:val="2"/>
            <w:shd w:val="clear" w:color="auto" w:fill="000000" w:themeFill="text1"/>
          </w:tcPr>
          <w:p w:rsidR="00954D8A" w:rsidRDefault="00954D8A" w:rsidP="00954D8A">
            <w:pPr>
              <w:keepNext/>
              <w:ind w:left="-68"/>
              <w:jc w:val="center"/>
              <w:rPr>
                <w:rFonts w:ascii="Arial" w:hAnsi="Arial" w:cs="Arial"/>
                <w:b/>
                <w:sz w:val="22"/>
                <w:szCs w:val="22"/>
              </w:rPr>
            </w:pPr>
            <w:r>
              <w:rPr>
                <w:rFonts w:ascii="Arial" w:hAnsi="Arial" w:cs="Arial"/>
                <w:b/>
                <w:sz w:val="22"/>
                <w:szCs w:val="22"/>
              </w:rPr>
              <w:t>AAT</w:t>
            </w:r>
          </w:p>
        </w:tc>
      </w:tr>
      <w:tr w:rsidR="00EC63A9" w:rsidRPr="00F80A7E" w:rsidTr="001C68D0">
        <w:trPr>
          <w:trHeight w:val="263"/>
          <w:tblHeader/>
        </w:trPr>
        <w:tc>
          <w:tcPr>
            <w:tcW w:w="2235" w:type="dxa"/>
            <w:tcBorders>
              <w:bottom w:val="single" w:sz="4" w:space="0" w:color="auto"/>
            </w:tcBorders>
          </w:tcPr>
          <w:p w:rsidR="00EC63A9" w:rsidRPr="00E845AB" w:rsidRDefault="00EC63A9" w:rsidP="00672F1B">
            <w:pPr>
              <w:keepNext/>
              <w:rPr>
                <w:rFonts w:ascii="Arial" w:hAnsi="Arial" w:cs="Arial"/>
                <w:b/>
                <w:sz w:val="22"/>
                <w:szCs w:val="22"/>
              </w:rPr>
            </w:pPr>
            <w:r w:rsidRPr="00E845AB">
              <w:rPr>
                <w:rFonts w:ascii="Arial" w:hAnsi="Arial" w:cs="Arial"/>
                <w:b/>
                <w:sz w:val="22"/>
                <w:szCs w:val="22"/>
              </w:rPr>
              <w:t>Date</w:t>
            </w:r>
          </w:p>
        </w:tc>
        <w:tc>
          <w:tcPr>
            <w:tcW w:w="6333" w:type="dxa"/>
            <w:tcBorders>
              <w:bottom w:val="single" w:sz="4" w:space="0" w:color="auto"/>
            </w:tcBorders>
          </w:tcPr>
          <w:p w:rsidR="00EC63A9" w:rsidRPr="00E845AB" w:rsidRDefault="00EC63A9" w:rsidP="00672F1B">
            <w:pPr>
              <w:keepNext/>
              <w:ind w:left="-68"/>
              <w:rPr>
                <w:rFonts w:ascii="Arial" w:hAnsi="Arial" w:cs="Arial"/>
                <w:b/>
                <w:sz w:val="22"/>
                <w:szCs w:val="22"/>
              </w:rPr>
            </w:pPr>
            <w:r>
              <w:rPr>
                <w:rFonts w:ascii="Arial" w:hAnsi="Arial" w:cs="Arial"/>
                <w:b/>
                <w:sz w:val="22"/>
                <w:szCs w:val="22"/>
              </w:rPr>
              <w:t xml:space="preserve"> </w:t>
            </w:r>
            <w:r w:rsidRPr="00E845AB">
              <w:rPr>
                <w:rFonts w:ascii="Arial" w:hAnsi="Arial" w:cs="Arial"/>
                <w:b/>
                <w:sz w:val="22"/>
                <w:szCs w:val="22"/>
              </w:rPr>
              <w:t>Event</w:t>
            </w:r>
          </w:p>
        </w:tc>
      </w:tr>
      <w:tr w:rsidR="00E81366" w:rsidRPr="00F80A7E" w:rsidTr="001C68D0">
        <w:tc>
          <w:tcPr>
            <w:tcW w:w="2235" w:type="dxa"/>
            <w:tcBorders>
              <w:top w:val="single" w:sz="4" w:space="0" w:color="auto"/>
              <w:left w:val="single" w:sz="4" w:space="0" w:color="auto"/>
              <w:bottom w:val="nil"/>
              <w:right w:val="single" w:sz="4" w:space="0" w:color="auto"/>
            </w:tcBorders>
          </w:tcPr>
          <w:p w:rsidR="00E81366" w:rsidRDefault="00E81366" w:rsidP="00672F1B">
            <w:pPr>
              <w:rPr>
                <w:rFonts w:ascii="Arial" w:hAnsi="Arial" w:cs="Arial"/>
                <w:sz w:val="22"/>
                <w:szCs w:val="22"/>
              </w:rPr>
            </w:pPr>
            <w:r>
              <w:rPr>
                <w:rFonts w:ascii="Arial" w:hAnsi="Arial" w:cs="Arial"/>
                <w:sz w:val="22"/>
                <w:szCs w:val="22"/>
              </w:rPr>
              <w:t>23 December 2014</w:t>
            </w:r>
          </w:p>
        </w:tc>
        <w:tc>
          <w:tcPr>
            <w:tcW w:w="6333" w:type="dxa"/>
            <w:tcBorders>
              <w:top w:val="single" w:sz="4" w:space="0" w:color="auto"/>
              <w:left w:val="single" w:sz="4" w:space="0" w:color="auto"/>
              <w:bottom w:val="nil"/>
              <w:right w:val="single" w:sz="4" w:space="0" w:color="auto"/>
            </w:tcBorders>
          </w:tcPr>
          <w:p w:rsidR="00E81366" w:rsidRPr="00313B40" w:rsidRDefault="00E81366" w:rsidP="00672F1B">
            <w:pPr>
              <w:rPr>
                <w:rFonts w:ascii="Arial" w:hAnsi="Arial" w:cs="Arial"/>
                <w:sz w:val="22"/>
                <w:szCs w:val="22"/>
              </w:rPr>
            </w:pPr>
            <w:r w:rsidRPr="00313B40">
              <w:rPr>
                <w:rFonts w:ascii="Arial" w:hAnsi="Arial" w:cs="Arial"/>
                <w:sz w:val="22"/>
                <w:szCs w:val="22"/>
              </w:rPr>
              <w:t xml:space="preserve">ACCC commenced </w:t>
            </w:r>
            <w:r>
              <w:rPr>
                <w:rFonts w:ascii="Arial" w:hAnsi="Arial" w:cs="Arial"/>
                <w:sz w:val="22"/>
                <w:szCs w:val="22"/>
              </w:rPr>
              <w:t xml:space="preserve">a </w:t>
            </w:r>
            <w:r w:rsidRPr="00313B40">
              <w:rPr>
                <w:rFonts w:ascii="Arial" w:hAnsi="Arial" w:cs="Arial"/>
                <w:sz w:val="22"/>
                <w:szCs w:val="22"/>
              </w:rPr>
              <w:t>review under the Merger Review Process Guidelines.</w:t>
            </w:r>
          </w:p>
        </w:tc>
      </w:tr>
      <w:tr w:rsidR="00E81366" w:rsidRPr="00F80A7E" w:rsidTr="001C68D0">
        <w:tc>
          <w:tcPr>
            <w:tcW w:w="2235" w:type="dxa"/>
            <w:tcBorders>
              <w:top w:val="nil"/>
              <w:left w:val="single" w:sz="4" w:space="0" w:color="auto"/>
              <w:bottom w:val="nil"/>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2 February 2015</w:t>
            </w:r>
          </w:p>
        </w:tc>
        <w:tc>
          <w:tcPr>
            <w:tcW w:w="6333" w:type="dxa"/>
            <w:tcBorders>
              <w:top w:val="nil"/>
              <w:left w:val="single" w:sz="4" w:space="0" w:color="auto"/>
              <w:bottom w:val="nil"/>
              <w:right w:val="single" w:sz="4" w:space="0" w:color="auto"/>
            </w:tcBorders>
          </w:tcPr>
          <w:p w:rsidR="00E81366" w:rsidRPr="00313B40" w:rsidRDefault="00E81366" w:rsidP="001C68D0">
            <w:pPr>
              <w:rPr>
                <w:rFonts w:ascii="Arial" w:hAnsi="Arial" w:cs="Arial"/>
                <w:sz w:val="22"/>
                <w:szCs w:val="22"/>
              </w:rPr>
            </w:pPr>
            <w:r w:rsidRPr="00313B40">
              <w:rPr>
                <w:rFonts w:ascii="Arial" w:hAnsi="Arial" w:cs="Arial"/>
                <w:sz w:val="22"/>
                <w:szCs w:val="22"/>
              </w:rPr>
              <w:t>Closing date for submissions for interested parties.</w:t>
            </w:r>
          </w:p>
        </w:tc>
      </w:tr>
      <w:tr w:rsidR="00E81366" w:rsidRPr="00F80A7E" w:rsidTr="001C68D0">
        <w:tc>
          <w:tcPr>
            <w:tcW w:w="2235" w:type="dxa"/>
            <w:tcBorders>
              <w:top w:val="nil"/>
              <w:left w:val="single" w:sz="4" w:space="0" w:color="auto"/>
              <w:bottom w:val="nil"/>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18 February 2015</w:t>
            </w:r>
          </w:p>
        </w:tc>
        <w:tc>
          <w:tcPr>
            <w:tcW w:w="6333" w:type="dxa"/>
            <w:tcBorders>
              <w:top w:val="nil"/>
              <w:left w:val="single" w:sz="4" w:space="0" w:color="auto"/>
              <w:bottom w:val="nil"/>
              <w:right w:val="single" w:sz="4" w:space="0" w:color="auto"/>
            </w:tcBorders>
          </w:tcPr>
          <w:p w:rsidR="00E81366" w:rsidRPr="00313B40" w:rsidRDefault="00E81366" w:rsidP="001C68D0">
            <w:pPr>
              <w:rPr>
                <w:rFonts w:ascii="Arial" w:hAnsi="Arial" w:cs="Arial"/>
                <w:sz w:val="22"/>
                <w:szCs w:val="22"/>
              </w:rPr>
            </w:pPr>
            <w:r w:rsidRPr="00EC63A9">
              <w:rPr>
                <w:rFonts w:ascii="Arial" w:hAnsi="Arial" w:cs="Arial"/>
                <w:sz w:val="22"/>
                <w:szCs w:val="22"/>
              </w:rPr>
              <w:t>Former proposed decision date of 26 February delayed</w:t>
            </w:r>
            <w:r w:rsidRPr="0017266E">
              <w:rPr>
                <w:rFonts w:ascii="Arial" w:hAnsi="Arial" w:cs="Arial"/>
                <w:sz w:val="22"/>
                <w:szCs w:val="22"/>
              </w:rPr>
              <w:t>.</w:t>
            </w:r>
          </w:p>
        </w:tc>
      </w:tr>
      <w:tr w:rsidR="00E81366" w:rsidRPr="00F80A7E" w:rsidTr="001C68D0">
        <w:tc>
          <w:tcPr>
            <w:tcW w:w="2235" w:type="dxa"/>
            <w:tcBorders>
              <w:top w:val="nil"/>
              <w:left w:val="single" w:sz="4" w:space="0" w:color="auto"/>
              <w:bottom w:val="nil"/>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8 April 2015</w:t>
            </w:r>
          </w:p>
        </w:tc>
        <w:tc>
          <w:tcPr>
            <w:tcW w:w="6333" w:type="dxa"/>
            <w:tcBorders>
              <w:top w:val="nil"/>
              <w:left w:val="single" w:sz="4" w:space="0" w:color="auto"/>
              <w:bottom w:val="nil"/>
              <w:right w:val="single" w:sz="4" w:space="0" w:color="auto"/>
            </w:tcBorders>
          </w:tcPr>
          <w:p w:rsidR="00E81366" w:rsidRPr="00313B40" w:rsidRDefault="00E81366" w:rsidP="00672F1B">
            <w:pPr>
              <w:rPr>
                <w:rFonts w:ascii="Arial" w:hAnsi="Arial" w:cs="Arial"/>
                <w:sz w:val="22"/>
                <w:szCs w:val="22"/>
              </w:rPr>
            </w:pPr>
            <w:r w:rsidRPr="00EC63A9">
              <w:rPr>
                <w:rFonts w:ascii="Arial" w:hAnsi="Arial" w:cs="Arial"/>
                <w:sz w:val="22"/>
                <w:szCs w:val="22"/>
              </w:rPr>
              <w:t xml:space="preserve">Draft </w:t>
            </w:r>
            <w:r>
              <w:rPr>
                <w:rFonts w:ascii="Arial" w:hAnsi="Arial" w:cs="Arial"/>
                <w:sz w:val="22"/>
                <w:szCs w:val="22"/>
              </w:rPr>
              <w:t xml:space="preserve">section </w:t>
            </w:r>
            <w:r w:rsidRPr="00EC63A9">
              <w:rPr>
                <w:rFonts w:ascii="Arial" w:hAnsi="Arial" w:cs="Arial"/>
                <w:sz w:val="22"/>
                <w:szCs w:val="22"/>
              </w:rPr>
              <w:t>87B undertaking offered by AAT. ACCC commenced market inquiries</w:t>
            </w:r>
            <w:r>
              <w:rPr>
                <w:rFonts w:ascii="Arial" w:hAnsi="Arial" w:cs="Arial"/>
                <w:sz w:val="22"/>
                <w:szCs w:val="22"/>
              </w:rPr>
              <w:t xml:space="preserve"> on the draft section 87B undertaking.</w:t>
            </w:r>
          </w:p>
        </w:tc>
      </w:tr>
      <w:tr w:rsidR="00E81366" w:rsidRPr="00F80A7E" w:rsidTr="001C68D0">
        <w:tc>
          <w:tcPr>
            <w:tcW w:w="2235" w:type="dxa"/>
            <w:tcBorders>
              <w:top w:val="nil"/>
              <w:left w:val="single" w:sz="4" w:space="0" w:color="auto"/>
              <w:bottom w:val="nil"/>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14</w:t>
            </w:r>
            <w:r w:rsidRPr="00313B40">
              <w:rPr>
                <w:rFonts w:ascii="Arial" w:hAnsi="Arial" w:cs="Arial"/>
                <w:sz w:val="22"/>
                <w:szCs w:val="22"/>
              </w:rPr>
              <w:t xml:space="preserve"> </w:t>
            </w:r>
            <w:r>
              <w:rPr>
                <w:rFonts w:ascii="Arial" w:hAnsi="Arial" w:cs="Arial"/>
                <w:sz w:val="22"/>
                <w:szCs w:val="22"/>
              </w:rPr>
              <w:t>April</w:t>
            </w:r>
            <w:r w:rsidRPr="00313B40">
              <w:rPr>
                <w:rFonts w:ascii="Arial" w:hAnsi="Arial" w:cs="Arial"/>
                <w:sz w:val="22"/>
                <w:szCs w:val="22"/>
              </w:rPr>
              <w:t xml:space="preserve"> 2014</w:t>
            </w:r>
          </w:p>
        </w:tc>
        <w:tc>
          <w:tcPr>
            <w:tcW w:w="6333" w:type="dxa"/>
            <w:tcBorders>
              <w:top w:val="nil"/>
              <w:left w:val="single" w:sz="4" w:space="0" w:color="auto"/>
              <w:bottom w:val="nil"/>
              <w:right w:val="single" w:sz="4" w:space="0" w:color="auto"/>
            </w:tcBorders>
          </w:tcPr>
          <w:p w:rsidR="00E81366" w:rsidRPr="00313B40" w:rsidRDefault="00E81366" w:rsidP="00672F1B">
            <w:pPr>
              <w:rPr>
                <w:rFonts w:ascii="Arial" w:hAnsi="Arial" w:cs="Arial"/>
                <w:sz w:val="22"/>
                <w:szCs w:val="22"/>
              </w:rPr>
            </w:pPr>
            <w:r w:rsidRPr="00EC63A9">
              <w:rPr>
                <w:rFonts w:ascii="Arial" w:hAnsi="Arial" w:cs="Arial"/>
                <w:sz w:val="22"/>
                <w:szCs w:val="22"/>
              </w:rPr>
              <w:t xml:space="preserve">Closing date for submissions relating to draft </w:t>
            </w:r>
            <w:r>
              <w:rPr>
                <w:rFonts w:ascii="Arial" w:hAnsi="Arial" w:cs="Arial"/>
                <w:sz w:val="22"/>
                <w:szCs w:val="22"/>
              </w:rPr>
              <w:t xml:space="preserve">section </w:t>
            </w:r>
            <w:r w:rsidRPr="00EC63A9">
              <w:rPr>
                <w:rFonts w:ascii="Arial" w:hAnsi="Arial" w:cs="Arial"/>
                <w:sz w:val="22"/>
                <w:szCs w:val="22"/>
              </w:rPr>
              <w:t>87B undertaking.</w:t>
            </w:r>
          </w:p>
        </w:tc>
      </w:tr>
      <w:tr w:rsidR="00E81366" w:rsidRPr="00F80A7E" w:rsidTr="001C68D0">
        <w:tc>
          <w:tcPr>
            <w:tcW w:w="2235" w:type="dxa"/>
            <w:tcBorders>
              <w:top w:val="nil"/>
              <w:left w:val="single" w:sz="4" w:space="0" w:color="auto"/>
              <w:bottom w:val="single" w:sz="4" w:space="0" w:color="auto"/>
              <w:right w:val="single" w:sz="4" w:space="0" w:color="auto"/>
            </w:tcBorders>
          </w:tcPr>
          <w:p w:rsidR="00E81366" w:rsidRDefault="00E81366" w:rsidP="001C68D0">
            <w:pPr>
              <w:rPr>
                <w:rFonts w:ascii="Arial" w:hAnsi="Arial" w:cs="Arial"/>
                <w:sz w:val="22"/>
                <w:szCs w:val="22"/>
              </w:rPr>
            </w:pPr>
            <w:r>
              <w:rPr>
                <w:rFonts w:ascii="Arial" w:hAnsi="Arial" w:cs="Arial"/>
                <w:sz w:val="22"/>
                <w:szCs w:val="22"/>
              </w:rPr>
              <w:t xml:space="preserve">23 April 2015 </w:t>
            </w:r>
          </w:p>
        </w:tc>
        <w:tc>
          <w:tcPr>
            <w:tcW w:w="6333" w:type="dxa"/>
            <w:tcBorders>
              <w:top w:val="nil"/>
              <w:left w:val="single" w:sz="4" w:space="0" w:color="auto"/>
              <w:bottom w:val="single" w:sz="4" w:space="0" w:color="auto"/>
              <w:right w:val="single" w:sz="4" w:space="0" w:color="auto"/>
            </w:tcBorders>
          </w:tcPr>
          <w:p w:rsidR="00E81366" w:rsidRPr="00313B40" w:rsidRDefault="00E81366" w:rsidP="00E81366">
            <w:pPr>
              <w:rPr>
                <w:rFonts w:ascii="Arial" w:hAnsi="Arial" w:cs="Arial"/>
                <w:sz w:val="22"/>
                <w:szCs w:val="22"/>
              </w:rPr>
            </w:pPr>
            <w:r w:rsidRPr="0017266E">
              <w:rPr>
                <w:rFonts w:ascii="Arial" w:hAnsi="Arial" w:cs="Arial"/>
                <w:sz w:val="22"/>
                <w:szCs w:val="22"/>
              </w:rPr>
              <w:t xml:space="preserve">ACCC announced it would not oppose the proposed acquisition, subject to a </w:t>
            </w:r>
            <w:r>
              <w:rPr>
                <w:rFonts w:ascii="Arial" w:hAnsi="Arial" w:cs="Arial"/>
                <w:sz w:val="22"/>
                <w:szCs w:val="22"/>
              </w:rPr>
              <w:t xml:space="preserve">section </w:t>
            </w:r>
            <w:r w:rsidRPr="0017266E">
              <w:rPr>
                <w:rFonts w:ascii="Arial" w:hAnsi="Arial" w:cs="Arial"/>
                <w:sz w:val="22"/>
                <w:szCs w:val="22"/>
              </w:rPr>
              <w:t>87B undertaking accepted by the ACCC.</w:t>
            </w:r>
          </w:p>
        </w:tc>
      </w:tr>
    </w:tbl>
    <w:p w:rsidR="0009525D" w:rsidRPr="0017266E" w:rsidRDefault="00AA7153" w:rsidP="0009525D">
      <w:pPr>
        <w:pStyle w:val="Heading3"/>
      </w:pPr>
      <w:r>
        <w:br/>
      </w:r>
      <w:r w:rsidR="0009525D" w:rsidRPr="0017266E">
        <w:t>Industry background</w:t>
      </w:r>
    </w:p>
    <w:p w:rsidR="0009525D" w:rsidRPr="0017266E" w:rsidRDefault="0009525D" w:rsidP="0009525D">
      <w:pPr>
        <w:pStyle w:val="NormalParagraph"/>
        <w:tabs>
          <w:tab w:val="clear" w:pos="360"/>
          <w:tab w:val="num" w:pos="426"/>
        </w:tabs>
        <w:ind w:left="426" w:hanging="426"/>
      </w:pPr>
      <w:r w:rsidRPr="0017266E">
        <w:t xml:space="preserve">Car manufacturers and </w:t>
      </w:r>
      <w:r w:rsidR="00951AD3">
        <w:t xml:space="preserve">other </w:t>
      </w:r>
      <w:r w:rsidRPr="0017266E">
        <w:t>original equipment manufacturers (</w:t>
      </w:r>
      <w:r w:rsidRPr="0017266E">
        <w:rPr>
          <w:b/>
        </w:rPr>
        <w:t>OEMs</w:t>
      </w:r>
      <w:r w:rsidRPr="0017266E">
        <w:t xml:space="preserve">) contract with shipping lines for the transport of vehicles between different ports and </w:t>
      </w:r>
      <w:r w:rsidR="0024528D">
        <w:t xml:space="preserve">the </w:t>
      </w:r>
      <w:r w:rsidRPr="0017266E">
        <w:t>delivery of vehicles to the automotive terminal.</w:t>
      </w:r>
    </w:p>
    <w:p w:rsidR="0009525D" w:rsidRPr="0017266E" w:rsidRDefault="0009525D" w:rsidP="0009525D">
      <w:pPr>
        <w:pStyle w:val="NormalParagraph"/>
        <w:tabs>
          <w:tab w:val="clear" w:pos="360"/>
          <w:tab w:val="num" w:pos="426"/>
        </w:tabs>
        <w:ind w:left="426" w:hanging="426"/>
      </w:pPr>
      <w:r w:rsidRPr="0017266E">
        <w:lastRenderedPageBreak/>
        <w:t xml:space="preserve">Stevedores are contracted by shipping lines to load cargo on and off vessels which berth at the automotive terminal. </w:t>
      </w:r>
      <w:r w:rsidR="00F72AF9">
        <w:t xml:space="preserve">PDI operators are contracted by OEMs or </w:t>
      </w:r>
      <w:r w:rsidR="00286CD9">
        <w:t>motor vehicle importers</w:t>
      </w:r>
      <w:r w:rsidR="00F72AF9">
        <w:t xml:space="preserve"> to inspect, clean and process vehicles prior to delivery to their ultimate destination. </w:t>
      </w:r>
    </w:p>
    <w:p w:rsidR="0009525D" w:rsidRPr="0017266E" w:rsidRDefault="0009525D" w:rsidP="0009525D">
      <w:pPr>
        <w:pStyle w:val="NormalParagraph"/>
        <w:tabs>
          <w:tab w:val="clear" w:pos="360"/>
          <w:tab w:val="num" w:pos="426"/>
        </w:tabs>
        <w:ind w:left="426" w:hanging="426"/>
      </w:pPr>
      <w:r w:rsidRPr="0017266E">
        <w:t xml:space="preserve">The terminal operator is </w:t>
      </w:r>
      <w:r w:rsidR="00CC5A23">
        <w:t xml:space="preserve">generally </w:t>
      </w:r>
      <w:r w:rsidRPr="0017266E">
        <w:t xml:space="preserve">responsible for the day-to-day operation of the terminal, which includes managing the arrival of vessels, providing temporary storage for cargo and facilitating access to the terminal by stevedores, mooring service providers and </w:t>
      </w:r>
      <w:r>
        <w:t>PDI</w:t>
      </w:r>
      <w:r w:rsidRPr="0017266E">
        <w:t xml:space="preserve"> operators. </w:t>
      </w:r>
    </w:p>
    <w:p w:rsidR="0009525D" w:rsidRDefault="0009525D" w:rsidP="0009525D">
      <w:pPr>
        <w:pStyle w:val="NormalParagraph"/>
        <w:tabs>
          <w:tab w:val="clear" w:pos="360"/>
          <w:tab w:val="num" w:pos="426"/>
        </w:tabs>
        <w:ind w:left="426" w:hanging="426"/>
      </w:pPr>
      <w:r w:rsidRPr="0017266E">
        <w:t xml:space="preserve">The terminal operator also facilitates a receipt and delivery process where </w:t>
      </w:r>
      <w:proofErr w:type="spellStart"/>
      <w:r w:rsidRPr="0017266E">
        <w:t>landbased</w:t>
      </w:r>
      <w:proofErr w:type="spellEnd"/>
      <w:r w:rsidRPr="0017266E">
        <w:t xml:space="preserve"> logistics/transport carriers access the terminal to support movement of cargo to or from the terminal in order to deliver automotive cargo to OEMs </w:t>
      </w:r>
      <w:r w:rsidR="007F0322">
        <w:t>and</w:t>
      </w:r>
      <w:r w:rsidRPr="0017266E">
        <w:t xml:space="preserve"> car dealers.</w:t>
      </w:r>
    </w:p>
    <w:p w:rsidR="0009525D" w:rsidRPr="0017266E" w:rsidRDefault="0009525D" w:rsidP="0009525D">
      <w:pPr>
        <w:pStyle w:val="NormalParagraph"/>
        <w:tabs>
          <w:tab w:val="clear" w:pos="360"/>
          <w:tab w:val="num" w:pos="426"/>
        </w:tabs>
        <w:ind w:left="426" w:hanging="426"/>
      </w:pPr>
      <w:r>
        <w:t>Figure 1 represents the supply chain for automotive cargo for the Port of Fremantle.</w:t>
      </w:r>
    </w:p>
    <w:p w:rsidR="007107BB" w:rsidRDefault="0009525D" w:rsidP="007107BB">
      <w:pPr>
        <w:pStyle w:val="NormalParagraph"/>
        <w:numPr>
          <w:ilvl w:val="0"/>
          <w:numId w:val="0"/>
        </w:numPr>
        <w:ind w:left="426"/>
        <w:rPr>
          <w:b/>
          <w:sz w:val="18"/>
          <w:szCs w:val="18"/>
        </w:rPr>
      </w:pPr>
      <w:r w:rsidRPr="007107BB">
        <w:rPr>
          <w:b/>
          <w:sz w:val="18"/>
          <w:szCs w:val="18"/>
        </w:rPr>
        <w:t>Figure 1: supply chain for automotive cargo</w:t>
      </w:r>
    </w:p>
    <w:p w:rsidR="0009525D" w:rsidRPr="007107BB" w:rsidRDefault="001E4266" w:rsidP="007107BB">
      <w:pPr>
        <w:pStyle w:val="NormalParagraph"/>
        <w:numPr>
          <w:ilvl w:val="0"/>
          <w:numId w:val="0"/>
        </w:numPr>
        <w:ind w:left="426"/>
        <w:rPr>
          <w:b/>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upply chain for automotive cargo" style="width:468.75pt;height:89.25pt;mso-left-percent:-10001;mso-top-percent:-10001;mso-position-horizontal:absolute;mso-position-horizontal-relative:char;mso-position-vertical:absolute;mso-position-vertical-relative:line;mso-left-percent:-10001;mso-top-percent:-10001">
            <v:imagedata r:id="rId10" o:title=""/>
          </v:shape>
        </w:pict>
      </w:r>
    </w:p>
    <w:p w:rsidR="0009525D" w:rsidRPr="0017266E" w:rsidRDefault="0009525D" w:rsidP="0009525D">
      <w:pPr>
        <w:pStyle w:val="NormalParagraph"/>
        <w:tabs>
          <w:tab w:val="clear" w:pos="360"/>
          <w:tab w:val="num" w:pos="426"/>
        </w:tabs>
        <w:ind w:left="426" w:hanging="426"/>
      </w:pPr>
      <w:r w:rsidRPr="0017266E">
        <w:t>In Australia, the following ports have dedicated automotive terminals:</w:t>
      </w:r>
    </w:p>
    <w:p w:rsidR="0009525D" w:rsidRDefault="0009525D" w:rsidP="0009525D">
      <w:pPr>
        <w:pStyle w:val="ListParagraph"/>
        <w:keepLines w:val="0"/>
        <w:numPr>
          <w:ilvl w:val="1"/>
          <w:numId w:val="8"/>
        </w:numPr>
        <w:tabs>
          <w:tab w:val="left" w:pos="567"/>
        </w:tabs>
        <w:spacing w:after="240"/>
        <w:contextualSpacing/>
      </w:pPr>
      <w:r w:rsidRPr="00C60C59">
        <w:t>Por</w:t>
      </w:r>
      <w:r>
        <w:t>t Kembla (NSW);</w:t>
      </w:r>
    </w:p>
    <w:p w:rsidR="0009525D" w:rsidRDefault="0009525D" w:rsidP="0009525D">
      <w:pPr>
        <w:pStyle w:val="ListParagraph"/>
        <w:keepLines w:val="0"/>
        <w:numPr>
          <w:ilvl w:val="1"/>
          <w:numId w:val="8"/>
        </w:numPr>
        <w:tabs>
          <w:tab w:val="left" w:pos="567"/>
        </w:tabs>
        <w:spacing w:after="240"/>
        <w:contextualSpacing/>
      </w:pPr>
      <w:r>
        <w:t>Port of Brisbane (Qld);</w:t>
      </w:r>
    </w:p>
    <w:p w:rsidR="0009525D" w:rsidRDefault="0009525D" w:rsidP="0009525D">
      <w:pPr>
        <w:pStyle w:val="ListParagraph"/>
        <w:keepLines w:val="0"/>
        <w:numPr>
          <w:ilvl w:val="1"/>
          <w:numId w:val="8"/>
        </w:numPr>
        <w:tabs>
          <w:tab w:val="left" w:pos="567"/>
        </w:tabs>
        <w:spacing w:after="240"/>
        <w:contextualSpacing/>
      </w:pPr>
      <w:r>
        <w:t>Port Adelaide (SA);</w:t>
      </w:r>
    </w:p>
    <w:p w:rsidR="0009525D" w:rsidRDefault="0009525D" w:rsidP="0009525D">
      <w:pPr>
        <w:pStyle w:val="ListParagraph"/>
        <w:keepLines w:val="0"/>
        <w:numPr>
          <w:ilvl w:val="1"/>
          <w:numId w:val="8"/>
        </w:numPr>
        <w:tabs>
          <w:tab w:val="left" w:pos="567"/>
        </w:tabs>
        <w:spacing w:after="240"/>
        <w:contextualSpacing/>
      </w:pPr>
      <w:r>
        <w:t>Port of Fremantle (WA); and</w:t>
      </w:r>
    </w:p>
    <w:p w:rsidR="0009525D" w:rsidRPr="00C60C59" w:rsidRDefault="0009525D" w:rsidP="0009525D">
      <w:pPr>
        <w:pStyle w:val="ListParagraph"/>
        <w:keepLines w:val="0"/>
        <w:numPr>
          <w:ilvl w:val="1"/>
          <w:numId w:val="8"/>
        </w:numPr>
        <w:tabs>
          <w:tab w:val="left" w:pos="567"/>
        </w:tabs>
        <w:spacing w:after="240"/>
        <w:contextualSpacing/>
      </w:pPr>
      <w:r>
        <w:t>Port of Melbourne (Vic).</w:t>
      </w:r>
      <w:r w:rsidRPr="009958F3">
        <w:rPr>
          <w:rStyle w:val="FootnoteReference"/>
          <w:rFonts w:ascii="Arial" w:hAnsi="Arial"/>
        </w:rPr>
        <w:footnoteReference w:id="3"/>
      </w:r>
      <w:r w:rsidRPr="009958F3">
        <w:t xml:space="preserve"> </w:t>
      </w:r>
    </w:p>
    <w:p w:rsidR="00AF1C87" w:rsidRDefault="00AF1C87" w:rsidP="006A7FE8">
      <w:pPr>
        <w:pStyle w:val="Heading3"/>
      </w:pPr>
      <w:r>
        <w:t xml:space="preserve">Market </w:t>
      </w:r>
      <w:r w:rsidRPr="00F80A7E">
        <w:t>inquiries</w:t>
      </w:r>
    </w:p>
    <w:p w:rsidR="00002E51" w:rsidRDefault="00BC72D9" w:rsidP="00EC63A9">
      <w:pPr>
        <w:pStyle w:val="NormalParagraph"/>
        <w:tabs>
          <w:tab w:val="clear" w:pos="360"/>
          <w:tab w:val="num" w:pos="426"/>
        </w:tabs>
        <w:ind w:left="426" w:hanging="426"/>
      </w:pPr>
      <w:r w:rsidRPr="009A0CB9">
        <w:t xml:space="preserve">The ACCC received written submissions from and/or spoke with a </w:t>
      </w:r>
      <w:r w:rsidR="00002E51">
        <w:t>number</w:t>
      </w:r>
      <w:r w:rsidRPr="009A0CB9">
        <w:t xml:space="preserve"> of interested parties</w:t>
      </w:r>
      <w:r w:rsidR="00AF1C87" w:rsidRPr="002B614D">
        <w:t xml:space="preserve"> </w:t>
      </w:r>
      <w:r w:rsidRPr="009A0CB9">
        <w:t xml:space="preserve">including </w:t>
      </w:r>
      <w:r w:rsidR="00EC63A9">
        <w:t>OEMs, motor vehicle importers, shipping lines, stevedores, PDI providers</w:t>
      </w:r>
      <w:r w:rsidR="00954D8A">
        <w:t>,</w:t>
      </w:r>
      <w:r w:rsidR="00EC63A9">
        <w:t xml:space="preserve"> transport carriers</w:t>
      </w:r>
      <w:r w:rsidR="00954D8A">
        <w:t xml:space="preserve"> and relevant associations</w:t>
      </w:r>
      <w:r w:rsidR="00002E51">
        <w:t>.</w:t>
      </w:r>
    </w:p>
    <w:p w:rsidR="00F72AF9" w:rsidRDefault="00F72AF9" w:rsidP="00EC63A9">
      <w:pPr>
        <w:pStyle w:val="NormalParagraph"/>
        <w:tabs>
          <w:tab w:val="clear" w:pos="360"/>
          <w:tab w:val="num" w:pos="426"/>
        </w:tabs>
        <w:ind w:left="426" w:hanging="426"/>
      </w:pPr>
      <w:r>
        <w:t xml:space="preserve">The ACCC sought feedback from interested parties on the open access regime as initially proposed by Fremantle Ports, focussing on its effectiveness (including the proposed open access services terms and conditions and price and non-price dispute resolution processes) and enforceability (given that the </w:t>
      </w:r>
      <w:r w:rsidR="009D50D6">
        <w:t xml:space="preserve">proposed </w:t>
      </w:r>
      <w:r>
        <w:t>open access regime</w:t>
      </w:r>
      <w:r w:rsidR="009D50D6">
        <w:t xml:space="preserve"> would be included in a </w:t>
      </w:r>
      <w:r w:rsidR="001E25EF">
        <w:t>terminal licence</w:t>
      </w:r>
      <w:r w:rsidR="009D50D6">
        <w:t xml:space="preserve"> between Fremantle Ports and the terminal operator</w:t>
      </w:r>
      <w:r>
        <w:t>).</w:t>
      </w:r>
    </w:p>
    <w:p w:rsidR="00F72AF9" w:rsidRDefault="00F72AF9" w:rsidP="00EC63A9">
      <w:pPr>
        <w:pStyle w:val="NormalParagraph"/>
        <w:tabs>
          <w:tab w:val="clear" w:pos="360"/>
          <w:tab w:val="num" w:pos="426"/>
        </w:tabs>
        <w:ind w:left="426" w:hanging="426"/>
      </w:pPr>
      <w:r>
        <w:lastRenderedPageBreak/>
        <w:t>The ACCC also sought submissions</w:t>
      </w:r>
      <w:r w:rsidR="009C6BB6">
        <w:t xml:space="preserve"> from interested parties</w:t>
      </w:r>
      <w:r>
        <w:t xml:space="preserve"> in relation to the </w:t>
      </w:r>
      <w:r w:rsidR="00C117AE">
        <w:t xml:space="preserve">separate </w:t>
      </w:r>
      <w:r>
        <w:t>undertakings after they were offered</w:t>
      </w:r>
      <w:r w:rsidR="0024528D">
        <w:t xml:space="preserve"> by VQIRT and AAT</w:t>
      </w:r>
      <w:r>
        <w:t>, particularly in relation to the key performance indicators</w:t>
      </w:r>
      <w:r w:rsidR="00286CD9">
        <w:t xml:space="preserve"> included in</w:t>
      </w:r>
      <w:r w:rsidR="009C6BB6">
        <w:t xml:space="preserve"> each of</w:t>
      </w:r>
      <w:r w:rsidR="00286CD9">
        <w:t xml:space="preserve"> the undertakings. </w:t>
      </w:r>
    </w:p>
    <w:p w:rsidR="00113306" w:rsidRDefault="00113306" w:rsidP="00113306">
      <w:pPr>
        <w:pStyle w:val="Heading3"/>
      </w:pPr>
      <w:r>
        <w:t xml:space="preserve">Market </w:t>
      </w:r>
      <w:r w:rsidRPr="00A53505">
        <w:t>definition</w:t>
      </w:r>
    </w:p>
    <w:p w:rsidR="00EC63A9" w:rsidRPr="00EC63A9" w:rsidRDefault="00DB5C2E" w:rsidP="00EC63A9">
      <w:pPr>
        <w:pStyle w:val="NormalParagraph"/>
        <w:tabs>
          <w:tab w:val="clear" w:pos="360"/>
          <w:tab w:val="num" w:pos="426"/>
        </w:tabs>
        <w:ind w:left="426" w:hanging="426"/>
        <w:rPr>
          <w:rFonts w:cs="Arial"/>
        </w:rPr>
      </w:pPr>
      <w:r>
        <w:t>The ACCC</w:t>
      </w:r>
      <w:r w:rsidRPr="00EC63A9">
        <w:rPr>
          <w:rFonts w:cs="Arial"/>
        </w:rPr>
        <w:t xml:space="preserve"> </w:t>
      </w:r>
      <w:r w:rsidR="00EC63A9" w:rsidRPr="00EC63A9">
        <w:rPr>
          <w:rFonts w:cs="Arial"/>
        </w:rPr>
        <w:t>consider</w:t>
      </w:r>
      <w:r>
        <w:rPr>
          <w:rFonts w:cs="Arial"/>
        </w:rPr>
        <w:t>s</w:t>
      </w:r>
      <w:r w:rsidR="00EC63A9" w:rsidRPr="00EC63A9">
        <w:rPr>
          <w:rFonts w:cs="Arial"/>
        </w:rPr>
        <w:t xml:space="preserve"> that the relevant markets for assessing the proposed acquisitions are:</w:t>
      </w:r>
    </w:p>
    <w:p w:rsidR="00EC63A9" w:rsidRPr="007E64CD" w:rsidRDefault="00EC63A9" w:rsidP="00EC63A9">
      <w:pPr>
        <w:pStyle w:val="ListParagraph"/>
        <w:tabs>
          <w:tab w:val="clear" w:pos="360"/>
          <w:tab w:val="num" w:pos="927"/>
        </w:tabs>
        <w:ind w:left="924" w:hanging="357"/>
      </w:pPr>
      <w:r w:rsidRPr="007E64CD">
        <w:t>the supply of automotive terminal services</w:t>
      </w:r>
      <w:r w:rsidR="009C6BB6">
        <w:t xml:space="preserve"> in </w:t>
      </w:r>
      <w:r w:rsidR="00951AD3">
        <w:t xml:space="preserve">the </w:t>
      </w:r>
      <w:r w:rsidR="009C6BB6">
        <w:t>Fremantle</w:t>
      </w:r>
      <w:r w:rsidR="00F56BF1">
        <w:t xml:space="preserve"> region</w:t>
      </w:r>
      <w:r w:rsidR="009C6BB6">
        <w:t>;</w:t>
      </w:r>
    </w:p>
    <w:p w:rsidR="00EC63A9" w:rsidRDefault="00EC63A9" w:rsidP="00EC63A9">
      <w:pPr>
        <w:pStyle w:val="ListParagraph"/>
        <w:tabs>
          <w:tab w:val="clear" w:pos="360"/>
          <w:tab w:val="num" w:pos="927"/>
        </w:tabs>
        <w:ind w:left="924" w:hanging="357"/>
      </w:pPr>
      <w:r>
        <w:t>the supply of automotive shipping services</w:t>
      </w:r>
      <w:r w:rsidR="009C6BB6">
        <w:t xml:space="preserve"> in </w:t>
      </w:r>
      <w:r w:rsidR="00951AD3">
        <w:t xml:space="preserve">the </w:t>
      </w:r>
      <w:r w:rsidR="009C6BB6">
        <w:t>Fremantle</w:t>
      </w:r>
      <w:r w:rsidR="00F56BF1">
        <w:t xml:space="preserve"> region</w:t>
      </w:r>
      <w:r>
        <w:t>;</w:t>
      </w:r>
    </w:p>
    <w:p w:rsidR="00EC63A9" w:rsidRDefault="00EC63A9" w:rsidP="00EC63A9">
      <w:pPr>
        <w:pStyle w:val="ListParagraph"/>
        <w:tabs>
          <w:tab w:val="clear" w:pos="360"/>
          <w:tab w:val="num" w:pos="927"/>
        </w:tabs>
        <w:ind w:left="924" w:hanging="357"/>
      </w:pPr>
      <w:r>
        <w:t>the supply of automotive stevedoring services</w:t>
      </w:r>
      <w:r w:rsidR="009C6BB6">
        <w:t xml:space="preserve"> in </w:t>
      </w:r>
      <w:r w:rsidR="00951AD3">
        <w:t xml:space="preserve">the </w:t>
      </w:r>
      <w:r w:rsidR="009C6BB6">
        <w:t>Fremantle</w:t>
      </w:r>
      <w:r w:rsidR="00F56BF1">
        <w:t xml:space="preserve"> region</w:t>
      </w:r>
      <w:r>
        <w:t>; and</w:t>
      </w:r>
    </w:p>
    <w:p w:rsidR="00EC63A9" w:rsidRDefault="00EC63A9" w:rsidP="00EC63A9">
      <w:pPr>
        <w:pStyle w:val="ListParagraph"/>
        <w:tabs>
          <w:tab w:val="clear" w:pos="360"/>
          <w:tab w:val="num" w:pos="927"/>
        </w:tabs>
        <w:ind w:left="924" w:hanging="357"/>
      </w:pPr>
      <w:r>
        <w:t xml:space="preserve">the supply of vehicle </w:t>
      </w:r>
      <w:r w:rsidRPr="00B05863">
        <w:t>PDI</w:t>
      </w:r>
      <w:r>
        <w:t xml:space="preserve"> services</w:t>
      </w:r>
      <w:r w:rsidR="009C6BB6">
        <w:t xml:space="preserve"> in </w:t>
      </w:r>
      <w:r w:rsidR="00951AD3">
        <w:t xml:space="preserve">the </w:t>
      </w:r>
      <w:r w:rsidR="009C6BB6">
        <w:t>Fremantle</w:t>
      </w:r>
      <w:r w:rsidR="00F56BF1">
        <w:t xml:space="preserve"> region</w:t>
      </w:r>
      <w:r>
        <w:t>.</w:t>
      </w:r>
    </w:p>
    <w:p w:rsidR="00EC63A9" w:rsidRPr="008B75A3" w:rsidRDefault="00431303" w:rsidP="00EC63A9">
      <w:pPr>
        <w:pStyle w:val="NormalParagraph"/>
        <w:tabs>
          <w:tab w:val="clear" w:pos="360"/>
          <w:tab w:val="num" w:pos="426"/>
        </w:tabs>
        <w:ind w:left="426" w:hanging="426"/>
      </w:pPr>
      <w:r>
        <w:rPr>
          <w:rFonts w:cs="Arial"/>
        </w:rPr>
        <w:t>A</w:t>
      </w:r>
      <w:r w:rsidR="00EC63A9" w:rsidRPr="00EC63A9">
        <w:rPr>
          <w:rFonts w:cs="Arial"/>
        </w:rPr>
        <w:t xml:space="preserve">utomotive terminal services are an input to downstream terminal users that in turn supply stevedoring, PDI and shipping services. </w:t>
      </w:r>
      <w:r w:rsidR="00855095" w:rsidRPr="00EC63A9">
        <w:rPr>
          <w:rFonts w:cs="Arial"/>
        </w:rPr>
        <w:t xml:space="preserve">Automotive terminal services include, but are </w:t>
      </w:r>
      <w:r w:rsidR="00855095" w:rsidRPr="00BD46DB">
        <w:t>not</w:t>
      </w:r>
      <w:r w:rsidR="00855095" w:rsidRPr="00EC63A9">
        <w:rPr>
          <w:rFonts w:cs="Arial"/>
        </w:rPr>
        <w:t xml:space="preserve"> limited to, provi</w:t>
      </w:r>
      <w:r w:rsidR="00855095">
        <w:rPr>
          <w:rFonts w:cs="Arial"/>
        </w:rPr>
        <w:t xml:space="preserve">ding </w:t>
      </w:r>
      <w:r w:rsidR="00855095" w:rsidRPr="00EC63A9">
        <w:rPr>
          <w:rFonts w:cs="Arial"/>
        </w:rPr>
        <w:t xml:space="preserve">licensed stevedores </w:t>
      </w:r>
      <w:r w:rsidR="00855095">
        <w:rPr>
          <w:rFonts w:cs="Arial"/>
        </w:rPr>
        <w:t>with</w:t>
      </w:r>
      <w:r w:rsidR="00855095" w:rsidRPr="00EC63A9">
        <w:rPr>
          <w:rFonts w:cs="Arial"/>
        </w:rPr>
        <w:t xml:space="preserve"> access to the terminal facility</w:t>
      </w:r>
      <w:r w:rsidR="00855095">
        <w:rPr>
          <w:rFonts w:cs="Arial"/>
        </w:rPr>
        <w:t>.</w:t>
      </w:r>
    </w:p>
    <w:p w:rsidR="008B75A3" w:rsidRPr="00193307" w:rsidRDefault="0028124F" w:rsidP="008B75A3">
      <w:pPr>
        <w:pStyle w:val="NormalParagraph"/>
        <w:tabs>
          <w:tab w:val="clear" w:pos="360"/>
          <w:tab w:val="num" w:pos="426"/>
        </w:tabs>
        <w:ind w:left="426" w:hanging="426"/>
      </w:pPr>
      <w:r>
        <w:t>The Port of Fremantle is the only port that receives and proce</w:t>
      </w:r>
      <w:r w:rsidR="00CC5A23">
        <w:t>sses automotive vehicles in Western Australia.</w:t>
      </w:r>
      <w:r>
        <w:t xml:space="preserve"> </w:t>
      </w:r>
      <w:r w:rsidR="002E3DF5">
        <w:t>T</w:t>
      </w:r>
      <w:r w:rsidR="008B75A3">
        <w:t xml:space="preserve">he ACCC considered that </w:t>
      </w:r>
      <w:r w:rsidR="008B75A3" w:rsidRPr="008B75A3">
        <w:rPr>
          <w:rFonts w:cs="Arial"/>
        </w:rPr>
        <w:t>automotive</w:t>
      </w:r>
      <w:r w:rsidR="008B75A3">
        <w:t xml:space="preserve"> terminals in other capital cities are not clos</w:t>
      </w:r>
      <w:r w:rsidR="000F7DFD">
        <w:t>e substitutes for the Terminal at</w:t>
      </w:r>
      <w:r w:rsidR="008B75A3">
        <w:t xml:space="preserve"> the Port of Fremantle</w:t>
      </w:r>
      <w:r w:rsidR="00C06529">
        <w:t xml:space="preserve"> given the long distances between those terminals and the destination of the vehicles</w:t>
      </w:r>
      <w:r w:rsidR="008B75A3">
        <w:t>. The ACCC therefore considered that the relevant geographic scope of the markets affected by the proposed acquisition is the Fremantle region.</w:t>
      </w:r>
    </w:p>
    <w:p w:rsidR="00AF1C87" w:rsidRDefault="00D33A1F" w:rsidP="006A7FE8">
      <w:pPr>
        <w:pStyle w:val="Heading3"/>
      </w:pPr>
      <w:r>
        <w:t>Likely future w</w:t>
      </w:r>
      <w:r w:rsidR="00AF1C87">
        <w:t>ith</w:t>
      </w:r>
      <w:r>
        <w:t xml:space="preserve"> and </w:t>
      </w:r>
      <w:r w:rsidR="00AF1C87">
        <w:t xml:space="preserve">without </w:t>
      </w:r>
      <w:r>
        <w:t xml:space="preserve">the proposed </w:t>
      </w:r>
      <w:r w:rsidR="00BD46DB">
        <w:t>acquisitions</w:t>
      </w:r>
    </w:p>
    <w:p w:rsidR="0040634A" w:rsidRDefault="00053096" w:rsidP="00EC63A9">
      <w:pPr>
        <w:pStyle w:val="NormalParagraph"/>
        <w:tabs>
          <w:tab w:val="clear" w:pos="360"/>
          <w:tab w:val="num" w:pos="426"/>
        </w:tabs>
        <w:ind w:left="426" w:hanging="426"/>
      </w:pPr>
      <w:r>
        <w:t>Section 50 of the Act prohibits mergers or acquisitions that would have the effect</w:t>
      </w:r>
      <w:r w:rsidR="002108CC">
        <w:t>,</w:t>
      </w:r>
      <w:r>
        <w:t xml:space="preserve"> or be likely to have the effect</w:t>
      </w:r>
      <w:r w:rsidR="00C06529">
        <w:t>,</w:t>
      </w:r>
      <w:r>
        <w:t xml:space="preserve"> of substantially lessening competition in a market. In assessing a proposed acquisition pursuant to </w:t>
      </w:r>
      <w:r w:rsidRPr="00053096">
        <w:t>section</w:t>
      </w:r>
      <w:r>
        <w:t xml:space="preserve">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w:t>
      </w:r>
      <w:r w:rsidR="00D33A1F">
        <w:t xml:space="preserve">assist in </w:t>
      </w:r>
      <w:r>
        <w:t>determin</w:t>
      </w:r>
      <w:r w:rsidR="00D33A1F">
        <w:t>ing</w:t>
      </w:r>
      <w:r>
        <w:t xml:space="preserve"> whether the proposed acquisition is likely to substantially lessen competition in any relevant market.</w:t>
      </w:r>
    </w:p>
    <w:p w:rsidR="00327277" w:rsidRDefault="00CC5A23">
      <w:pPr>
        <w:pStyle w:val="NormalParagraph"/>
        <w:tabs>
          <w:tab w:val="clear" w:pos="360"/>
          <w:tab w:val="num" w:pos="426"/>
        </w:tabs>
        <w:ind w:left="426" w:hanging="426"/>
      </w:pPr>
      <w:r>
        <w:t>T</w:t>
      </w:r>
      <w:r w:rsidR="00327277">
        <w:t>here has been no indication from Fremantle Ports that it would be likely to develop and operate the Terminal itself</w:t>
      </w:r>
      <w:r w:rsidR="00C06529">
        <w:t xml:space="preserve"> in the absence of the proposed acquisitions</w:t>
      </w:r>
      <w:r w:rsidR="00DB5C2E">
        <w:t>.</w:t>
      </w:r>
      <w:r>
        <w:t xml:space="preserve"> Accordingly, for each of the proposed acquisitions, </w:t>
      </w:r>
      <w:r w:rsidR="00327277">
        <w:t>t</w:t>
      </w:r>
      <w:r w:rsidR="00BD46DB">
        <w:t xml:space="preserve">he ACCC considered </w:t>
      </w:r>
      <w:r w:rsidR="00327277">
        <w:t>the</w:t>
      </w:r>
      <w:r w:rsidR="00BD46DB">
        <w:t xml:space="preserve"> most likely future without </w:t>
      </w:r>
      <w:r>
        <w:t>the proposed acquisition</w:t>
      </w:r>
      <w:r w:rsidR="00BD46DB">
        <w:t xml:space="preserve"> is that </w:t>
      </w:r>
      <w:r w:rsidR="00DB5C2E">
        <w:t>another party would be appointed as the terminal operator</w:t>
      </w:r>
      <w:r w:rsidR="00BD46DB">
        <w:t>.</w:t>
      </w:r>
      <w:r w:rsidR="00327277">
        <w:t xml:space="preserve"> </w:t>
      </w:r>
    </w:p>
    <w:p w:rsidR="00AF1C87" w:rsidRPr="006A7FE8" w:rsidRDefault="00AF1C87" w:rsidP="006A7FE8">
      <w:pPr>
        <w:pStyle w:val="Heading3"/>
      </w:pPr>
      <w:r w:rsidRPr="006A7FE8">
        <w:t>Competition analysis</w:t>
      </w:r>
    </w:p>
    <w:p w:rsidR="00EC63A9" w:rsidRPr="00EC63A9" w:rsidRDefault="00EC63A9" w:rsidP="00EC63A9">
      <w:pPr>
        <w:pStyle w:val="Heading4"/>
        <w:rPr>
          <w:b/>
        </w:rPr>
      </w:pPr>
      <w:r w:rsidRPr="00EC63A9">
        <w:t>VQIRT</w:t>
      </w:r>
    </w:p>
    <w:p w:rsidR="008B75A3" w:rsidRDefault="008B75A3" w:rsidP="006C2532">
      <w:pPr>
        <w:pStyle w:val="NormalParagraph"/>
        <w:tabs>
          <w:tab w:val="clear" w:pos="360"/>
          <w:tab w:val="left" w:pos="426"/>
        </w:tabs>
        <w:ind w:left="426" w:hanging="426"/>
      </w:pPr>
      <w:r>
        <w:t xml:space="preserve">In the course of market inquiries, </w:t>
      </w:r>
      <w:r w:rsidR="00CC5A23">
        <w:t>interested</w:t>
      </w:r>
      <w:r>
        <w:t xml:space="preserve"> parties expressed concerns regarding VQIRT’s status as a vertically integrated operator of the sole automotive terminal at the Port of Fremantle, </w:t>
      </w:r>
      <w:r w:rsidR="00CC5A23">
        <w:t>given</w:t>
      </w:r>
      <w:r w:rsidRPr="007278E7">
        <w:t xml:space="preserve"> </w:t>
      </w:r>
      <w:r w:rsidR="002E3DF5">
        <w:t>WW Logistics’</w:t>
      </w:r>
      <w:r w:rsidR="002E3DF5" w:rsidRPr="007278E7">
        <w:t xml:space="preserve"> </w:t>
      </w:r>
      <w:r w:rsidRPr="007278E7">
        <w:t xml:space="preserve">interests in </w:t>
      </w:r>
      <w:r w:rsidR="0028124F">
        <w:t xml:space="preserve">automotive </w:t>
      </w:r>
      <w:r w:rsidRPr="007278E7">
        <w:t>shipping (and potentially in stevedoring or PDI services</w:t>
      </w:r>
      <w:r>
        <w:t xml:space="preserve"> </w:t>
      </w:r>
      <w:r w:rsidR="002E3DF5">
        <w:t>at the Port of Fremantle</w:t>
      </w:r>
      <w:r>
        <w:t xml:space="preserve"> in the future</w:t>
      </w:r>
      <w:r w:rsidRPr="007278E7">
        <w:t>)</w:t>
      </w:r>
      <w:r>
        <w:t>.</w:t>
      </w:r>
    </w:p>
    <w:p w:rsidR="006C2532" w:rsidRPr="007278E7" w:rsidRDefault="006C2532" w:rsidP="006C2532">
      <w:pPr>
        <w:pStyle w:val="NormalParagraph"/>
        <w:tabs>
          <w:tab w:val="clear" w:pos="360"/>
          <w:tab w:val="left" w:pos="426"/>
        </w:tabs>
        <w:ind w:left="426" w:hanging="426"/>
      </w:pPr>
      <w:r>
        <w:lastRenderedPageBreak/>
        <w:t>The ACCC considered that VQIRT’s</w:t>
      </w:r>
      <w:r w:rsidRPr="007278E7">
        <w:t xml:space="preserve"> proposed acquisition would </w:t>
      </w:r>
      <w:r w:rsidR="00A041ED">
        <w:t>provide</w:t>
      </w:r>
      <w:r w:rsidR="00A041ED" w:rsidRPr="007278E7">
        <w:t xml:space="preserve"> </w:t>
      </w:r>
      <w:r w:rsidRPr="007278E7">
        <w:t xml:space="preserve">VQIRT </w:t>
      </w:r>
      <w:r w:rsidR="00A041ED">
        <w:t>with the ability and incentive to exer</w:t>
      </w:r>
      <w:r w:rsidR="00951AD3">
        <w:t>cise</w:t>
      </w:r>
      <w:r w:rsidRPr="007278E7">
        <w:t xml:space="preserve"> market power</w:t>
      </w:r>
      <w:r w:rsidR="008B75A3">
        <w:t xml:space="preserve"> </w:t>
      </w:r>
      <w:r w:rsidRPr="007278E7">
        <w:t>to:</w:t>
      </w:r>
    </w:p>
    <w:p w:rsidR="006C2532" w:rsidRPr="007278E7" w:rsidRDefault="006C2532" w:rsidP="006C2532">
      <w:pPr>
        <w:pStyle w:val="ListParagraph"/>
        <w:tabs>
          <w:tab w:val="clear" w:pos="360"/>
          <w:tab w:val="num" w:pos="927"/>
        </w:tabs>
        <w:ind w:left="924" w:hanging="357"/>
      </w:pPr>
      <w:r w:rsidRPr="007278E7">
        <w:t>discriminate against rival shipping lines by charging higher prices for automotive terminal services to non VQIRT related entities (for example, by raising the standalone price for access to the Terminal above efficient levels</w:t>
      </w:r>
      <w:r w:rsidR="00435B58">
        <w:t>,</w:t>
      </w:r>
      <w:r w:rsidRPr="007278E7">
        <w:t xml:space="preserve"> </w:t>
      </w:r>
      <w:r w:rsidR="00435B58">
        <w:t>raising</w:t>
      </w:r>
      <w:r w:rsidRPr="007278E7">
        <w:t xml:space="preserve"> the input costs of its rivals);</w:t>
      </w:r>
    </w:p>
    <w:p w:rsidR="006C2532" w:rsidRPr="007278E7" w:rsidRDefault="006C2532" w:rsidP="006C2532">
      <w:pPr>
        <w:pStyle w:val="ListParagraph"/>
        <w:tabs>
          <w:tab w:val="clear" w:pos="360"/>
          <w:tab w:val="num" w:pos="927"/>
        </w:tabs>
        <w:ind w:left="924" w:hanging="357"/>
      </w:pPr>
      <w:r w:rsidRPr="007278E7">
        <w:t xml:space="preserve">discriminate against rival shipping lines by providing less favourable </w:t>
      </w:r>
      <w:r>
        <w:t xml:space="preserve">non-price </w:t>
      </w:r>
      <w:r w:rsidRPr="007278E7">
        <w:t>terms and conditions and/or giving preferential treatment to WW</w:t>
      </w:r>
      <w:r>
        <w:t xml:space="preserve"> Logistics</w:t>
      </w:r>
      <w:r w:rsidRPr="007278E7">
        <w:t xml:space="preserve"> in the </w:t>
      </w:r>
      <w:r>
        <w:t>provision of ancillary services</w:t>
      </w:r>
      <w:r w:rsidRPr="007278E7">
        <w:t>;</w:t>
      </w:r>
      <w:r w:rsidR="00CC5A23">
        <w:t xml:space="preserve"> </w:t>
      </w:r>
    </w:p>
    <w:p w:rsidR="006C2532" w:rsidRDefault="006C2532" w:rsidP="006C2532">
      <w:pPr>
        <w:pStyle w:val="ListParagraph"/>
        <w:tabs>
          <w:tab w:val="clear" w:pos="360"/>
          <w:tab w:val="num" w:pos="927"/>
        </w:tabs>
        <w:ind w:left="924" w:hanging="357"/>
      </w:pPr>
      <w:r w:rsidRPr="007278E7">
        <w:t xml:space="preserve">discriminate against downstream terminal users that VQIRT or its related bodies corporate may compete with in the future should VQIRT or its related bodies corporate enter those </w:t>
      </w:r>
      <w:r>
        <w:t xml:space="preserve">downstream </w:t>
      </w:r>
      <w:r w:rsidRPr="007278E7">
        <w:t>markets</w:t>
      </w:r>
      <w:r>
        <w:t xml:space="preserve"> (e.g. stevedoring)</w:t>
      </w:r>
      <w:r w:rsidRPr="007278E7">
        <w:t>;</w:t>
      </w:r>
      <w:r w:rsidR="00CC5A23">
        <w:t xml:space="preserve"> and</w:t>
      </w:r>
    </w:p>
    <w:p w:rsidR="00CC5A23" w:rsidRPr="007278E7" w:rsidRDefault="00CC5A23" w:rsidP="00CC5A23">
      <w:pPr>
        <w:pStyle w:val="ListParagraph"/>
        <w:tabs>
          <w:tab w:val="clear" w:pos="360"/>
          <w:tab w:val="num" w:pos="927"/>
        </w:tabs>
        <w:ind w:left="924" w:hanging="357"/>
      </w:pPr>
      <w:r w:rsidRPr="00CC5A23">
        <w:t>access commerc</w:t>
      </w:r>
      <w:r>
        <w:t xml:space="preserve">ially sensitive information of </w:t>
      </w:r>
      <w:r w:rsidRPr="00CC5A23">
        <w:t>rival shipping lines</w:t>
      </w:r>
      <w:r>
        <w:t xml:space="preserve"> and</w:t>
      </w:r>
      <w:r w:rsidRPr="00CC5A23">
        <w:t xml:space="preserve"> other terminal users, which </w:t>
      </w:r>
      <w:r w:rsidR="00ED2A54">
        <w:t xml:space="preserve">WW Logistics, </w:t>
      </w:r>
      <w:r w:rsidRPr="00CC5A23">
        <w:t>VQIRT or its related bodies co</w:t>
      </w:r>
      <w:r>
        <w:t>rporate may use to their advantage</w:t>
      </w:r>
      <w:r w:rsidRPr="00CC5A23">
        <w:t>.</w:t>
      </w:r>
    </w:p>
    <w:p w:rsidR="00EC63A9" w:rsidRPr="00EC63A9" w:rsidRDefault="00EC63A9" w:rsidP="00EC63A9">
      <w:pPr>
        <w:pStyle w:val="Heading4"/>
        <w:rPr>
          <w:b/>
        </w:rPr>
      </w:pPr>
      <w:r>
        <w:t>AA</w:t>
      </w:r>
      <w:r w:rsidRPr="00EC63A9">
        <w:t>T</w:t>
      </w:r>
    </w:p>
    <w:p w:rsidR="008B75A3" w:rsidRDefault="008B75A3" w:rsidP="008B75A3">
      <w:pPr>
        <w:pStyle w:val="NormalParagraph"/>
        <w:tabs>
          <w:tab w:val="clear" w:pos="360"/>
          <w:tab w:val="left" w:pos="426"/>
        </w:tabs>
        <w:ind w:left="426" w:hanging="426"/>
      </w:pPr>
      <w:r>
        <w:t xml:space="preserve">Interested parties also expressed concerns regarding AAT’s position as a vertically integrated operator of the sole automotive terminal at the Port of Fremantle, </w:t>
      </w:r>
      <w:r w:rsidRPr="006C2532">
        <w:t xml:space="preserve">having regard to </w:t>
      </w:r>
      <w:r w:rsidR="00AA7153">
        <w:t xml:space="preserve">the interests </w:t>
      </w:r>
      <w:r w:rsidR="00F514CA">
        <w:t xml:space="preserve">held by each of </w:t>
      </w:r>
      <w:r w:rsidRPr="006C2532">
        <w:t>AAT’s two shareholders in automotive stevedoring and PDI oper</w:t>
      </w:r>
      <w:r>
        <w:t>ations at the Port</w:t>
      </w:r>
      <w:r w:rsidR="00AA7153">
        <w:t xml:space="preserve"> of Fremantle</w:t>
      </w:r>
      <w:r>
        <w:t>.</w:t>
      </w:r>
    </w:p>
    <w:p w:rsidR="006C2532" w:rsidRPr="006C2532" w:rsidRDefault="006C2532" w:rsidP="006C2532">
      <w:pPr>
        <w:pStyle w:val="NormalParagraph"/>
        <w:tabs>
          <w:tab w:val="clear" w:pos="360"/>
          <w:tab w:val="left" w:pos="426"/>
        </w:tabs>
        <w:ind w:left="426" w:hanging="426"/>
      </w:pPr>
      <w:r>
        <w:t xml:space="preserve">The ACCC considered that AAT’s proposed acquisition would </w:t>
      </w:r>
      <w:r w:rsidR="00F514CA">
        <w:t>provide</w:t>
      </w:r>
      <w:r w:rsidR="00F514CA" w:rsidRPr="007278E7">
        <w:t xml:space="preserve"> </w:t>
      </w:r>
      <w:r w:rsidR="00F514CA">
        <w:t>AAT</w:t>
      </w:r>
      <w:r w:rsidR="00F514CA" w:rsidRPr="007278E7">
        <w:t xml:space="preserve"> </w:t>
      </w:r>
      <w:r w:rsidR="00F514CA">
        <w:t>with the ability and incentive to exer</w:t>
      </w:r>
      <w:r w:rsidR="00951AD3">
        <w:t>cise</w:t>
      </w:r>
      <w:r w:rsidR="00DF5449">
        <w:t xml:space="preserve"> market power to:</w:t>
      </w:r>
    </w:p>
    <w:p w:rsidR="006C2532" w:rsidRPr="004163D0" w:rsidRDefault="006C2532" w:rsidP="00DF5449">
      <w:pPr>
        <w:pStyle w:val="ListParagraph"/>
        <w:tabs>
          <w:tab w:val="clear" w:pos="360"/>
          <w:tab w:val="num" w:pos="927"/>
        </w:tabs>
        <w:ind w:left="924" w:hanging="357"/>
      </w:pPr>
      <w:r w:rsidRPr="004163D0">
        <w:t>foreclose the entry and expansion of third party stevedores or PDI operators which compete with entities associated with AAT’s two shareholders, by setting hi</w:t>
      </w:r>
      <w:r w:rsidR="00ED2A54">
        <w:t>gh</w:t>
      </w:r>
      <w:r w:rsidR="00951AD3">
        <w:t>er</w:t>
      </w:r>
      <w:r w:rsidR="00ED2A54">
        <w:t xml:space="preserve"> prices for access services supplied to</w:t>
      </w:r>
      <w:r w:rsidRPr="004163D0">
        <w:t xml:space="preserve"> those third party terminal users</w:t>
      </w:r>
      <w:r w:rsidR="00DF5449">
        <w:t>;</w:t>
      </w:r>
    </w:p>
    <w:p w:rsidR="006C2532" w:rsidRPr="004163D0" w:rsidRDefault="006C2532" w:rsidP="00DF5449">
      <w:pPr>
        <w:pStyle w:val="ListParagraph"/>
        <w:tabs>
          <w:tab w:val="clear" w:pos="360"/>
          <w:tab w:val="num" w:pos="927"/>
        </w:tabs>
        <w:ind w:left="924" w:hanging="357"/>
      </w:pPr>
      <w:r w:rsidRPr="004163D0">
        <w:t xml:space="preserve">frustrate or restrict access to the Terminal by third party stevedores or PDI operators which compete with entitles associated with </w:t>
      </w:r>
      <w:r w:rsidR="00435B58">
        <w:t>either</w:t>
      </w:r>
      <w:r w:rsidR="00435B58" w:rsidRPr="004163D0">
        <w:t xml:space="preserve"> </w:t>
      </w:r>
      <w:r w:rsidRPr="004163D0">
        <w:t>of AAT’s two shareholders</w:t>
      </w:r>
      <w:r w:rsidR="00ED2A54">
        <w:t>,</w:t>
      </w:r>
      <w:r w:rsidRPr="004163D0">
        <w:t xml:space="preserve"> through non-price terms of supply</w:t>
      </w:r>
      <w:r w:rsidR="00DF5449">
        <w:t>; and</w:t>
      </w:r>
    </w:p>
    <w:p w:rsidR="006C2532" w:rsidRDefault="006C2532" w:rsidP="00DF5449">
      <w:pPr>
        <w:pStyle w:val="ListParagraph"/>
        <w:tabs>
          <w:tab w:val="clear" w:pos="360"/>
          <w:tab w:val="num" w:pos="927"/>
        </w:tabs>
        <w:ind w:left="924" w:hanging="357"/>
      </w:pPr>
      <w:r w:rsidRPr="004163D0">
        <w:t xml:space="preserve">gain </w:t>
      </w:r>
      <w:bookmarkStart w:id="6" w:name="_Ref414313650"/>
      <w:r w:rsidRPr="004163D0">
        <w:t>access to commercially sensitive information</w:t>
      </w:r>
      <w:bookmarkEnd w:id="6"/>
      <w:r w:rsidRPr="004163D0">
        <w:t xml:space="preserve"> of terminal users, shippi</w:t>
      </w:r>
      <w:r w:rsidR="00ED2A54">
        <w:t xml:space="preserve">ng lines and car manufacturers, and </w:t>
      </w:r>
      <w:r w:rsidRPr="004163D0">
        <w:t xml:space="preserve">use or disclose such commercially sensitive information in order to benefit the downstream entities associated with </w:t>
      </w:r>
      <w:r w:rsidR="00ED2A54">
        <w:t>AAT’</w:t>
      </w:r>
      <w:r w:rsidRPr="004163D0">
        <w:t>s shareholders</w:t>
      </w:r>
      <w:r w:rsidR="00DF5449">
        <w:t>.</w:t>
      </w:r>
    </w:p>
    <w:p w:rsidR="008B75A3" w:rsidRPr="004163D0" w:rsidRDefault="00AA7153" w:rsidP="00DF5449">
      <w:pPr>
        <w:pStyle w:val="NormalParagraph"/>
        <w:tabs>
          <w:tab w:val="clear" w:pos="360"/>
          <w:tab w:val="left" w:pos="426"/>
        </w:tabs>
        <w:ind w:left="426" w:hanging="426"/>
      </w:pPr>
      <w:r>
        <w:t xml:space="preserve">The ACCC considered that the competition concerns identified above </w:t>
      </w:r>
      <w:r w:rsidR="001E25EF">
        <w:t xml:space="preserve">in relation to VQIRT and AAT </w:t>
      </w:r>
      <w:r>
        <w:t xml:space="preserve">could not be resolved through an open access regime established in a </w:t>
      </w:r>
      <w:r w:rsidR="001E25EF">
        <w:t>terminal</w:t>
      </w:r>
      <w:r>
        <w:t xml:space="preserve"> licence between Fremantle Ports and the successful bidder. This is because the terminal licence would</w:t>
      </w:r>
      <w:r w:rsidR="008B75A3" w:rsidRPr="00AA7153">
        <w:rPr>
          <w:rFonts w:cs="Arial"/>
        </w:rPr>
        <w:t xml:space="preserve"> not </w:t>
      </w:r>
      <w:r>
        <w:rPr>
          <w:rFonts w:cs="Arial"/>
        </w:rPr>
        <w:t xml:space="preserve">be </w:t>
      </w:r>
      <w:r w:rsidR="008B75A3" w:rsidRPr="00AA7153">
        <w:rPr>
          <w:rFonts w:cs="Arial"/>
        </w:rPr>
        <w:t xml:space="preserve">subject to independent oversight and enforcement. In addition, the ACCC was concerned that as </w:t>
      </w:r>
      <w:r>
        <w:rPr>
          <w:rFonts w:cs="Arial"/>
        </w:rPr>
        <w:t xml:space="preserve">the </w:t>
      </w:r>
      <w:r w:rsidR="001E25EF">
        <w:rPr>
          <w:rFonts w:cs="Arial"/>
        </w:rPr>
        <w:t xml:space="preserve">terminal </w:t>
      </w:r>
      <w:r>
        <w:rPr>
          <w:rFonts w:cs="Arial"/>
        </w:rPr>
        <w:t>licence</w:t>
      </w:r>
      <w:r w:rsidR="008B75A3" w:rsidRPr="00AA7153">
        <w:rPr>
          <w:rFonts w:cs="Arial"/>
        </w:rPr>
        <w:t xml:space="preserve"> </w:t>
      </w:r>
      <w:r>
        <w:rPr>
          <w:rFonts w:cs="Arial"/>
        </w:rPr>
        <w:t xml:space="preserve">is </w:t>
      </w:r>
      <w:r w:rsidR="008B75A3" w:rsidRPr="00AA7153">
        <w:rPr>
          <w:rFonts w:cs="Arial"/>
        </w:rPr>
        <w:t xml:space="preserve">a private agreement, </w:t>
      </w:r>
      <w:r w:rsidR="00951AD3">
        <w:rPr>
          <w:rFonts w:cs="Arial"/>
        </w:rPr>
        <w:t>it</w:t>
      </w:r>
      <w:r w:rsidR="008B75A3" w:rsidRPr="00AA7153">
        <w:rPr>
          <w:rFonts w:cs="Arial"/>
        </w:rPr>
        <w:t xml:space="preserve"> could be changed in the future</w:t>
      </w:r>
      <w:r w:rsidR="00951AD3">
        <w:rPr>
          <w:rFonts w:cs="Arial"/>
        </w:rPr>
        <w:t xml:space="preserve"> by agreement between the parties</w:t>
      </w:r>
      <w:r w:rsidR="008B75A3" w:rsidRPr="00AA7153">
        <w:rPr>
          <w:rFonts w:cs="Arial"/>
        </w:rPr>
        <w:t>.</w:t>
      </w:r>
    </w:p>
    <w:p w:rsidR="008B75A3" w:rsidRPr="0016276A" w:rsidRDefault="008B75A3" w:rsidP="008B75A3">
      <w:pPr>
        <w:pStyle w:val="Heading3"/>
      </w:pPr>
      <w:r w:rsidRPr="0016276A">
        <w:t>Undertaking</w:t>
      </w:r>
      <w:r w:rsidR="00E93D72">
        <w:t>s</w:t>
      </w:r>
    </w:p>
    <w:p w:rsidR="00847A0A" w:rsidRDefault="00847A0A" w:rsidP="000F7DFD">
      <w:pPr>
        <w:pStyle w:val="NormalParagraph"/>
        <w:tabs>
          <w:tab w:val="clear" w:pos="360"/>
          <w:tab w:val="num" w:pos="426"/>
        </w:tabs>
        <w:spacing w:after="200"/>
        <w:ind w:left="425" w:hanging="425"/>
      </w:pPr>
      <w:r>
        <w:t xml:space="preserve">Given the ACCC’s concerns with the deficiencies in the proposed open access regime, VQIRT and AAT each offered the ACCC separate court enforceable undertakings pursuant to section 87B of the Act to address the </w:t>
      </w:r>
      <w:r w:rsidRPr="0016276A">
        <w:t>competi</w:t>
      </w:r>
      <w:r>
        <w:t xml:space="preserve">tion </w:t>
      </w:r>
      <w:r>
        <w:lastRenderedPageBreak/>
        <w:t>concerns associated with each of VQIRT and AAT’s separate proposed acquisitions</w:t>
      </w:r>
      <w:r w:rsidRPr="00653EB5">
        <w:t xml:space="preserve"> </w:t>
      </w:r>
      <w:r>
        <w:t>in the context of section 50 of the Act.</w:t>
      </w:r>
    </w:p>
    <w:p w:rsidR="00847A0A" w:rsidRDefault="004C4664" w:rsidP="00847A0A">
      <w:pPr>
        <w:pStyle w:val="NormalParagraph"/>
        <w:tabs>
          <w:tab w:val="clear" w:pos="360"/>
          <w:tab w:val="num" w:pos="426"/>
        </w:tabs>
        <w:spacing w:after="200"/>
        <w:ind w:left="425" w:hanging="425"/>
      </w:pPr>
      <w:bookmarkStart w:id="7" w:name="Acquirer4"/>
      <w:bookmarkEnd w:id="7"/>
      <w:r>
        <w:t xml:space="preserve">Unlike the proposed open access regime, the obligations in the separate undertakings </w:t>
      </w:r>
      <w:bookmarkStart w:id="8" w:name="Acquirer5"/>
      <w:bookmarkEnd w:id="8"/>
      <w:r>
        <w:t xml:space="preserve">can be enforced and monitored by the ACCC. </w:t>
      </w:r>
      <w:r w:rsidR="00847A0A" w:rsidRPr="0016276A">
        <w:t xml:space="preserve">On </w:t>
      </w:r>
      <w:r w:rsidR="00847A0A">
        <w:t>2 April 2015, the ACCC accepted a court enforceable undertaking offered by VQIRT</w:t>
      </w:r>
      <w:r w:rsidR="00847A0A" w:rsidRPr="0016276A">
        <w:t xml:space="preserve"> </w:t>
      </w:r>
      <w:r w:rsidR="00847A0A">
        <w:t>under</w:t>
      </w:r>
      <w:r w:rsidR="00847A0A" w:rsidRPr="0016276A">
        <w:t xml:space="preserve"> section 87B of the Act. On </w:t>
      </w:r>
      <w:r w:rsidR="00847A0A">
        <w:t>23 April 2015, the ACCC accepted a court enforceable undertaking offered by AAT</w:t>
      </w:r>
      <w:r w:rsidR="00847A0A" w:rsidRPr="0016276A">
        <w:t xml:space="preserve"> </w:t>
      </w:r>
      <w:r w:rsidR="00847A0A">
        <w:t>under</w:t>
      </w:r>
      <w:r w:rsidR="00847A0A" w:rsidRPr="0016276A">
        <w:t xml:space="preserve"> section 87B of the Act. </w:t>
      </w:r>
    </w:p>
    <w:p w:rsidR="008B75A3" w:rsidRDefault="00855095" w:rsidP="00C56039">
      <w:pPr>
        <w:pStyle w:val="NormalParagraph"/>
        <w:tabs>
          <w:tab w:val="clear" w:pos="360"/>
          <w:tab w:val="num" w:pos="426"/>
        </w:tabs>
        <w:spacing w:after="200"/>
        <w:ind w:left="425" w:hanging="425"/>
      </w:pPr>
      <w:r>
        <w:t>Each</w:t>
      </w:r>
      <w:r w:rsidR="004C4664">
        <w:t xml:space="preserve"> undertaking aims to address the ACCC’s competition concerns</w:t>
      </w:r>
      <w:r w:rsidR="00847A0A">
        <w:t xml:space="preserve"> in the context of section 50 of the Act</w:t>
      </w:r>
      <w:r w:rsidR="004C4664">
        <w:t xml:space="preserve"> </w:t>
      </w:r>
      <w:r w:rsidR="00847A0A">
        <w:t xml:space="preserve">by requiring VQIRT or AAT, </w:t>
      </w:r>
      <w:r w:rsidR="00F56BF1">
        <w:t>whichever is</w:t>
      </w:r>
      <w:r w:rsidR="003A4A70">
        <w:t xml:space="preserve"> the successful bidder, to</w:t>
      </w:r>
      <w:r w:rsidR="008B75A3">
        <w:t>:</w:t>
      </w:r>
    </w:p>
    <w:p w:rsidR="008B75A3" w:rsidRPr="0001328C" w:rsidRDefault="008B75A3" w:rsidP="008B75A3">
      <w:pPr>
        <w:pStyle w:val="ListParagraph"/>
        <w:tabs>
          <w:tab w:val="clear" w:pos="360"/>
          <w:tab w:val="num" w:pos="927"/>
        </w:tabs>
        <w:ind w:left="924" w:hanging="357"/>
      </w:pPr>
      <w:r w:rsidRPr="0001328C">
        <w:t>compl</w:t>
      </w:r>
      <w:r>
        <w:t>y</w:t>
      </w:r>
      <w:r w:rsidRPr="0001328C">
        <w:t xml:space="preserve"> with open access conditions in </w:t>
      </w:r>
      <w:r w:rsidR="00363D0F">
        <w:t>their</w:t>
      </w:r>
      <w:r w:rsidR="00363D0F" w:rsidRPr="0001328C">
        <w:t xml:space="preserve"> </w:t>
      </w:r>
      <w:r w:rsidRPr="0001328C">
        <w:t xml:space="preserve">operation of the </w:t>
      </w:r>
      <w:r w:rsidR="00653EB5">
        <w:t>T</w:t>
      </w:r>
      <w:r w:rsidR="00653EB5" w:rsidRPr="0001328C">
        <w:t>erminal</w:t>
      </w:r>
      <w:r w:rsidRPr="0001328C">
        <w:t>;</w:t>
      </w:r>
    </w:p>
    <w:p w:rsidR="008B75A3" w:rsidRPr="0001328C" w:rsidRDefault="008B75A3" w:rsidP="008B75A3">
      <w:pPr>
        <w:pStyle w:val="ListParagraph"/>
        <w:tabs>
          <w:tab w:val="clear" w:pos="360"/>
          <w:tab w:val="num" w:pos="927"/>
        </w:tabs>
        <w:ind w:left="924" w:hanging="357"/>
      </w:pPr>
      <w:r w:rsidRPr="0001328C">
        <w:t xml:space="preserve">ring fence terminal users’ confidential information, to ensure </w:t>
      </w:r>
      <w:r w:rsidR="00951AD3">
        <w:t>it</w:t>
      </w:r>
      <w:r w:rsidRPr="0001328C">
        <w:t xml:space="preserve"> is not inappropriately </w:t>
      </w:r>
      <w:r w:rsidR="001E25EF">
        <w:t xml:space="preserve">used or </w:t>
      </w:r>
      <w:r w:rsidRPr="0001328C">
        <w:t>disclosed;</w:t>
      </w:r>
    </w:p>
    <w:p w:rsidR="008B75A3" w:rsidRPr="0001328C" w:rsidRDefault="008B75A3" w:rsidP="008B75A3">
      <w:pPr>
        <w:pStyle w:val="ListParagraph"/>
        <w:tabs>
          <w:tab w:val="clear" w:pos="360"/>
          <w:tab w:val="num" w:pos="927"/>
        </w:tabs>
        <w:ind w:left="924" w:hanging="357"/>
      </w:pPr>
      <w:r>
        <w:t>provide</w:t>
      </w:r>
      <w:r w:rsidRPr="0001328C">
        <w:t xml:space="preserve"> mechanisms for independent resolution of price and non-price related disputes if parties consider they have been discriminated against or have other concerns relating to the supply of terminal services by VQIRT</w:t>
      </w:r>
      <w:r w:rsidR="00ED2A54">
        <w:t xml:space="preserve"> or AAT</w:t>
      </w:r>
      <w:r w:rsidRPr="0001328C">
        <w:t>;</w:t>
      </w:r>
    </w:p>
    <w:p w:rsidR="008B75A3" w:rsidRPr="0001328C" w:rsidRDefault="008B75A3" w:rsidP="008B75A3">
      <w:pPr>
        <w:pStyle w:val="ListParagraph"/>
        <w:tabs>
          <w:tab w:val="clear" w:pos="360"/>
          <w:tab w:val="num" w:pos="927"/>
        </w:tabs>
        <w:ind w:left="924" w:hanging="357"/>
      </w:pPr>
      <w:r w:rsidRPr="0001328C">
        <w:t xml:space="preserve">provide for oversight of VQIRT’s </w:t>
      </w:r>
      <w:r w:rsidR="00ED2A54">
        <w:t xml:space="preserve">or AAT’s </w:t>
      </w:r>
      <w:r w:rsidRPr="0001328C">
        <w:t>compliance with the undertaking</w:t>
      </w:r>
      <w:r w:rsidR="00ED2A54">
        <w:t>s</w:t>
      </w:r>
      <w:r w:rsidRPr="0001328C">
        <w:t xml:space="preserve"> through self-reporting </w:t>
      </w:r>
      <w:r w:rsidR="00653EB5">
        <w:t xml:space="preserve">(including reporting on key performance indicators) </w:t>
      </w:r>
      <w:r w:rsidRPr="0001328C">
        <w:t>and the requirement for regular independent audits by an ACCC-approved auditor; and</w:t>
      </w:r>
    </w:p>
    <w:p w:rsidR="008B75A3" w:rsidRPr="0001328C" w:rsidRDefault="008B75A3" w:rsidP="008B75A3">
      <w:pPr>
        <w:pStyle w:val="ListParagraph"/>
        <w:tabs>
          <w:tab w:val="clear" w:pos="360"/>
          <w:tab w:val="num" w:pos="927"/>
        </w:tabs>
        <w:ind w:left="924" w:hanging="357"/>
      </w:pPr>
      <w:r w:rsidRPr="0001328C">
        <w:t>allow terminal users to request that an independent auditor conducts an audit check of VQIRT’s</w:t>
      </w:r>
      <w:r w:rsidR="00ED2A54">
        <w:t xml:space="preserve"> or AAT’s</w:t>
      </w:r>
      <w:r w:rsidRPr="0001328C">
        <w:t xml:space="preserve"> compliance with the undertaking at any time if a terminal user is concerned that VQIRT </w:t>
      </w:r>
      <w:r w:rsidR="00ED2A54">
        <w:t xml:space="preserve">or AAT </w:t>
      </w:r>
      <w:r w:rsidRPr="0001328C">
        <w:t>has breached its undertaking obligations.</w:t>
      </w:r>
    </w:p>
    <w:p w:rsidR="00AA7153" w:rsidRPr="0001328C" w:rsidRDefault="00AA7153" w:rsidP="00AA7153">
      <w:pPr>
        <w:pStyle w:val="NormalParagraph"/>
        <w:tabs>
          <w:tab w:val="clear" w:pos="360"/>
          <w:tab w:val="num" w:pos="426"/>
        </w:tabs>
        <w:ind w:left="426" w:hanging="426"/>
      </w:pPr>
      <w:r w:rsidRPr="009A6755">
        <w:rPr>
          <w:rFonts w:cs="Arial"/>
        </w:rPr>
        <w:t>Fremantle Ports will retain responsibility for berthing allocation and the provision of mooring services at the Terminal.</w:t>
      </w:r>
      <w:r>
        <w:rPr>
          <w:rFonts w:cs="Arial"/>
        </w:rPr>
        <w:t xml:space="preserve"> However, given that this may change over the term of the lease, </w:t>
      </w:r>
      <w:r w:rsidR="003D7723">
        <w:rPr>
          <w:rFonts w:cs="Arial"/>
        </w:rPr>
        <w:t>each</w:t>
      </w:r>
      <w:r>
        <w:rPr>
          <w:rFonts w:cs="Arial"/>
        </w:rPr>
        <w:t xml:space="preserve"> undertaking contain</w:t>
      </w:r>
      <w:r w:rsidR="003D7723">
        <w:rPr>
          <w:rFonts w:cs="Arial"/>
        </w:rPr>
        <w:t>s</w:t>
      </w:r>
      <w:r>
        <w:rPr>
          <w:rFonts w:cs="Arial"/>
        </w:rPr>
        <w:t xml:space="preserve"> a clause </w:t>
      </w:r>
      <w:r>
        <w:t xml:space="preserve">prohibiting VQIRT or AAT from </w:t>
      </w:r>
      <w:r w:rsidR="001E25EF">
        <w:t>being responsible</w:t>
      </w:r>
      <w:r>
        <w:t xml:space="preserve"> for berthing unless the ACCC accepts a</w:t>
      </w:r>
      <w:r w:rsidR="00276B4F">
        <w:t xml:space="preserve"> further section 87B</w:t>
      </w:r>
      <w:r>
        <w:t xml:space="preserve"> undertaking or a variation to the undertaking.</w:t>
      </w:r>
    </w:p>
    <w:p w:rsidR="00327277" w:rsidRDefault="0028124F" w:rsidP="00327277">
      <w:pPr>
        <w:pStyle w:val="NormalParagraph"/>
        <w:tabs>
          <w:tab w:val="clear" w:pos="360"/>
          <w:tab w:val="num" w:pos="426"/>
        </w:tabs>
        <w:ind w:left="426" w:hanging="426"/>
      </w:pPr>
      <w:r>
        <w:t>As</w:t>
      </w:r>
      <w:r w:rsidR="00327277" w:rsidRPr="00214C47">
        <w:t xml:space="preserve"> the undertaking</w:t>
      </w:r>
      <w:r w:rsidR="009F26EC">
        <w:t xml:space="preserve"> of the successful bidder is</w:t>
      </w:r>
      <w:r w:rsidR="00327277" w:rsidRPr="00214C47">
        <w:t xml:space="preserve"> expected to be in place </w:t>
      </w:r>
      <w:r w:rsidR="00327277">
        <w:t xml:space="preserve">for the length of the lease (a period of </w:t>
      </w:r>
      <w:r w:rsidR="002726B6">
        <w:t xml:space="preserve">approximately </w:t>
      </w:r>
      <w:r w:rsidR="00327277">
        <w:t>20 years)</w:t>
      </w:r>
      <w:r w:rsidR="00327277" w:rsidRPr="00214C47">
        <w:t xml:space="preserve">, the ACCC was concerned to </w:t>
      </w:r>
      <w:r w:rsidR="00327277" w:rsidRPr="00223C60">
        <w:t xml:space="preserve">ensure that </w:t>
      </w:r>
      <w:r w:rsidR="003D7723">
        <w:t xml:space="preserve">each of </w:t>
      </w:r>
      <w:r w:rsidR="00327277" w:rsidRPr="00223C60">
        <w:t>the undertaking</w:t>
      </w:r>
      <w:r w:rsidR="00327277">
        <w:t>s</w:t>
      </w:r>
      <w:r w:rsidR="00ED2A54">
        <w:t xml:space="preserve"> </w:t>
      </w:r>
      <w:r w:rsidR="003D7723">
        <w:t xml:space="preserve">can </w:t>
      </w:r>
      <w:r w:rsidR="00ED2A54">
        <w:t>continue to meet their</w:t>
      </w:r>
      <w:r w:rsidR="00327277" w:rsidRPr="00223C60">
        <w:t xml:space="preserve"> objectives throughout </w:t>
      </w:r>
      <w:r w:rsidR="001E25EF">
        <w:t>their</w:t>
      </w:r>
      <w:r w:rsidR="001E25EF" w:rsidRPr="00223C60">
        <w:t xml:space="preserve"> </w:t>
      </w:r>
      <w:r w:rsidR="00327277" w:rsidRPr="00223C60">
        <w:t xml:space="preserve">entire term. To address this concern, </w:t>
      </w:r>
      <w:r w:rsidR="003D7723">
        <w:t>each</w:t>
      </w:r>
      <w:r w:rsidR="00327277" w:rsidRPr="00223C60">
        <w:t xml:space="preserve"> undertaking </w:t>
      </w:r>
      <w:r w:rsidR="003D7723">
        <w:t>make</w:t>
      </w:r>
      <w:r w:rsidR="00893BEB">
        <w:t>s</w:t>
      </w:r>
      <w:r w:rsidR="003D7723">
        <w:t xml:space="preserve"> provision for </w:t>
      </w:r>
      <w:r w:rsidR="00951AD3">
        <w:t>it</w:t>
      </w:r>
      <w:r w:rsidR="003D7723">
        <w:t xml:space="preserve"> to</w:t>
      </w:r>
      <w:r w:rsidR="00327277" w:rsidRPr="00223C60">
        <w:t xml:space="preserve"> be </w:t>
      </w:r>
      <w:r w:rsidR="00327277" w:rsidRPr="00223C60">
        <w:rPr>
          <w:lang w:val="en"/>
        </w:rPr>
        <w:t xml:space="preserve">publicly reviewed by the ACCC two years after commencement and no more than once in </w:t>
      </w:r>
      <w:r w:rsidR="00CB00A1">
        <w:rPr>
          <w:lang w:val="en"/>
        </w:rPr>
        <w:t xml:space="preserve">each </w:t>
      </w:r>
      <w:r w:rsidR="00327277" w:rsidRPr="00223C60">
        <w:rPr>
          <w:lang w:val="en"/>
        </w:rPr>
        <w:t>five year</w:t>
      </w:r>
      <w:r w:rsidR="00327277">
        <w:rPr>
          <w:lang w:val="en"/>
        </w:rPr>
        <w:t xml:space="preserve"> interval</w:t>
      </w:r>
      <w:r w:rsidR="00327277" w:rsidRPr="00223C60">
        <w:rPr>
          <w:lang w:val="en"/>
        </w:rPr>
        <w:t xml:space="preserve"> thereafter</w:t>
      </w:r>
      <w:r w:rsidR="00327277">
        <w:t xml:space="preserve">. </w:t>
      </w:r>
    </w:p>
    <w:p w:rsidR="00BE61B9" w:rsidRDefault="00876CF2" w:rsidP="00A760BB">
      <w:pPr>
        <w:pStyle w:val="NormalParagraph"/>
        <w:tabs>
          <w:tab w:val="clear" w:pos="360"/>
          <w:tab w:val="num" w:pos="426"/>
        </w:tabs>
        <w:ind w:left="426" w:hanging="426"/>
      </w:pPr>
      <w:r>
        <w:t>During the ACCC’s reviews of the proposed acquisitions</w:t>
      </w:r>
      <w:r w:rsidR="000F7DFD">
        <w:t>,</w:t>
      </w:r>
      <w:r>
        <w:t xml:space="preserve"> market participants expressed significant concerns about the decision</w:t>
      </w:r>
      <w:r w:rsidR="00D97E60">
        <w:t xml:space="preserve"> by Fremantle Ports</w:t>
      </w:r>
      <w:r>
        <w:t xml:space="preserve"> to offer a </w:t>
      </w:r>
      <w:r w:rsidR="008A52EF">
        <w:t>long</w:t>
      </w:r>
      <w:r w:rsidR="000F7DFD">
        <w:t xml:space="preserve"> </w:t>
      </w:r>
      <w:r w:rsidR="008A52EF">
        <w:t>term</w:t>
      </w:r>
      <w:r>
        <w:t xml:space="preserve"> lease for the Terminal. Effectively, </w:t>
      </w:r>
      <w:r w:rsidR="008A52EF">
        <w:t>the</w:t>
      </w:r>
      <w:r>
        <w:t xml:space="preserve"> lease </w:t>
      </w:r>
      <w:r w:rsidR="008A52EF">
        <w:t>will</w:t>
      </w:r>
      <w:r>
        <w:t xml:space="preserve"> transfer a monopoly asset from the Western Australian Government to private ownership.</w:t>
      </w:r>
      <w:r w:rsidR="008A52EF">
        <w:t xml:space="preserve"> Without adequate protections, terminal users may be subject to monopoly pricing and/or declining service levels</w:t>
      </w:r>
      <w:r w:rsidR="0099445B">
        <w:t>, with flow-on effects to downstream parties such as car manufacturers and ultimately consumers</w:t>
      </w:r>
      <w:r w:rsidR="008A52EF">
        <w:t xml:space="preserve">. </w:t>
      </w:r>
    </w:p>
    <w:p w:rsidR="006E64D8" w:rsidRDefault="006E64D8" w:rsidP="003A7F4B">
      <w:pPr>
        <w:pStyle w:val="NormalParagraph"/>
        <w:tabs>
          <w:tab w:val="clear" w:pos="360"/>
          <w:tab w:val="num" w:pos="426"/>
        </w:tabs>
        <w:ind w:left="426" w:hanging="426"/>
      </w:pPr>
      <w:r>
        <w:lastRenderedPageBreak/>
        <w:t xml:space="preserve">The undertakings given by VQIRT and AAT comprehensively address the section 50 competition concerns arising from the proposed acquisitions. However, merger remedies cannot address all competition issues arising from the monopoly characteristics of an asset that exist regardless of who owns it. </w:t>
      </w:r>
    </w:p>
    <w:p w:rsidR="006E64D8" w:rsidRPr="00742A57" w:rsidRDefault="006E64D8" w:rsidP="003A7F4B">
      <w:pPr>
        <w:pStyle w:val="NormalParagraph"/>
        <w:tabs>
          <w:tab w:val="clear" w:pos="360"/>
          <w:tab w:val="num" w:pos="426"/>
        </w:tabs>
        <w:ind w:left="426" w:hanging="426"/>
      </w:pPr>
      <w:r>
        <w:t>Where an infrastructure asset such as a port has natural monopoly characteristics, the sale of that asset transfers any market power arising from the ownership of the asset from one party to another. In these circumstances, merger remedies do not provide an adequate mechanism for addressing any underlying monopoly pricing concerns.</w:t>
      </w:r>
    </w:p>
    <w:p w:rsidR="006E64D8" w:rsidRPr="00A760BB" w:rsidRDefault="006E64D8" w:rsidP="003A7F4B">
      <w:pPr>
        <w:pStyle w:val="NormalParagraph"/>
        <w:tabs>
          <w:tab w:val="clear" w:pos="360"/>
          <w:tab w:val="num" w:pos="426"/>
        </w:tabs>
        <w:ind w:left="426" w:hanging="426"/>
      </w:pPr>
      <w:r>
        <w:t xml:space="preserve">It may be more appropriate in these circumstances for monopoly pricing concerns to be addressed under Part IIIA of the Act. Part IIIA sets out a regime which governs access to </w:t>
      </w:r>
      <w:r w:rsidR="00951AD3">
        <w:t xml:space="preserve">monopoly </w:t>
      </w:r>
      <w:r>
        <w:t xml:space="preserve">infrastructure services throughout Australia. It is designed to address concerns through a public assessment process in industries where an infrastructure asset with natural monopoly characteristics forms a bottleneck for firms operating in upstream or downstream markets.  </w:t>
      </w:r>
    </w:p>
    <w:p w:rsidR="00AF1C87" w:rsidRDefault="003E7CE3" w:rsidP="006A7FE8">
      <w:pPr>
        <w:pStyle w:val="Heading3"/>
      </w:pPr>
      <w:r>
        <w:t xml:space="preserve">Conclusion </w:t>
      </w:r>
    </w:p>
    <w:p w:rsidR="00DF5449" w:rsidRPr="0016276A" w:rsidRDefault="00DF5449" w:rsidP="008B75A3">
      <w:pPr>
        <w:pStyle w:val="NormalParagraph"/>
        <w:tabs>
          <w:tab w:val="clear" w:pos="360"/>
          <w:tab w:val="num" w:pos="426"/>
        </w:tabs>
        <w:ind w:left="426" w:hanging="426"/>
      </w:pPr>
      <w:r w:rsidRPr="0016276A">
        <w:t xml:space="preserve">On the basis of the above, including taking into account the undertaking given by </w:t>
      </w:r>
      <w:r>
        <w:t xml:space="preserve">VQIRT and </w:t>
      </w:r>
      <w:r w:rsidR="00893BEB">
        <w:t xml:space="preserve">the undertaking given by </w:t>
      </w:r>
      <w:r>
        <w:t>AAT</w:t>
      </w:r>
      <w:r w:rsidRPr="0016276A">
        <w:t xml:space="preserve"> </w:t>
      </w:r>
      <w:r w:rsidR="00295D12">
        <w:t>which were</w:t>
      </w:r>
      <w:r w:rsidR="00295D12" w:rsidRPr="0016276A">
        <w:t xml:space="preserve"> </w:t>
      </w:r>
      <w:r w:rsidRPr="0016276A">
        <w:t xml:space="preserve">accepted by the ACCC, the ACCC formed the view that the </w:t>
      </w:r>
      <w:r>
        <w:t xml:space="preserve">proposed acquisition of the long term lease of the new automotive and </w:t>
      </w:r>
      <w:proofErr w:type="spellStart"/>
      <w:r>
        <w:t>RoRo</w:t>
      </w:r>
      <w:proofErr w:type="spellEnd"/>
      <w:r>
        <w:t xml:space="preserve"> terminal at the Port of Fremantle by either VQIRT or AAT</w:t>
      </w:r>
      <w:r w:rsidRPr="0016276A">
        <w:t xml:space="preserve"> would not have the effect or be likely to have the effect of substantially lessening competition in any relevant market in contravention of section 50 of the Act.</w:t>
      </w:r>
    </w:p>
    <w:sectPr w:rsidR="00DF5449" w:rsidRPr="0016276A">
      <w:headerReference w:type="even" r:id="rId11"/>
      <w:headerReference w:type="default" r:id="rId12"/>
      <w:footerReference w:type="even" r:id="rId13"/>
      <w:footerReference w:type="default" r:id="rId14"/>
      <w:headerReference w:type="first" r:id="rId15"/>
      <w:footerReference w:type="first" r:id="rId16"/>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4B74" w:rsidRDefault="00F84B74">
      <w:r>
        <w:separator/>
      </w:r>
    </w:p>
  </w:endnote>
  <w:endnote w:type="continuationSeparator" w:id="0">
    <w:p w:rsidR="00F84B74" w:rsidRDefault="00F84B74">
      <w:r>
        <w:continuationSeparator/>
      </w:r>
    </w:p>
  </w:endnote>
  <w:endnote w:type="continuationNotice" w:id="1">
    <w:p w:rsidR="00F84B74" w:rsidRDefault="00F84B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7DB1" w:rsidRDefault="001F7DB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366" w:rsidRPr="00D11F62" w:rsidRDefault="00E81366" w:rsidP="00E81366">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1E4266">
      <w:rPr>
        <w:rFonts w:ascii="Arial" w:hAnsi="Arial" w:cs="Arial"/>
        <w:b/>
        <w:noProof/>
        <w:sz w:val="22"/>
        <w:szCs w:val="22"/>
      </w:rPr>
      <w:t>10</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1E4266">
      <w:rPr>
        <w:rFonts w:ascii="Arial" w:hAnsi="Arial" w:cs="Arial"/>
        <w:b/>
        <w:noProof/>
        <w:sz w:val="22"/>
        <w:szCs w:val="22"/>
      </w:rPr>
      <w:t>10</w:t>
    </w:r>
    <w:r w:rsidRPr="00D11F62">
      <w:rPr>
        <w:rFonts w:ascii="Arial" w:hAnsi="Arial" w:cs="Arial"/>
        <w:b/>
        <w:sz w:val="22"/>
        <w:szCs w:val="22"/>
      </w:rPr>
      <w:fldChar w:fldCharType="end"/>
    </w:r>
  </w:p>
  <w:p w:rsidR="00E81366" w:rsidRDefault="00E8136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1366" w:rsidRPr="00D11F62" w:rsidRDefault="00E81366" w:rsidP="00E81366">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1E4266">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1E4266">
      <w:rPr>
        <w:rFonts w:ascii="Arial" w:hAnsi="Arial" w:cs="Arial"/>
        <w:b/>
        <w:noProof/>
        <w:sz w:val="22"/>
        <w:szCs w:val="22"/>
      </w:rPr>
      <w:t>10</w:t>
    </w:r>
    <w:r w:rsidRPr="00D11F62">
      <w:rPr>
        <w:rFonts w:ascii="Arial" w:hAnsi="Arial" w:cs="Arial"/>
        <w:b/>
        <w:sz w:val="22"/>
        <w:szCs w:val="22"/>
      </w:rPr>
      <w:fldChar w:fldCharType="end"/>
    </w:r>
  </w:p>
  <w:p w:rsidR="00B842B5" w:rsidRPr="00771A87" w:rsidRDefault="00B842B5" w:rsidP="00771A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4B74" w:rsidRDefault="00F84B74">
      <w:r>
        <w:separator/>
      </w:r>
    </w:p>
  </w:footnote>
  <w:footnote w:type="continuationSeparator" w:id="0">
    <w:p w:rsidR="00F84B74" w:rsidRDefault="00F84B74">
      <w:r>
        <w:continuationSeparator/>
      </w:r>
    </w:p>
  </w:footnote>
  <w:footnote w:type="continuationNotice" w:id="1">
    <w:p w:rsidR="00F84B74" w:rsidRDefault="00F84B74"/>
  </w:footnote>
  <w:footnote w:id="2">
    <w:p w:rsidR="00F84B74" w:rsidRPr="00F84B74" w:rsidRDefault="00F84B74" w:rsidP="00F84B74">
      <w:pPr>
        <w:pStyle w:val="FootnoteText"/>
        <w:ind w:left="0" w:firstLine="0"/>
        <w:rPr>
          <w:rFonts w:ascii="Arial" w:hAnsi="Arial" w:cs="Arial"/>
          <w:sz w:val="18"/>
          <w:szCs w:val="18"/>
        </w:rPr>
      </w:pPr>
      <w:r w:rsidRPr="00F84B74">
        <w:rPr>
          <w:rStyle w:val="FootnoteReference"/>
          <w:rFonts w:ascii="Arial" w:hAnsi="Arial" w:cs="Arial"/>
          <w:szCs w:val="18"/>
        </w:rPr>
        <w:footnoteRef/>
      </w:r>
      <w:r w:rsidRPr="00F84B74">
        <w:rPr>
          <w:rFonts w:ascii="Arial" w:hAnsi="Arial" w:cs="Arial"/>
          <w:sz w:val="18"/>
          <w:szCs w:val="18"/>
        </w:rPr>
        <w:t xml:space="preserve"> </w:t>
      </w:r>
      <w:r>
        <w:rPr>
          <w:rFonts w:ascii="Arial" w:hAnsi="Arial" w:cs="Arial"/>
          <w:sz w:val="18"/>
          <w:szCs w:val="18"/>
        </w:rPr>
        <w:t>AAT will cease operating at the Port of Melbourne</w:t>
      </w:r>
      <w:r w:rsidRPr="00F84B74">
        <w:rPr>
          <w:rFonts w:ascii="Arial" w:hAnsi="Arial" w:cs="Arial"/>
          <w:sz w:val="18"/>
          <w:szCs w:val="18"/>
        </w:rPr>
        <w:t xml:space="preserve"> </w:t>
      </w:r>
      <w:r w:rsidRPr="00C56039">
        <w:rPr>
          <w:rFonts w:ascii="Arial" w:hAnsi="Arial" w:cs="Arial"/>
          <w:sz w:val="18"/>
          <w:szCs w:val="18"/>
        </w:rPr>
        <w:t>once consolidation</w:t>
      </w:r>
      <w:r w:rsidR="00A760BB" w:rsidRPr="00C56039">
        <w:rPr>
          <w:rFonts w:ascii="Arial" w:hAnsi="Arial" w:cs="Arial"/>
          <w:sz w:val="18"/>
          <w:szCs w:val="18"/>
        </w:rPr>
        <w:t xml:space="preserve"> </w:t>
      </w:r>
      <w:r w:rsidRPr="00C56039">
        <w:rPr>
          <w:rFonts w:ascii="Arial" w:hAnsi="Arial" w:cs="Arial"/>
          <w:sz w:val="18"/>
          <w:szCs w:val="18"/>
        </w:rPr>
        <w:t>is complete</w:t>
      </w:r>
      <w:r w:rsidR="00BD3354">
        <w:rPr>
          <w:rFonts w:ascii="Arial" w:hAnsi="Arial" w:cs="Arial"/>
          <w:sz w:val="18"/>
          <w:szCs w:val="18"/>
        </w:rPr>
        <w:t xml:space="preserve"> </w:t>
      </w:r>
      <w:r w:rsidRPr="00F84B74">
        <w:rPr>
          <w:rFonts w:ascii="Arial" w:hAnsi="Arial" w:cs="Arial"/>
          <w:sz w:val="18"/>
          <w:szCs w:val="18"/>
        </w:rPr>
        <w:t>and MIRRAT is fully operational</w:t>
      </w:r>
      <w:r>
        <w:rPr>
          <w:rFonts w:ascii="Arial" w:hAnsi="Arial" w:cs="Arial"/>
          <w:sz w:val="18"/>
          <w:szCs w:val="18"/>
        </w:rPr>
        <w:t>.</w:t>
      </w:r>
    </w:p>
  </w:footnote>
  <w:footnote w:id="3">
    <w:p w:rsidR="0009525D" w:rsidRPr="00F84B74" w:rsidRDefault="0009525D" w:rsidP="007132F8">
      <w:pPr>
        <w:pStyle w:val="FootnoteText"/>
        <w:ind w:left="0" w:firstLine="0"/>
        <w:rPr>
          <w:rFonts w:ascii="Arial" w:hAnsi="Arial" w:cs="Arial"/>
          <w:sz w:val="18"/>
          <w:szCs w:val="18"/>
        </w:rPr>
      </w:pPr>
      <w:r w:rsidRPr="00F84B74">
        <w:rPr>
          <w:rStyle w:val="FootnoteReference"/>
          <w:rFonts w:ascii="Arial" w:hAnsi="Arial" w:cs="Arial"/>
          <w:szCs w:val="18"/>
        </w:rPr>
        <w:footnoteRef/>
      </w:r>
      <w:r w:rsidRPr="00F84B74">
        <w:rPr>
          <w:rFonts w:ascii="Arial" w:hAnsi="Arial" w:cs="Arial"/>
          <w:sz w:val="18"/>
          <w:szCs w:val="18"/>
        </w:rPr>
        <w:t xml:space="preserve">  Other ports in Australia, including Darwin and Townsville, also have terminals </w:t>
      </w:r>
      <w:r w:rsidR="00CC5A23" w:rsidRPr="00F84B74">
        <w:rPr>
          <w:rFonts w:ascii="Arial" w:hAnsi="Arial" w:cs="Arial"/>
          <w:sz w:val="18"/>
          <w:szCs w:val="18"/>
        </w:rPr>
        <w:t xml:space="preserve">that are in part </w:t>
      </w:r>
      <w:r w:rsidRPr="00F84B74">
        <w:rPr>
          <w:rFonts w:ascii="Arial" w:hAnsi="Arial" w:cs="Arial"/>
          <w:sz w:val="18"/>
          <w:szCs w:val="18"/>
        </w:rPr>
        <w:t>used for automotive trade</w:t>
      </w:r>
      <w:r w:rsidR="00CC5A23" w:rsidRPr="00F84B74">
        <w:rPr>
          <w:rFonts w:ascii="Arial" w:hAnsi="Arial" w:cs="Arial"/>
          <w:sz w:val="18"/>
          <w:szCs w:val="18"/>
        </w:rPr>
        <w:t>. Only</w:t>
      </w:r>
      <w:r w:rsidRPr="00F84B74">
        <w:rPr>
          <w:rFonts w:ascii="Arial" w:hAnsi="Arial" w:cs="Arial"/>
          <w:sz w:val="18"/>
          <w:szCs w:val="18"/>
        </w:rPr>
        <w:t xml:space="preserve"> a relatively small proportion of automotive trade goes through those ports.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7DB1" w:rsidRDefault="001F7D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2B5" w:rsidRPr="001E2914" w:rsidRDefault="00B842B5">
    <w:pPr>
      <w:pStyle w:val="Header"/>
      <w:jc w:val="right"/>
      <w:rPr>
        <w:rFonts w:ascii="Arial" w:hAnsi="Arial" w:cs="Arial"/>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7DB1" w:rsidRDefault="001F7D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8E8FBF0"/>
    <w:lvl w:ilvl="0">
      <w:start w:val="1"/>
      <w:numFmt w:val="bullet"/>
      <w:lvlText w:val=""/>
      <w:lvlJc w:val="left"/>
      <w:pPr>
        <w:tabs>
          <w:tab w:val="num" w:pos="360"/>
        </w:tabs>
        <w:ind w:left="360" w:hanging="360"/>
      </w:pPr>
      <w:rPr>
        <w:rFonts w:ascii="Symbol" w:hAnsi="Symbol" w:hint="default"/>
      </w:rPr>
    </w:lvl>
  </w:abstractNum>
  <w:abstractNum w:abstractNumId="1">
    <w:nsid w:val="09ED6A09"/>
    <w:multiLevelType w:val="hybridMultilevel"/>
    <w:tmpl w:val="314ED5A2"/>
    <w:lvl w:ilvl="0" w:tplc="EE8ADAD4">
      <w:start w:val="1"/>
      <w:numFmt w:val="decimal"/>
      <w:pStyle w:val="NormalNumbered3"/>
      <w:lvlText w:val="3.%1"/>
      <w:lvlJc w:val="left"/>
      <w:pPr>
        <w:ind w:left="1440" w:hanging="360"/>
      </w:pPr>
      <w:rPr>
        <w:rFonts w:hint="default"/>
        <w:color w:val="auto"/>
      </w:rPr>
    </w:lvl>
    <w:lvl w:ilvl="1" w:tplc="4F04C6AA">
      <w:start w:val="1"/>
      <w:numFmt w:val="lowerLetter"/>
      <w:lvlText w:val="%2."/>
      <w:lvlJc w:val="left"/>
      <w:pPr>
        <w:ind w:left="2160" w:hanging="360"/>
      </w:pPr>
      <w:rPr>
        <w:color w:val="auto"/>
      </w:r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113F5B72"/>
    <w:multiLevelType w:val="multilevel"/>
    <w:tmpl w:val="D930A190"/>
    <w:lvl w:ilvl="0">
      <w:start w:val="1"/>
      <w:numFmt w:val="decimal"/>
      <w:pStyle w:val="Heading3Number"/>
      <w:lvlText w:val="%1."/>
      <w:lvlJc w:val="left"/>
      <w:pPr>
        <w:ind w:left="360" w:hanging="360"/>
      </w:pPr>
    </w:lvl>
    <w:lvl w:ilvl="1">
      <w:start w:val="1"/>
      <w:numFmt w:val="decimal"/>
      <w:isLgl/>
      <w:lvlText w:val="%1.%2"/>
      <w:lvlJc w:val="left"/>
      <w:pPr>
        <w:ind w:left="1080" w:hanging="360"/>
      </w:pPr>
      <w:rPr>
        <w:rFonts w:hint="default"/>
        <w:b w:val="0"/>
        <w:color w:val="auto"/>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3">
    <w:nsid w:val="16143D52"/>
    <w:multiLevelType w:val="hybridMultilevel"/>
    <w:tmpl w:val="3CB42824"/>
    <w:lvl w:ilvl="0" w:tplc="3FEA490A">
      <w:start w:val="1"/>
      <w:numFmt w:val="bullet"/>
      <w:pStyle w:val="Style1"/>
      <w:lvlText w:val="&gt;"/>
      <w:lvlJc w:val="left"/>
      <w:pPr>
        <w:ind w:left="720" w:hanging="360"/>
      </w:pPr>
      <w:rPr>
        <w:rFonts w:ascii="Arial"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5">
    <w:nsid w:val="21805366"/>
    <w:multiLevelType w:val="hybridMultilevel"/>
    <w:tmpl w:val="CD96AA72"/>
    <w:lvl w:ilvl="0" w:tplc="5B36B4E2">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26042DE1"/>
    <w:multiLevelType w:val="hybridMultilevel"/>
    <w:tmpl w:val="03B69560"/>
    <w:lvl w:ilvl="0" w:tplc="FCF4C46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nsid w:val="420D3B16"/>
    <w:multiLevelType w:val="hybridMultilevel"/>
    <w:tmpl w:val="0476851A"/>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8">
    <w:nsid w:val="42CA085C"/>
    <w:multiLevelType w:val="singleLevel"/>
    <w:tmpl w:val="BF74712C"/>
    <w:lvl w:ilvl="0">
      <w:start w:val="1"/>
      <w:numFmt w:val="bullet"/>
      <w:pStyle w:val="ListBullet"/>
      <w:lvlText w:val=""/>
      <w:lvlJc w:val="left"/>
      <w:pPr>
        <w:tabs>
          <w:tab w:val="num" w:pos="360"/>
        </w:tabs>
        <w:ind w:left="360" w:hanging="360"/>
      </w:pPr>
      <w:rPr>
        <w:rFonts w:ascii="Wingdings" w:hAnsi="Wingdings" w:hint="default"/>
        <w:sz w:val="28"/>
      </w:rPr>
    </w:lvl>
  </w:abstractNum>
  <w:abstractNum w:abstractNumId="9">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10">
    <w:nsid w:val="44E305FB"/>
    <w:multiLevelType w:val="multilevel"/>
    <w:tmpl w:val="B458313E"/>
    <w:lvl w:ilvl="0">
      <w:start w:val="1"/>
      <w:numFmt w:val="decimal"/>
      <w:pStyle w:val="NormalParagraph"/>
      <w:lvlText w:val="%1."/>
      <w:lvlJc w:val="left"/>
      <w:pPr>
        <w:tabs>
          <w:tab w:val="num" w:pos="360"/>
        </w:tabs>
        <w:ind w:left="360" w:hanging="360"/>
      </w:pPr>
      <w:rPr>
        <w:rFonts w:hint="default"/>
        <w:b w:val="0"/>
        <w:sz w:val="22"/>
        <w:szCs w:val="22"/>
      </w:rPr>
    </w:lvl>
    <w:lvl w:ilvl="1">
      <w:start w:val="1"/>
      <w:numFmt w:val="bullet"/>
      <w:lvlText w:val=""/>
      <w:lvlJc w:val="left"/>
      <w:pPr>
        <w:tabs>
          <w:tab w:val="num" w:pos="720"/>
        </w:tabs>
        <w:ind w:left="720" w:hanging="360"/>
      </w:pPr>
      <w:rPr>
        <w:rFonts w:ascii="Wingdings" w:hAnsi="Wingdings" w:hint="default"/>
        <w:sz w:val="22"/>
        <w:szCs w:val="2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nsid w:val="4A6D70A8"/>
    <w:multiLevelType w:val="hybridMultilevel"/>
    <w:tmpl w:val="59684DF2"/>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52CE7D9C"/>
    <w:multiLevelType w:val="multilevel"/>
    <w:tmpl w:val="C968366A"/>
    <w:lvl w:ilvl="0">
      <w:start w:val="1"/>
      <w:numFmt w:val="decimal"/>
      <w:pStyle w:val="HeadNumb"/>
      <w:lvlText w:val="%1."/>
      <w:lvlJc w:val="left"/>
      <w:pPr>
        <w:tabs>
          <w:tab w:val="num" w:pos="397"/>
        </w:tabs>
        <w:ind w:left="397" w:hanging="397"/>
      </w:pPr>
      <w:rPr>
        <w:rFonts w:ascii="Arial Bold" w:hAnsi="Arial Bold" w:hint="default"/>
        <w:b/>
        <w:i w:val="0"/>
        <w:caps w:val="0"/>
        <w:strike w:val="0"/>
        <w:dstrike w:val="0"/>
        <w:outline w:val="0"/>
        <w:shadow w:val="0"/>
        <w:emboss w:val="0"/>
        <w:imprint w:val="0"/>
        <w:vanish w:val="0"/>
        <w:sz w:val="18"/>
        <w:szCs w:val="18"/>
        <w:vertAlign w:val="baseline"/>
      </w:rPr>
    </w:lvl>
    <w:lvl w:ilvl="1">
      <w:start w:val="1"/>
      <w:numFmt w:val="decimal"/>
      <w:pStyle w:val="SecondlevelNumb"/>
      <w:lvlText w:val="%1.%2"/>
      <w:lvlJc w:val="left"/>
      <w:pPr>
        <w:tabs>
          <w:tab w:val="num" w:pos="567"/>
        </w:tabs>
        <w:ind w:left="964" w:hanging="397"/>
      </w:pPr>
      <w:rPr>
        <w:rFonts w:ascii="Arial" w:hAnsi="Arial" w:hint="default"/>
        <w:b w:val="0"/>
        <w:i w:val="0"/>
        <w:caps w:val="0"/>
        <w:strike w:val="0"/>
        <w:dstrike w:val="0"/>
        <w:outline w:val="0"/>
        <w:shadow w:val="0"/>
        <w:emboss w:val="0"/>
        <w:imprint w:val="0"/>
        <w:vanish w:val="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outline w:val="0"/>
        <w:shadow w:val="0"/>
        <w:emboss w:val="0"/>
        <w:imprint w:val="0"/>
        <w:vanish w:val="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outline w:val="0"/>
        <w:shadow w:val="0"/>
        <w:emboss w:val="0"/>
        <w:imprint w:val="0"/>
        <w:vanish w:val="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outline w:val="0"/>
        <w:shadow w:val="0"/>
        <w:emboss w:val="0"/>
        <w:imprint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outline w:val="0"/>
        <w:shadow w:val="0"/>
        <w:emboss w:val="0"/>
        <w:imprint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nsid w:val="60E74735"/>
    <w:multiLevelType w:val="multilevel"/>
    <w:tmpl w:val="63C2991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DBC0D61"/>
    <w:multiLevelType w:val="hybridMultilevel"/>
    <w:tmpl w:val="0E7CF282"/>
    <w:lvl w:ilvl="0" w:tplc="F6523AE6">
      <w:start w:val="1"/>
      <w:numFmt w:val="decimal"/>
      <w:lvlText w:val="%1."/>
      <w:lvlJc w:val="left"/>
      <w:pPr>
        <w:tabs>
          <w:tab w:val="num" w:pos="360"/>
        </w:tabs>
        <w:ind w:left="360" w:hanging="360"/>
      </w:pPr>
      <w:rPr>
        <w:rFonts w:ascii="Arial" w:hAnsi="Arial" w:cs="Arial" w:hint="default"/>
        <w:i w:val="0"/>
        <w:color w:val="auto"/>
        <w:sz w:val="22"/>
        <w:szCs w:val="22"/>
      </w:rPr>
    </w:lvl>
    <w:lvl w:ilvl="1" w:tplc="0C090005">
      <w:start w:val="1"/>
      <w:numFmt w:val="bullet"/>
      <w:lvlText w:val=""/>
      <w:lvlJc w:val="left"/>
      <w:pPr>
        <w:tabs>
          <w:tab w:val="num" w:pos="1080"/>
        </w:tabs>
        <w:ind w:left="1080" w:hanging="360"/>
      </w:pPr>
      <w:rPr>
        <w:rFonts w:ascii="Wingdings" w:hAnsi="Wingdings" w:hint="default"/>
        <w:b/>
        <w:sz w:val="22"/>
        <w:szCs w:val="22"/>
      </w:rPr>
    </w:lvl>
    <w:lvl w:ilvl="2" w:tplc="0C090001">
      <w:start w:val="1"/>
      <w:numFmt w:val="bullet"/>
      <w:lvlText w:val=""/>
      <w:lvlJc w:val="left"/>
      <w:pPr>
        <w:tabs>
          <w:tab w:val="num" w:pos="1800"/>
        </w:tabs>
        <w:ind w:left="1800" w:hanging="360"/>
      </w:pPr>
      <w:rPr>
        <w:rFonts w:ascii="Symbol" w:hAnsi="Symbol" w:hint="default"/>
      </w:rPr>
    </w:lvl>
    <w:lvl w:ilvl="3" w:tplc="FEB63544">
      <w:start w:val="1"/>
      <w:numFmt w:val="decimal"/>
      <w:lvlText w:val="%4."/>
      <w:lvlJc w:val="left"/>
      <w:pPr>
        <w:ind w:left="2520" w:hanging="360"/>
      </w:pPr>
      <w:rPr>
        <w:rFonts w:hint="default"/>
      </w:rPr>
    </w:lvl>
    <w:lvl w:ilvl="4" w:tplc="18BE7D3E">
      <w:start w:val="5"/>
      <w:numFmt w:val="bullet"/>
      <w:lvlText w:val="-"/>
      <w:lvlJc w:val="left"/>
      <w:pPr>
        <w:ind w:left="3240" w:hanging="360"/>
      </w:pPr>
      <w:rPr>
        <w:rFonts w:ascii="Times New Roman" w:eastAsia="Times New Roman" w:hAnsi="Times New Roman" w:cs="Times New Roman"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num w:numId="1">
    <w:abstractNumId w:val="10"/>
  </w:num>
  <w:num w:numId="2">
    <w:abstractNumId w:val="9"/>
  </w:num>
  <w:num w:numId="3">
    <w:abstractNumId w:val="4"/>
  </w:num>
  <w:num w:numId="4">
    <w:abstractNumId w:val="8"/>
  </w:num>
  <w:num w:numId="5">
    <w:abstractNumId w:val="6"/>
  </w:num>
  <w:num w:numId="6">
    <w:abstractNumId w:val="5"/>
  </w:num>
  <w:num w:numId="7">
    <w:abstractNumId w:val="12"/>
  </w:num>
  <w:num w:numId="8">
    <w:abstractNumId w:val="14"/>
  </w:num>
  <w:num w:numId="9">
    <w:abstractNumId w:val="2"/>
  </w:num>
  <w:num w:numId="10">
    <w:abstractNumId w:val="1"/>
  </w:num>
  <w:num w:numId="11">
    <w:abstractNumId w:val="11"/>
  </w:num>
  <w:num w:numId="12">
    <w:abstractNumId w:val="3"/>
  </w:num>
  <w:num w:numId="13">
    <w:abstractNumId w:val="8"/>
  </w:num>
  <w:num w:numId="14">
    <w:abstractNumId w:val="10"/>
  </w:num>
  <w:num w:numId="15">
    <w:abstractNumId w:val="8"/>
  </w:num>
  <w:num w:numId="16">
    <w:abstractNumId w:val="10"/>
  </w:num>
  <w:num w:numId="17">
    <w:abstractNumId w:val="10"/>
  </w:num>
  <w:num w:numId="18">
    <w:abstractNumId w:val="10"/>
  </w:num>
  <w:num w:numId="19">
    <w:abstractNumId w:val="8"/>
  </w:num>
  <w:num w:numId="20">
    <w:abstractNumId w:val="10"/>
  </w:num>
  <w:num w:numId="21">
    <w:abstractNumId w:val="10"/>
  </w:num>
  <w:num w:numId="22">
    <w:abstractNumId w:val="10"/>
  </w:num>
  <w:num w:numId="23">
    <w:abstractNumId w:val="1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10"/>
  </w:num>
  <w:num w:numId="26">
    <w:abstractNumId w:val="8"/>
  </w:num>
  <w:num w:numId="27">
    <w:abstractNumId w:val="10"/>
  </w:num>
  <w:num w:numId="28">
    <w:abstractNumId w:val="10"/>
  </w:num>
  <w:num w:numId="29">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90113"/>
  </w:hdrShapeDefaults>
  <w:footnotePr>
    <w:footnote w:id="-1"/>
    <w:footnote w:id="0"/>
    <w:footnote w:id="1"/>
  </w:footnotePr>
  <w:endnotePr>
    <w:endnote w:id="-1"/>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currentname" w:val="\\cdchnas-evs02\home$\sewon\vqirt aat port of fremantle - pca - 13 october 2015 (MER2015-05586).docx"/>
  </w:docVars>
  <w:rsids>
    <w:rsidRoot w:val="00906C64"/>
    <w:rsid w:val="000002BE"/>
    <w:rsid w:val="00002E51"/>
    <w:rsid w:val="000110D8"/>
    <w:rsid w:val="00012B99"/>
    <w:rsid w:val="00012FFF"/>
    <w:rsid w:val="0001328C"/>
    <w:rsid w:val="000159FF"/>
    <w:rsid w:val="0002043E"/>
    <w:rsid w:val="00037C38"/>
    <w:rsid w:val="00053096"/>
    <w:rsid w:val="0007785C"/>
    <w:rsid w:val="00080A89"/>
    <w:rsid w:val="0008211E"/>
    <w:rsid w:val="000840E0"/>
    <w:rsid w:val="000943CA"/>
    <w:rsid w:val="0009525D"/>
    <w:rsid w:val="000B02B5"/>
    <w:rsid w:val="000B30F9"/>
    <w:rsid w:val="000D14A1"/>
    <w:rsid w:val="000E147B"/>
    <w:rsid w:val="000E3CA6"/>
    <w:rsid w:val="000F7DFD"/>
    <w:rsid w:val="00101078"/>
    <w:rsid w:val="00102446"/>
    <w:rsid w:val="00104007"/>
    <w:rsid w:val="00113306"/>
    <w:rsid w:val="001372EB"/>
    <w:rsid w:val="00154A05"/>
    <w:rsid w:val="00172534"/>
    <w:rsid w:val="0017266E"/>
    <w:rsid w:val="001734E4"/>
    <w:rsid w:val="001771FB"/>
    <w:rsid w:val="00182A2B"/>
    <w:rsid w:val="001A0EA9"/>
    <w:rsid w:val="001A3388"/>
    <w:rsid w:val="001A3FD2"/>
    <w:rsid w:val="001A4DC1"/>
    <w:rsid w:val="001B0AD5"/>
    <w:rsid w:val="001B4A51"/>
    <w:rsid w:val="001C68D0"/>
    <w:rsid w:val="001D4DCB"/>
    <w:rsid w:val="001D52AC"/>
    <w:rsid w:val="001D5EC8"/>
    <w:rsid w:val="001E25EF"/>
    <w:rsid w:val="001E2914"/>
    <w:rsid w:val="001E4266"/>
    <w:rsid w:val="001F7DB1"/>
    <w:rsid w:val="00203A5B"/>
    <w:rsid w:val="002108CC"/>
    <w:rsid w:val="0023387E"/>
    <w:rsid w:val="0024528D"/>
    <w:rsid w:val="00247A10"/>
    <w:rsid w:val="002530FE"/>
    <w:rsid w:val="00257A33"/>
    <w:rsid w:val="00261058"/>
    <w:rsid w:val="00261EEB"/>
    <w:rsid w:val="002660F0"/>
    <w:rsid w:val="002726B6"/>
    <w:rsid w:val="0027627F"/>
    <w:rsid w:val="00276B4F"/>
    <w:rsid w:val="002803CE"/>
    <w:rsid w:val="0028124F"/>
    <w:rsid w:val="00286CD9"/>
    <w:rsid w:val="00287D03"/>
    <w:rsid w:val="00294606"/>
    <w:rsid w:val="00295D12"/>
    <w:rsid w:val="002B614D"/>
    <w:rsid w:val="002C789F"/>
    <w:rsid w:val="002E2333"/>
    <w:rsid w:val="002E2430"/>
    <w:rsid w:val="002E30A0"/>
    <w:rsid w:val="002E3DF5"/>
    <w:rsid w:val="002F3636"/>
    <w:rsid w:val="003006EB"/>
    <w:rsid w:val="003074F2"/>
    <w:rsid w:val="00307640"/>
    <w:rsid w:val="00313B40"/>
    <w:rsid w:val="00327277"/>
    <w:rsid w:val="00335A4B"/>
    <w:rsid w:val="00355143"/>
    <w:rsid w:val="00356B11"/>
    <w:rsid w:val="00360C0D"/>
    <w:rsid w:val="00362123"/>
    <w:rsid w:val="00363D0F"/>
    <w:rsid w:val="00375E46"/>
    <w:rsid w:val="00397481"/>
    <w:rsid w:val="003A4A70"/>
    <w:rsid w:val="003A7E7A"/>
    <w:rsid w:val="003A7F4B"/>
    <w:rsid w:val="003C0550"/>
    <w:rsid w:val="003D07D2"/>
    <w:rsid w:val="003D45B6"/>
    <w:rsid w:val="003D7370"/>
    <w:rsid w:val="003D7723"/>
    <w:rsid w:val="003E7CE3"/>
    <w:rsid w:val="003F66F1"/>
    <w:rsid w:val="0040634A"/>
    <w:rsid w:val="00411C3D"/>
    <w:rsid w:val="00412076"/>
    <w:rsid w:val="00431303"/>
    <w:rsid w:val="00435B58"/>
    <w:rsid w:val="004533C0"/>
    <w:rsid w:val="00454ED5"/>
    <w:rsid w:val="00461E8B"/>
    <w:rsid w:val="004705D1"/>
    <w:rsid w:val="00482579"/>
    <w:rsid w:val="00487CF4"/>
    <w:rsid w:val="004961A4"/>
    <w:rsid w:val="004A23B2"/>
    <w:rsid w:val="004A3640"/>
    <w:rsid w:val="004A4AA2"/>
    <w:rsid w:val="004B25BF"/>
    <w:rsid w:val="004C434A"/>
    <w:rsid w:val="004C4664"/>
    <w:rsid w:val="004D0FD4"/>
    <w:rsid w:val="004E1B62"/>
    <w:rsid w:val="004E3A84"/>
    <w:rsid w:val="004E5ED0"/>
    <w:rsid w:val="00504E50"/>
    <w:rsid w:val="00505D6D"/>
    <w:rsid w:val="0050709C"/>
    <w:rsid w:val="00512557"/>
    <w:rsid w:val="00523A37"/>
    <w:rsid w:val="00543D18"/>
    <w:rsid w:val="00544FF9"/>
    <w:rsid w:val="00547439"/>
    <w:rsid w:val="00547C17"/>
    <w:rsid w:val="00582F74"/>
    <w:rsid w:val="0059285B"/>
    <w:rsid w:val="00594532"/>
    <w:rsid w:val="0059643D"/>
    <w:rsid w:val="005A33E8"/>
    <w:rsid w:val="005D545A"/>
    <w:rsid w:val="005D7C33"/>
    <w:rsid w:val="005E2A4F"/>
    <w:rsid w:val="005E537F"/>
    <w:rsid w:val="005F099E"/>
    <w:rsid w:val="005F2C4B"/>
    <w:rsid w:val="00601232"/>
    <w:rsid w:val="006025DF"/>
    <w:rsid w:val="00603A21"/>
    <w:rsid w:val="00621C9C"/>
    <w:rsid w:val="006277C9"/>
    <w:rsid w:val="00631F7A"/>
    <w:rsid w:val="00641537"/>
    <w:rsid w:val="006436E3"/>
    <w:rsid w:val="006439EF"/>
    <w:rsid w:val="00646279"/>
    <w:rsid w:val="0065299B"/>
    <w:rsid w:val="006531C0"/>
    <w:rsid w:val="00653EB5"/>
    <w:rsid w:val="0065501B"/>
    <w:rsid w:val="006649BA"/>
    <w:rsid w:val="00666D5D"/>
    <w:rsid w:val="00667646"/>
    <w:rsid w:val="006705DC"/>
    <w:rsid w:val="00670789"/>
    <w:rsid w:val="0068014F"/>
    <w:rsid w:val="00686A92"/>
    <w:rsid w:val="00694D04"/>
    <w:rsid w:val="006A1D8A"/>
    <w:rsid w:val="006A3250"/>
    <w:rsid w:val="006A7FE8"/>
    <w:rsid w:val="006B1713"/>
    <w:rsid w:val="006B6B3F"/>
    <w:rsid w:val="006B6C78"/>
    <w:rsid w:val="006C2532"/>
    <w:rsid w:val="006D547D"/>
    <w:rsid w:val="006D5EA2"/>
    <w:rsid w:val="006E05A8"/>
    <w:rsid w:val="006E64D8"/>
    <w:rsid w:val="006F1A6B"/>
    <w:rsid w:val="006F41A8"/>
    <w:rsid w:val="006F77DA"/>
    <w:rsid w:val="007107BB"/>
    <w:rsid w:val="007132F8"/>
    <w:rsid w:val="00725106"/>
    <w:rsid w:val="00742A57"/>
    <w:rsid w:val="00747CC6"/>
    <w:rsid w:val="00762CDA"/>
    <w:rsid w:val="00771A87"/>
    <w:rsid w:val="007814E0"/>
    <w:rsid w:val="007815AB"/>
    <w:rsid w:val="007844AE"/>
    <w:rsid w:val="00790564"/>
    <w:rsid w:val="00794965"/>
    <w:rsid w:val="00796F28"/>
    <w:rsid w:val="007A2A00"/>
    <w:rsid w:val="007A77F9"/>
    <w:rsid w:val="007C6AF9"/>
    <w:rsid w:val="007C790D"/>
    <w:rsid w:val="007E1115"/>
    <w:rsid w:val="007F0322"/>
    <w:rsid w:val="007F34BF"/>
    <w:rsid w:val="00824465"/>
    <w:rsid w:val="008260CD"/>
    <w:rsid w:val="00836653"/>
    <w:rsid w:val="00847A0A"/>
    <w:rsid w:val="008502BA"/>
    <w:rsid w:val="00851F8F"/>
    <w:rsid w:val="00855095"/>
    <w:rsid w:val="008551B0"/>
    <w:rsid w:val="00873932"/>
    <w:rsid w:val="008741FA"/>
    <w:rsid w:val="00876CF2"/>
    <w:rsid w:val="008844B7"/>
    <w:rsid w:val="008910F3"/>
    <w:rsid w:val="00893BEB"/>
    <w:rsid w:val="008A52EF"/>
    <w:rsid w:val="008B75A3"/>
    <w:rsid w:val="008C13FC"/>
    <w:rsid w:val="008C5378"/>
    <w:rsid w:val="008C57C3"/>
    <w:rsid w:val="008C7BBD"/>
    <w:rsid w:val="008E4E5E"/>
    <w:rsid w:val="008F1711"/>
    <w:rsid w:val="008F4EFF"/>
    <w:rsid w:val="008F5E61"/>
    <w:rsid w:val="008F79E2"/>
    <w:rsid w:val="00902883"/>
    <w:rsid w:val="00906C64"/>
    <w:rsid w:val="00912A42"/>
    <w:rsid w:val="00923314"/>
    <w:rsid w:val="00932F11"/>
    <w:rsid w:val="00950B1E"/>
    <w:rsid w:val="00951305"/>
    <w:rsid w:val="00951AD3"/>
    <w:rsid w:val="00954D8A"/>
    <w:rsid w:val="00977366"/>
    <w:rsid w:val="00977B66"/>
    <w:rsid w:val="0099445B"/>
    <w:rsid w:val="009958F3"/>
    <w:rsid w:val="009A0593"/>
    <w:rsid w:val="009B2A85"/>
    <w:rsid w:val="009C6BB6"/>
    <w:rsid w:val="009D50D6"/>
    <w:rsid w:val="009E61B7"/>
    <w:rsid w:val="009F1D67"/>
    <w:rsid w:val="009F26EC"/>
    <w:rsid w:val="00A041ED"/>
    <w:rsid w:val="00A10BE5"/>
    <w:rsid w:val="00A318D6"/>
    <w:rsid w:val="00A36B2F"/>
    <w:rsid w:val="00A4598A"/>
    <w:rsid w:val="00A52168"/>
    <w:rsid w:val="00A53505"/>
    <w:rsid w:val="00A56771"/>
    <w:rsid w:val="00A57788"/>
    <w:rsid w:val="00A731CE"/>
    <w:rsid w:val="00A73CB5"/>
    <w:rsid w:val="00A760BB"/>
    <w:rsid w:val="00A85F66"/>
    <w:rsid w:val="00A95668"/>
    <w:rsid w:val="00A96FA7"/>
    <w:rsid w:val="00AA7153"/>
    <w:rsid w:val="00AC1261"/>
    <w:rsid w:val="00AC1CF1"/>
    <w:rsid w:val="00AC5198"/>
    <w:rsid w:val="00AC7D85"/>
    <w:rsid w:val="00AE1773"/>
    <w:rsid w:val="00AF1C87"/>
    <w:rsid w:val="00AF2397"/>
    <w:rsid w:val="00AF40FA"/>
    <w:rsid w:val="00B057F7"/>
    <w:rsid w:val="00B16B12"/>
    <w:rsid w:val="00B23FF3"/>
    <w:rsid w:val="00B270C3"/>
    <w:rsid w:val="00B32F62"/>
    <w:rsid w:val="00B45D6D"/>
    <w:rsid w:val="00B55807"/>
    <w:rsid w:val="00B571B2"/>
    <w:rsid w:val="00B66307"/>
    <w:rsid w:val="00B726B7"/>
    <w:rsid w:val="00B82E80"/>
    <w:rsid w:val="00B842B5"/>
    <w:rsid w:val="00B91440"/>
    <w:rsid w:val="00BB0306"/>
    <w:rsid w:val="00BC2A89"/>
    <w:rsid w:val="00BC3FEC"/>
    <w:rsid w:val="00BC72D9"/>
    <w:rsid w:val="00BD3354"/>
    <w:rsid w:val="00BD3D02"/>
    <w:rsid w:val="00BD46DB"/>
    <w:rsid w:val="00BD7E5A"/>
    <w:rsid w:val="00BE61B9"/>
    <w:rsid w:val="00BF2370"/>
    <w:rsid w:val="00C0523F"/>
    <w:rsid w:val="00C06529"/>
    <w:rsid w:val="00C117AE"/>
    <w:rsid w:val="00C12A07"/>
    <w:rsid w:val="00C145ED"/>
    <w:rsid w:val="00C324FB"/>
    <w:rsid w:val="00C44545"/>
    <w:rsid w:val="00C4726A"/>
    <w:rsid w:val="00C56039"/>
    <w:rsid w:val="00C62B29"/>
    <w:rsid w:val="00C717A5"/>
    <w:rsid w:val="00C73E7D"/>
    <w:rsid w:val="00C77FD3"/>
    <w:rsid w:val="00C87A3D"/>
    <w:rsid w:val="00C91650"/>
    <w:rsid w:val="00CB00A1"/>
    <w:rsid w:val="00CB0699"/>
    <w:rsid w:val="00CB149B"/>
    <w:rsid w:val="00CC5A23"/>
    <w:rsid w:val="00CD53DB"/>
    <w:rsid w:val="00CF6855"/>
    <w:rsid w:val="00D0008F"/>
    <w:rsid w:val="00D04501"/>
    <w:rsid w:val="00D11F62"/>
    <w:rsid w:val="00D2156E"/>
    <w:rsid w:val="00D256AB"/>
    <w:rsid w:val="00D3095B"/>
    <w:rsid w:val="00D33A1F"/>
    <w:rsid w:val="00D43B84"/>
    <w:rsid w:val="00D63FEE"/>
    <w:rsid w:val="00D64ECA"/>
    <w:rsid w:val="00D81772"/>
    <w:rsid w:val="00D95F39"/>
    <w:rsid w:val="00D97E60"/>
    <w:rsid w:val="00DB5C2E"/>
    <w:rsid w:val="00DB708C"/>
    <w:rsid w:val="00DC11ED"/>
    <w:rsid w:val="00DC754F"/>
    <w:rsid w:val="00DD2BE9"/>
    <w:rsid w:val="00DE0C30"/>
    <w:rsid w:val="00DE6275"/>
    <w:rsid w:val="00DF30F9"/>
    <w:rsid w:val="00DF5449"/>
    <w:rsid w:val="00E036A8"/>
    <w:rsid w:val="00E37EC8"/>
    <w:rsid w:val="00E43019"/>
    <w:rsid w:val="00E6071A"/>
    <w:rsid w:val="00E61516"/>
    <w:rsid w:val="00E62F59"/>
    <w:rsid w:val="00E707DB"/>
    <w:rsid w:val="00E77410"/>
    <w:rsid w:val="00E81366"/>
    <w:rsid w:val="00E83A00"/>
    <w:rsid w:val="00E845AB"/>
    <w:rsid w:val="00E91F41"/>
    <w:rsid w:val="00E93D72"/>
    <w:rsid w:val="00E96E5E"/>
    <w:rsid w:val="00EA37DF"/>
    <w:rsid w:val="00EC2B64"/>
    <w:rsid w:val="00EC63A9"/>
    <w:rsid w:val="00ED2A54"/>
    <w:rsid w:val="00ED2F16"/>
    <w:rsid w:val="00ED6489"/>
    <w:rsid w:val="00ED755F"/>
    <w:rsid w:val="00EE1B17"/>
    <w:rsid w:val="00EF0DD8"/>
    <w:rsid w:val="00EF2E41"/>
    <w:rsid w:val="00F02581"/>
    <w:rsid w:val="00F13942"/>
    <w:rsid w:val="00F156C3"/>
    <w:rsid w:val="00F24FF0"/>
    <w:rsid w:val="00F251A2"/>
    <w:rsid w:val="00F30BDD"/>
    <w:rsid w:val="00F36008"/>
    <w:rsid w:val="00F514CA"/>
    <w:rsid w:val="00F56BF1"/>
    <w:rsid w:val="00F72AF9"/>
    <w:rsid w:val="00F80A7E"/>
    <w:rsid w:val="00F84B74"/>
    <w:rsid w:val="00F85A23"/>
    <w:rsid w:val="00F85E5C"/>
    <w:rsid w:val="00FB349B"/>
    <w:rsid w:val="00FC4B2C"/>
    <w:rsid w:val="00FE4865"/>
    <w:rsid w:val="00FE4B62"/>
    <w:rsid w:val="00FE5D1D"/>
    <w:rsid w:val="00FE7856"/>
    <w:rsid w:val="00FF1B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01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uiPriority="9"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2"/>
    <w:lsdException w:name="footer" w:uiPriority="99"/>
    <w:lsdException w:name="footnote reference" w:uiPriority="99"/>
    <w:lsdException w:name="Default Paragraph Font" w:uiPriority="1"/>
    <w:lsdException w:name="Hyperlink" w:uiPriority="99"/>
    <w:lsdException w:name="Strong" w:uiPriority="22" w:qFormat="1"/>
    <w:lsdException w:name="Normal (Web)" w:uiPriority="99"/>
    <w:lsdException w:name="No List" w:uiPriority="99"/>
    <w:lsdException w:name="Balloon Tex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Date1"/>
    <w:next w:val="Normal"/>
    <w:uiPriority w:val="9"/>
    <w:qFormat/>
    <w:rsid w:val="008C7BBD"/>
    <w:pPr>
      <w:outlineLvl w:val="0"/>
    </w:pPr>
    <w:rPr>
      <w:sz w:val="32"/>
      <w:szCs w:val="32"/>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qFormat/>
    <w:rsid w:val="006A7FE8"/>
    <w:pPr>
      <w:keepNext/>
      <w:spacing w:before="120" w:after="120"/>
      <w:outlineLvl w:val="2"/>
    </w:pPr>
    <w:rPr>
      <w:rFonts w:ascii="Arial" w:hAnsi="Arial"/>
      <w:b/>
      <w:sz w:val="30"/>
      <w:szCs w:val="30"/>
    </w:rPr>
  </w:style>
  <w:style w:type="paragraph" w:styleId="Heading4">
    <w:name w:val="heading 4"/>
    <w:basedOn w:val="Normal"/>
    <w:next w:val="Normal"/>
    <w:qFormat/>
    <w:rsid w:val="006A7FE8"/>
    <w:pPr>
      <w:keepNext/>
      <w:spacing w:after="120"/>
      <w:outlineLvl w:val="3"/>
    </w:pPr>
    <w:rPr>
      <w:rFonts w:ascii="Arial" w:hAnsi="Arial"/>
      <w:sz w:val="26"/>
      <w:szCs w:val="26"/>
    </w:rPr>
  </w:style>
  <w:style w:type="paragraph" w:styleId="Heading5">
    <w:name w:val="heading 5"/>
    <w:basedOn w:val="Normal"/>
    <w:next w:val="Normal"/>
    <w:pPr>
      <w:spacing w:after="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link w:val="ListBulletChar"/>
    <w:pPr>
      <w:numPr>
        <w:numId w:val="4"/>
      </w:numPr>
    </w:pPr>
  </w:style>
  <w:style w:type="character" w:styleId="FootnoteReference">
    <w:name w:val="footnote reference"/>
    <w:uiPriority w:val="99"/>
    <w:rPr>
      <w:rFonts w:ascii="Times New Roman" w:hAnsi="Times New Roman"/>
      <w:sz w:val="18"/>
      <w:vertAlign w:val="superscript"/>
    </w:rPr>
  </w:style>
  <w:style w:type="paragraph" w:styleId="FootnoteText">
    <w:name w:val="footnote text"/>
    <w:basedOn w:val="Normal"/>
    <w:link w:val="FootnoteTextChar"/>
    <w:uiPriority w:val="2"/>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qFormat/>
    <w:rsid w:val="00A4598A"/>
    <w:pPr>
      <w:numPr>
        <w:numId w:val="1"/>
      </w:numPr>
      <w:spacing w:before="120" w:after="120"/>
    </w:pPr>
    <w:rPr>
      <w:rFonts w:ascii="Arial" w:hAnsi="Arial"/>
      <w:sz w:val="22"/>
      <w:szCs w:val="22"/>
    </w:rPr>
  </w:style>
  <w:style w:type="paragraph" w:styleId="ListParagraph">
    <w:name w:val="List Paragraph"/>
    <w:basedOn w:val="ListBullet"/>
    <w:uiPriority w:val="34"/>
    <w:qFormat/>
    <w:rsid w:val="00F80A7E"/>
    <w:pPr>
      <w:keepLines/>
      <w:spacing w:after="120"/>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customStyle="1" w:styleId="Numbered">
    <w:name w:val="Numbered"/>
    <w:basedOn w:val="Normal"/>
    <w:autoRedefine/>
    <w:uiPriority w:val="99"/>
    <w:rsid w:val="00A56771"/>
    <w:pPr>
      <w:numPr>
        <w:numId w:val="6"/>
      </w:numPr>
      <w:spacing w:after="240"/>
    </w:pPr>
    <w:rPr>
      <w:rFonts w:ascii="Arial" w:hAnsi="Arial" w:cs="Arial"/>
      <w:sz w:val="22"/>
      <w:szCs w:val="22"/>
      <w:lang w:eastAsia="en-US"/>
    </w:rPr>
  </w:style>
  <w:style w:type="character" w:customStyle="1" w:styleId="ListBulletChar">
    <w:name w:val="List Bullet Char"/>
    <w:link w:val="ListBullet"/>
    <w:rsid w:val="00A56771"/>
    <w:rPr>
      <w:sz w:val="24"/>
      <w:szCs w:val="24"/>
    </w:rPr>
  </w:style>
  <w:style w:type="paragraph" w:customStyle="1" w:styleId="HeadNumb">
    <w:name w:val="Head Numb"/>
    <w:basedOn w:val="Normal"/>
    <w:rsid w:val="003E7CE3"/>
    <w:pPr>
      <w:numPr>
        <w:numId w:val="7"/>
      </w:numPr>
      <w:shd w:val="clear" w:color="auto" w:fill="D9D9D9"/>
      <w:tabs>
        <w:tab w:val="clear" w:pos="397"/>
        <w:tab w:val="num" w:pos="360"/>
      </w:tabs>
      <w:ind w:left="360" w:hanging="360"/>
    </w:pPr>
    <w:rPr>
      <w:rFonts w:ascii="Arial" w:eastAsia="Calibri" w:hAnsi="Arial"/>
      <w:b/>
      <w:sz w:val="18"/>
      <w:szCs w:val="18"/>
    </w:rPr>
  </w:style>
  <w:style w:type="paragraph" w:customStyle="1" w:styleId="SecondlevelNumb">
    <w:name w:val="Second level Numb"/>
    <w:basedOn w:val="Normal"/>
    <w:rsid w:val="003E7CE3"/>
    <w:pPr>
      <w:numPr>
        <w:ilvl w:val="1"/>
        <w:numId w:val="7"/>
      </w:numPr>
      <w:tabs>
        <w:tab w:val="clear" w:pos="567"/>
        <w:tab w:val="num" w:pos="720"/>
      </w:tabs>
      <w:spacing w:line="360" w:lineRule="auto"/>
      <w:ind w:left="720" w:hanging="360"/>
    </w:pPr>
    <w:rPr>
      <w:rFonts w:eastAsia="Calibri"/>
      <w:sz w:val="22"/>
      <w:szCs w:val="22"/>
    </w:rPr>
  </w:style>
  <w:style w:type="character" w:customStyle="1" w:styleId="BalloonTextChar">
    <w:name w:val="Balloon Text Char"/>
    <w:link w:val="BalloonText"/>
    <w:uiPriority w:val="99"/>
    <w:semiHidden/>
    <w:rsid w:val="003E7CE3"/>
    <w:rPr>
      <w:rFonts w:ascii="Tahoma" w:hAnsi="Tahoma" w:cs="Tahoma"/>
      <w:sz w:val="16"/>
      <w:szCs w:val="16"/>
    </w:rPr>
  </w:style>
  <w:style w:type="character" w:customStyle="1" w:styleId="FootnoteTextChar">
    <w:name w:val="Footnote Text Char"/>
    <w:link w:val="FootnoteText"/>
    <w:uiPriority w:val="2"/>
    <w:rsid w:val="003E7CE3"/>
    <w:rPr>
      <w:szCs w:val="24"/>
    </w:rPr>
  </w:style>
  <w:style w:type="character" w:styleId="Hyperlink">
    <w:name w:val="Hyperlink"/>
    <w:uiPriority w:val="99"/>
    <w:unhideWhenUsed/>
    <w:rsid w:val="003E7CE3"/>
    <w:rPr>
      <w:color w:val="0000FF"/>
      <w:u w:val="single"/>
    </w:rPr>
  </w:style>
  <w:style w:type="paragraph" w:customStyle="1" w:styleId="Heading3Number">
    <w:name w:val="Heading 3 Number"/>
    <w:basedOn w:val="Heading1"/>
    <w:qFormat/>
    <w:rsid w:val="0017266E"/>
    <w:pPr>
      <w:keepLines/>
      <w:numPr>
        <w:numId w:val="9"/>
      </w:numPr>
      <w:spacing w:before="480" w:after="240"/>
      <w:jc w:val="left"/>
    </w:pPr>
    <w:rPr>
      <w:bCs/>
      <w:sz w:val="20"/>
      <w:szCs w:val="28"/>
    </w:rPr>
  </w:style>
  <w:style w:type="paragraph" w:customStyle="1" w:styleId="NormalNumbered3">
    <w:name w:val="Normal Numbered 3"/>
    <w:basedOn w:val="Normal"/>
    <w:qFormat/>
    <w:rsid w:val="0017266E"/>
    <w:pPr>
      <w:numPr>
        <w:numId w:val="10"/>
      </w:numPr>
      <w:tabs>
        <w:tab w:val="num" w:pos="360"/>
      </w:tabs>
      <w:spacing w:before="120" w:after="120"/>
      <w:ind w:left="1080"/>
    </w:pPr>
    <w:rPr>
      <w:rFonts w:ascii="Arial" w:hAnsi="Arial"/>
      <w:sz w:val="20"/>
      <w:lang w:eastAsia="en-US"/>
    </w:rPr>
  </w:style>
  <w:style w:type="paragraph" w:customStyle="1" w:styleId="NormalNumbered3-RED">
    <w:name w:val="Normal Numbered 3 - RED"/>
    <w:basedOn w:val="NormalNumbered3"/>
    <w:qFormat/>
    <w:rsid w:val="0017266E"/>
    <w:pPr>
      <w:tabs>
        <w:tab w:val="clear" w:pos="360"/>
      </w:tabs>
      <w:ind w:left="1440"/>
    </w:pPr>
    <w:rPr>
      <w:color w:val="FF0000"/>
    </w:rPr>
  </w:style>
  <w:style w:type="character" w:customStyle="1" w:styleId="Heading3Char">
    <w:name w:val="Heading 3 Char"/>
    <w:link w:val="Heading3"/>
    <w:rsid w:val="00EC63A9"/>
    <w:rPr>
      <w:rFonts w:ascii="Arial" w:hAnsi="Arial"/>
      <w:b/>
      <w:sz w:val="30"/>
      <w:szCs w:val="30"/>
    </w:rPr>
  </w:style>
  <w:style w:type="character" w:styleId="Strong">
    <w:name w:val="Strong"/>
    <w:uiPriority w:val="22"/>
    <w:qFormat/>
    <w:rsid w:val="0001328C"/>
    <w:rPr>
      <w:b/>
      <w:bCs/>
    </w:rPr>
  </w:style>
  <w:style w:type="paragraph" w:customStyle="1" w:styleId="Style1">
    <w:name w:val="Style1"/>
    <w:basedOn w:val="Normal"/>
    <w:qFormat/>
    <w:rsid w:val="006C2532"/>
    <w:pPr>
      <w:numPr>
        <w:numId w:val="12"/>
      </w:numPr>
      <w:spacing w:before="120" w:after="120"/>
      <w:ind w:left="360"/>
    </w:pPr>
    <w:rPr>
      <w:rFonts w:ascii="Arial" w:hAnsi="Arial"/>
      <w:sz w:val="20"/>
      <w:lang w:eastAsia="en-US"/>
    </w:rPr>
  </w:style>
  <w:style w:type="paragraph" w:customStyle="1" w:styleId="Normalitalic">
    <w:name w:val="Normal italic"/>
    <w:basedOn w:val="Normal"/>
    <w:link w:val="NormalitalicChar"/>
    <w:qFormat/>
    <w:rsid w:val="006C2532"/>
    <w:pPr>
      <w:spacing w:before="120" w:after="120"/>
      <w:ind w:left="720"/>
    </w:pPr>
    <w:rPr>
      <w:rFonts w:ascii="Arial" w:hAnsi="Arial"/>
      <w:i/>
      <w:sz w:val="20"/>
      <w:lang w:eastAsia="en-US"/>
    </w:rPr>
  </w:style>
  <w:style w:type="character" w:customStyle="1" w:styleId="NormalitalicChar">
    <w:name w:val="Normal italic Char"/>
    <w:link w:val="Normalitalic"/>
    <w:rsid w:val="006C2532"/>
    <w:rPr>
      <w:rFonts w:ascii="Arial" w:hAnsi="Arial"/>
      <w:i/>
      <w:szCs w:val="24"/>
      <w:lang w:eastAsia="en-US"/>
    </w:rPr>
  </w:style>
  <w:style w:type="paragraph" w:styleId="Revision">
    <w:name w:val="Revision"/>
    <w:hidden/>
    <w:uiPriority w:val="99"/>
    <w:semiHidden/>
    <w:rsid w:val="00F84B74"/>
    <w:rPr>
      <w:sz w:val="24"/>
      <w:szCs w:val="24"/>
    </w:rPr>
  </w:style>
  <w:style w:type="paragraph" w:styleId="NormalWeb">
    <w:name w:val="Normal (Web)"/>
    <w:basedOn w:val="Normal"/>
    <w:uiPriority w:val="99"/>
    <w:unhideWhenUsed/>
    <w:rsid w:val="00A760BB"/>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uiPriority="9"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2"/>
    <w:lsdException w:name="footer" w:uiPriority="99"/>
    <w:lsdException w:name="footnote reference" w:uiPriority="99"/>
    <w:lsdException w:name="Default Paragraph Font" w:uiPriority="1"/>
    <w:lsdException w:name="Hyperlink" w:uiPriority="99"/>
    <w:lsdException w:name="Strong" w:uiPriority="22" w:qFormat="1"/>
    <w:lsdException w:name="Normal (Web)" w:uiPriority="99"/>
    <w:lsdException w:name="No List" w:uiPriority="99"/>
    <w:lsdException w:name="Balloon Text"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Pr>
      <w:sz w:val="24"/>
      <w:szCs w:val="24"/>
    </w:rPr>
  </w:style>
  <w:style w:type="paragraph" w:styleId="Heading1">
    <w:name w:val="heading 1"/>
    <w:basedOn w:val="Date1"/>
    <w:next w:val="Normal"/>
    <w:uiPriority w:val="9"/>
    <w:qFormat/>
    <w:rsid w:val="008C7BBD"/>
    <w:pPr>
      <w:outlineLvl w:val="0"/>
    </w:pPr>
    <w:rPr>
      <w:sz w:val="32"/>
      <w:szCs w:val="32"/>
    </w:rPr>
  </w:style>
  <w:style w:type="paragraph" w:styleId="Heading2">
    <w:name w:val="heading 2"/>
    <w:basedOn w:val="Normal"/>
    <w:next w:val="Normal"/>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qFormat/>
    <w:rsid w:val="006A7FE8"/>
    <w:pPr>
      <w:keepNext/>
      <w:spacing w:before="120" w:after="120"/>
      <w:outlineLvl w:val="2"/>
    </w:pPr>
    <w:rPr>
      <w:rFonts w:ascii="Arial" w:hAnsi="Arial"/>
      <w:b/>
      <w:sz w:val="30"/>
      <w:szCs w:val="30"/>
    </w:rPr>
  </w:style>
  <w:style w:type="paragraph" w:styleId="Heading4">
    <w:name w:val="heading 4"/>
    <w:basedOn w:val="Normal"/>
    <w:next w:val="Normal"/>
    <w:qFormat/>
    <w:rsid w:val="006A7FE8"/>
    <w:pPr>
      <w:keepNext/>
      <w:spacing w:after="120"/>
      <w:outlineLvl w:val="3"/>
    </w:pPr>
    <w:rPr>
      <w:rFonts w:ascii="Arial" w:hAnsi="Arial"/>
      <w:sz w:val="26"/>
      <w:szCs w:val="26"/>
    </w:rPr>
  </w:style>
  <w:style w:type="paragraph" w:styleId="Heading5">
    <w:name w:val="heading 5"/>
    <w:basedOn w:val="Normal"/>
    <w:next w:val="Normal"/>
    <w:pPr>
      <w:spacing w:after="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pPr>
      <w:spacing w:before="120" w:after="120"/>
    </w:pPr>
    <w:rPr>
      <w:b/>
    </w:rPr>
  </w:style>
  <w:style w:type="paragraph" w:customStyle="1" w:styleId="paragraphtext">
    <w:name w:val="paragraph text"/>
    <w:basedOn w:val="Normal"/>
    <w:pPr>
      <w:spacing w:before="120" w:after="120"/>
    </w:pPr>
    <w:rPr>
      <w:szCs w:val="20"/>
    </w:rPr>
  </w:style>
  <w:style w:type="character" w:styleId="CommentReference">
    <w:name w:val="annotation reference"/>
    <w:semiHidden/>
    <w:rPr>
      <w:sz w:val="16"/>
      <w:szCs w:val="16"/>
    </w:rPr>
  </w:style>
  <w:style w:type="paragraph" w:customStyle="1" w:styleId="Quotes">
    <w:name w:val="Quotes"/>
    <w:basedOn w:val="Normal"/>
    <w:pPr>
      <w:ind w:left="397" w:right="397"/>
    </w:pPr>
    <w:rPr>
      <w:sz w:val="20"/>
    </w:rPr>
  </w:style>
  <w:style w:type="paragraph" w:styleId="TOC1">
    <w:name w:val="toc 1"/>
    <w:basedOn w:val="Normal"/>
    <w:next w:val="Normal"/>
    <w:semiHidden/>
    <w:pPr>
      <w:tabs>
        <w:tab w:val="left" w:pos="360"/>
        <w:tab w:val="right" w:leader="dot" w:pos="8453"/>
      </w:tabs>
      <w:spacing w:before="240" w:after="120"/>
      <w:ind w:left="360" w:hanging="360"/>
    </w:pPr>
    <w:rPr>
      <w:b/>
    </w:rPr>
  </w:style>
  <w:style w:type="paragraph" w:styleId="TOC2">
    <w:name w:val="toc 2"/>
    <w:basedOn w:val="Normal"/>
    <w:next w:val="Normal"/>
    <w:semiHidden/>
    <w:pPr>
      <w:tabs>
        <w:tab w:val="right" w:leader="dot" w:pos="8453"/>
      </w:tabs>
    </w:pPr>
  </w:style>
  <w:style w:type="paragraph" w:styleId="TOC3">
    <w:name w:val="toc 3"/>
    <w:basedOn w:val="Normal"/>
    <w:next w:val="Normal"/>
    <w:semiHidden/>
    <w:pPr>
      <w:tabs>
        <w:tab w:val="right" w:leader="dot" w:pos="8453"/>
      </w:tabs>
      <w:ind w:left="360"/>
    </w:pPr>
  </w:style>
  <w:style w:type="paragraph" w:styleId="TOC4">
    <w:name w:val="toc 4"/>
    <w:basedOn w:val="Normal"/>
    <w:next w:val="Normal"/>
    <w:semiHidden/>
    <w:pPr>
      <w:tabs>
        <w:tab w:val="right" w:leader="dot" w:pos="8453"/>
      </w:tabs>
      <w:ind w:left="720"/>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ListBullet">
    <w:name w:val="List Bullet"/>
    <w:basedOn w:val="Normal"/>
    <w:link w:val="ListBulletChar"/>
    <w:pPr>
      <w:numPr>
        <w:numId w:val="4"/>
      </w:numPr>
    </w:pPr>
  </w:style>
  <w:style w:type="character" w:styleId="FootnoteReference">
    <w:name w:val="footnote reference"/>
    <w:uiPriority w:val="99"/>
    <w:rPr>
      <w:rFonts w:ascii="Times New Roman" w:hAnsi="Times New Roman"/>
      <w:sz w:val="18"/>
      <w:vertAlign w:val="superscript"/>
    </w:rPr>
  </w:style>
  <w:style w:type="paragraph" w:styleId="FootnoteText">
    <w:name w:val="footnote text"/>
    <w:basedOn w:val="Normal"/>
    <w:link w:val="FootnoteTextChar"/>
    <w:uiPriority w:val="2"/>
    <w:pPr>
      <w:ind w:left="360" w:hanging="360"/>
    </w:pPr>
    <w:rPr>
      <w:sz w:val="20"/>
    </w:rPr>
  </w:style>
  <w:style w:type="paragraph" w:styleId="ListBullet2">
    <w:name w:val="List Bullet 2"/>
    <w:basedOn w:val="Normal"/>
    <w:pPr>
      <w:numPr>
        <w:numId w:val="3"/>
      </w:numPr>
      <w:tabs>
        <w:tab w:val="clear" w:pos="360"/>
      </w:tabs>
      <w:ind w:left="714" w:hanging="357"/>
    </w:pPr>
  </w:style>
  <w:style w:type="paragraph" w:styleId="ListBullet3">
    <w:name w:val="List Bullet 3"/>
    <w:basedOn w:val="Normal"/>
    <w:pPr>
      <w:numPr>
        <w:numId w:val="2"/>
      </w:numPr>
      <w:tabs>
        <w:tab w:val="clear" w:pos="360"/>
      </w:tabs>
      <w:ind w:left="1071" w:hanging="357"/>
    </w:p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paragraph" w:customStyle="1" w:styleId="paragraph">
    <w:name w:val="paragraph"/>
    <w:basedOn w:val="Normal"/>
    <w:pPr>
      <w:spacing w:after="240"/>
    </w:pPr>
    <w:rPr>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qFormat/>
    <w:rsid w:val="00A4598A"/>
    <w:pPr>
      <w:numPr>
        <w:numId w:val="1"/>
      </w:numPr>
      <w:spacing w:before="120" w:after="120"/>
    </w:pPr>
    <w:rPr>
      <w:rFonts w:ascii="Arial" w:hAnsi="Arial"/>
      <w:sz w:val="22"/>
      <w:szCs w:val="22"/>
    </w:rPr>
  </w:style>
  <w:style w:type="paragraph" w:styleId="ListParagraph">
    <w:name w:val="List Paragraph"/>
    <w:basedOn w:val="ListBullet"/>
    <w:uiPriority w:val="34"/>
    <w:qFormat/>
    <w:rsid w:val="00F80A7E"/>
    <w:pPr>
      <w:keepLines/>
      <w:spacing w:after="120"/>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paragraph" w:customStyle="1" w:styleId="Numbered">
    <w:name w:val="Numbered"/>
    <w:basedOn w:val="Normal"/>
    <w:autoRedefine/>
    <w:uiPriority w:val="99"/>
    <w:rsid w:val="00A56771"/>
    <w:pPr>
      <w:numPr>
        <w:numId w:val="6"/>
      </w:numPr>
      <w:spacing w:after="240"/>
    </w:pPr>
    <w:rPr>
      <w:rFonts w:ascii="Arial" w:hAnsi="Arial" w:cs="Arial"/>
      <w:sz w:val="22"/>
      <w:szCs w:val="22"/>
      <w:lang w:eastAsia="en-US"/>
    </w:rPr>
  </w:style>
  <w:style w:type="character" w:customStyle="1" w:styleId="ListBulletChar">
    <w:name w:val="List Bullet Char"/>
    <w:link w:val="ListBullet"/>
    <w:rsid w:val="00A56771"/>
    <w:rPr>
      <w:sz w:val="24"/>
      <w:szCs w:val="24"/>
    </w:rPr>
  </w:style>
  <w:style w:type="paragraph" w:customStyle="1" w:styleId="HeadNumb">
    <w:name w:val="Head Numb"/>
    <w:basedOn w:val="Normal"/>
    <w:rsid w:val="003E7CE3"/>
    <w:pPr>
      <w:numPr>
        <w:numId w:val="7"/>
      </w:numPr>
      <w:shd w:val="clear" w:color="auto" w:fill="D9D9D9"/>
      <w:tabs>
        <w:tab w:val="clear" w:pos="397"/>
        <w:tab w:val="num" w:pos="360"/>
      </w:tabs>
      <w:ind w:left="360" w:hanging="360"/>
    </w:pPr>
    <w:rPr>
      <w:rFonts w:ascii="Arial" w:eastAsia="Calibri" w:hAnsi="Arial"/>
      <w:b/>
      <w:sz w:val="18"/>
      <w:szCs w:val="18"/>
    </w:rPr>
  </w:style>
  <w:style w:type="paragraph" w:customStyle="1" w:styleId="SecondlevelNumb">
    <w:name w:val="Second level Numb"/>
    <w:basedOn w:val="Normal"/>
    <w:rsid w:val="003E7CE3"/>
    <w:pPr>
      <w:numPr>
        <w:ilvl w:val="1"/>
        <w:numId w:val="7"/>
      </w:numPr>
      <w:tabs>
        <w:tab w:val="clear" w:pos="567"/>
        <w:tab w:val="num" w:pos="720"/>
      </w:tabs>
      <w:spacing w:line="360" w:lineRule="auto"/>
      <w:ind w:left="720" w:hanging="360"/>
    </w:pPr>
    <w:rPr>
      <w:rFonts w:eastAsia="Calibri"/>
      <w:sz w:val="22"/>
      <w:szCs w:val="22"/>
    </w:rPr>
  </w:style>
  <w:style w:type="character" w:customStyle="1" w:styleId="BalloonTextChar">
    <w:name w:val="Balloon Text Char"/>
    <w:link w:val="BalloonText"/>
    <w:uiPriority w:val="99"/>
    <w:semiHidden/>
    <w:rsid w:val="003E7CE3"/>
    <w:rPr>
      <w:rFonts w:ascii="Tahoma" w:hAnsi="Tahoma" w:cs="Tahoma"/>
      <w:sz w:val="16"/>
      <w:szCs w:val="16"/>
    </w:rPr>
  </w:style>
  <w:style w:type="character" w:customStyle="1" w:styleId="FootnoteTextChar">
    <w:name w:val="Footnote Text Char"/>
    <w:link w:val="FootnoteText"/>
    <w:uiPriority w:val="2"/>
    <w:rsid w:val="003E7CE3"/>
    <w:rPr>
      <w:szCs w:val="24"/>
    </w:rPr>
  </w:style>
  <w:style w:type="character" w:styleId="Hyperlink">
    <w:name w:val="Hyperlink"/>
    <w:uiPriority w:val="99"/>
    <w:unhideWhenUsed/>
    <w:rsid w:val="003E7CE3"/>
    <w:rPr>
      <w:color w:val="0000FF"/>
      <w:u w:val="single"/>
    </w:rPr>
  </w:style>
  <w:style w:type="paragraph" w:customStyle="1" w:styleId="Heading3Number">
    <w:name w:val="Heading 3 Number"/>
    <w:basedOn w:val="Heading1"/>
    <w:qFormat/>
    <w:rsid w:val="0017266E"/>
    <w:pPr>
      <w:keepLines/>
      <w:numPr>
        <w:numId w:val="9"/>
      </w:numPr>
      <w:spacing w:before="480" w:after="240"/>
      <w:jc w:val="left"/>
    </w:pPr>
    <w:rPr>
      <w:bCs/>
      <w:sz w:val="20"/>
      <w:szCs w:val="28"/>
    </w:rPr>
  </w:style>
  <w:style w:type="paragraph" w:customStyle="1" w:styleId="NormalNumbered3">
    <w:name w:val="Normal Numbered 3"/>
    <w:basedOn w:val="Normal"/>
    <w:qFormat/>
    <w:rsid w:val="0017266E"/>
    <w:pPr>
      <w:numPr>
        <w:numId w:val="10"/>
      </w:numPr>
      <w:tabs>
        <w:tab w:val="num" w:pos="360"/>
      </w:tabs>
      <w:spacing w:before="120" w:after="120"/>
      <w:ind w:left="1080"/>
    </w:pPr>
    <w:rPr>
      <w:rFonts w:ascii="Arial" w:hAnsi="Arial"/>
      <w:sz w:val="20"/>
      <w:lang w:eastAsia="en-US"/>
    </w:rPr>
  </w:style>
  <w:style w:type="paragraph" w:customStyle="1" w:styleId="NormalNumbered3-RED">
    <w:name w:val="Normal Numbered 3 - RED"/>
    <w:basedOn w:val="NormalNumbered3"/>
    <w:qFormat/>
    <w:rsid w:val="0017266E"/>
    <w:pPr>
      <w:tabs>
        <w:tab w:val="clear" w:pos="360"/>
      </w:tabs>
      <w:ind w:left="1440"/>
    </w:pPr>
    <w:rPr>
      <w:color w:val="FF0000"/>
    </w:rPr>
  </w:style>
  <w:style w:type="character" w:customStyle="1" w:styleId="Heading3Char">
    <w:name w:val="Heading 3 Char"/>
    <w:link w:val="Heading3"/>
    <w:rsid w:val="00EC63A9"/>
    <w:rPr>
      <w:rFonts w:ascii="Arial" w:hAnsi="Arial"/>
      <w:b/>
      <w:sz w:val="30"/>
      <w:szCs w:val="30"/>
    </w:rPr>
  </w:style>
  <w:style w:type="character" w:styleId="Strong">
    <w:name w:val="Strong"/>
    <w:uiPriority w:val="22"/>
    <w:qFormat/>
    <w:rsid w:val="0001328C"/>
    <w:rPr>
      <w:b/>
      <w:bCs/>
    </w:rPr>
  </w:style>
  <w:style w:type="paragraph" w:customStyle="1" w:styleId="Style1">
    <w:name w:val="Style1"/>
    <w:basedOn w:val="Normal"/>
    <w:qFormat/>
    <w:rsid w:val="006C2532"/>
    <w:pPr>
      <w:numPr>
        <w:numId w:val="12"/>
      </w:numPr>
      <w:spacing w:before="120" w:after="120"/>
      <w:ind w:left="360"/>
    </w:pPr>
    <w:rPr>
      <w:rFonts w:ascii="Arial" w:hAnsi="Arial"/>
      <w:sz w:val="20"/>
      <w:lang w:eastAsia="en-US"/>
    </w:rPr>
  </w:style>
  <w:style w:type="paragraph" w:customStyle="1" w:styleId="Normalitalic">
    <w:name w:val="Normal italic"/>
    <w:basedOn w:val="Normal"/>
    <w:link w:val="NormalitalicChar"/>
    <w:qFormat/>
    <w:rsid w:val="006C2532"/>
    <w:pPr>
      <w:spacing w:before="120" w:after="120"/>
      <w:ind w:left="720"/>
    </w:pPr>
    <w:rPr>
      <w:rFonts w:ascii="Arial" w:hAnsi="Arial"/>
      <w:i/>
      <w:sz w:val="20"/>
      <w:lang w:eastAsia="en-US"/>
    </w:rPr>
  </w:style>
  <w:style w:type="character" w:customStyle="1" w:styleId="NormalitalicChar">
    <w:name w:val="Normal italic Char"/>
    <w:link w:val="Normalitalic"/>
    <w:rsid w:val="006C2532"/>
    <w:rPr>
      <w:rFonts w:ascii="Arial" w:hAnsi="Arial"/>
      <w:i/>
      <w:szCs w:val="24"/>
      <w:lang w:eastAsia="en-US"/>
    </w:rPr>
  </w:style>
  <w:style w:type="paragraph" w:styleId="Revision">
    <w:name w:val="Revision"/>
    <w:hidden/>
    <w:uiPriority w:val="99"/>
    <w:semiHidden/>
    <w:rsid w:val="00F84B74"/>
    <w:rPr>
      <w:sz w:val="24"/>
      <w:szCs w:val="24"/>
    </w:rPr>
  </w:style>
  <w:style w:type="paragraph" w:styleId="NormalWeb">
    <w:name w:val="Normal (Web)"/>
    <w:basedOn w:val="Normal"/>
    <w:uiPriority w:val="99"/>
    <w:unhideWhenUsed/>
    <w:rsid w:val="00A760B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299310336">
      <w:bodyDiv w:val="1"/>
      <w:marLeft w:val="0"/>
      <w:marRight w:val="0"/>
      <w:marTop w:val="0"/>
      <w:marBottom w:val="0"/>
      <w:divBdr>
        <w:top w:val="none" w:sz="0" w:space="0" w:color="auto"/>
        <w:left w:val="none" w:sz="0" w:space="0" w:color="auto"/>
        <w:bottom w:val="none" w:sz="0" w:space="0" w:color="auto"/>
        <w:right w:val="none" w:sz="0" w:space="0" w:color="auto"/>
      </w:divBdr>
      <w:divsChild>
        <w:div w:id="602492597">
          <w:marLeft w:val="0"/>
          <w:marRight w:val="0"/>
          <w:marTop w:val="0"/>
          <w:marBottom w:val="0"/>
          <w:divBdr>
            <w:top w:val="none" w:sz="0" w:space="0" w:color="auto"/>
            <w:left w:val="none" w:sz="0" w:space="0" w:color="auto"/>
            <w:bottom w:val="none" w:sz="0" w:space="0" w:color="auto"/>
            <w:right w:val="none" w:sz="0" w:space="0" w:color="auto"/>
          </w:divBdr>
          <w:divsChild>
            <w:div w:id="1593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6316">
      <w:bodyDiv w:val="1"/>
      <w:marLeft w:val="0"/>
      <w:marRight w:val="0"/>
      <w:marTop w:val="0"/>
      <w:marBottom w:val="0"/>
      <w:divBdr>
        <w:top w:val="none" w:sz="0" w:space="0" w:color="auto"/>
        <w:left w:val="none" w:sz="0" w:space="0" w:color="auto"/>
        <w:bottom w:val="none" w:sz="0" w:space="0" w:color="auto"/>
        <w:right w:val="none" w:sz="0" w:space="0" w:color="auto"/>
      </w:divBdr>
    </w:div>
    <w:div w:id="514686616">
      <w:bodyDiv w:val="1"/>
      <w:marLeft w:val="0"/>
      <w:marRight w:val="0"/>
      <w:marTop w:val="0"/>
      <w:marBottom w:val="0"/>
      <w:divBdr>
        <w:top w:val="none" w:sz="0" w:space="0" w:color="auto"/>
        <w:left w:val="none" w:sz="0" w:space="0" w:color="auto"/>
        <w:bottom w:val="none" w:sz="0" w:space="0" w:color="auto"/>
        <w:right w:val="none" w:sz="0" w:space="0" w:color="auto"/>
      </w:divBdr>
      <w:divsChild>
        <w:div w:id="1542553446">
          <w:marLeft w:val="0"/>
          <w:marRight w:val="0"/>
          <w:marTop w:val="0"/>
          <w:marBottom w:val="0"/>
          <w:divBdr>
            <w:top w:val="none" w:sz="0" w:space="0" w:color="auto"/>
            <w:left w:val="none" w:sz="0" w:space="0" w:color="auto"/>
            <w:bottom w:val="none" w:sz="0" w:space="0" w:color="auto"/>
            <w:right w:val="none" w:sz="0" w:space="0" w:color="auto"/>
          </w:divBdr>
          <w:divsChild>
            <w:div w:id="458575139">
              <w:marLeft w:val="0"/>
              <w:marRight w:val="0"/>
              <w:marTop w:val="0"/>
              <w:marBottom w:val="0"/>
              <w:divBdr>
                <w:top w:val="none" w:sz="0" w:space="0" w:color="auto"/>
                <w:left w:val="none" w:sz="0" w:space="0" w:color="auto"/>
                <w:bottom w:val="none" w:sz="0" w:space="0" w:color="auto"/>
                <w:right w:val="none" w:sz="0" w:space="0" w:color="auto"/>
              </w:divBdr>
              <w:divsChild>
                <w:div w:id="408617531">
                  <w:marLeft w:val="0"/>
                  <w:marRight w:val="0"/>
                  <w:marTop w:val="0"/>
                  <w:marBottom w:val="0"/>
                  <w:divBdr>
                    <w:top w:val="none" w:sz="0" w:space="0" w:color="auto"/>
                    <w:left w:val="none" w:sz="0" w:space="0" w:color="auto"/>
                    <w:bottom w:val="none" w:sz="0" w:space="0" w:color="auto"/>
                    <w:right w:val="none" w:sz="0" w:space="0" w:color="auto"/>
                  </w:divBdr>
                  <w:divsChild>
                    <w:div w:id="837767875">
                      <w:marLeft w:val="0"/>
                      <w:marRight w:val="0"/>
                      <w:marTop w:val="0"/>
                      <w:marBottom w:val="0"/>
                      <w:divBdr>
                        <w:top w:val="single" w:sz="6" w:space="0" w:color="DCD9D9"/>
                        <w:left w:val="single" w:sz="6" w:space="0" w:color="DCD9D9"/>
                        <w:bottom w:val="single" w:sz="2" w:space="0" w:color="DCD9D9"/>
                        <w:right w:val="single" w:sz="6" w:space="0" w:color="DCD9D9"/>
                      </w:divBdr>
                      <w:divsChild>
                        <w:div w:id="2100057532">
                          <w:marLeft w:val="0"/>
                          <w:marRight w:val="-100"/>
                          <w:marTop w:val="450"/>
                          <w:marBottom w:val="0"/>
                          <w:divBdr>
                            <w:top w:val="none" w:sz="0" w:space="0" w:color="auto"/>
                            <w:left w:val="none" w:sz="0" w:space="0" w:color="auto"/>
                            <w:bottom w:val="none" w:sz="0" w:space="0" w:color="auto"/>
                            <w:right w:val="none" w:sz="0" w:space="0" w:color="auto"/>
                          </w:divBdr>
                          <w:divsChild>
                            <w:div w:id="1779368213">
                              <w:marLeft w:val="0"/>
                              <w:marRight w:val="0"/>
                              <w:marTop w:val="0"/>
                              <w:marBottom w:val="0"/>
                              <w:divBdr>
                                <w:top w:val="none" w:sz="0" w:space="0" w:color="auto"/>
                                <w:left w:val="none" w:sz="0" w:space="0" w:color="auto"/>
                                <w:bottom w:val="none" w:sz="0" w:space="0" w:color="auto"/>
                                <w:right w:val="none" w:sz="0" w:space="0" w:color="auto"/>
                              </w:divBdr>
                              <w:divsChild>
                                <w:div w:id="690111956">
                                  <w:marLeft w:val="0"/>
                                  <w:marRight w:val="0"/>
                                  <w:marTop w:val="0"/>
                                  <w:marBottom w:val="0"/>
                                  <w:divBdr>
                                    <w:top w:val="none" w:sz="0" w:space="0" w:color="auto"/>
                                    <w:left w:val="none" w:sz="0" w:space="0" w:color="auto"/>
                                    <w:bottom w:val="none" w:sz="0" w:space="0" w:color="auto"/>
                                    <w:right w:val="none" w:sz="0" w:space="0" w:color="auto"/>
                                  </w:divBdr>
                                  <w:divsChild>
                                    <w:div w:id="1698386751">
                                      <w:marLeft w:val="0"/>
                                      <w:marRight w:val="0"/>
                                      <w:marTop w:val="0"/>
                                      <w:marBottom w:val="0"/>
                                      <w:divBdr>
                                        <w:top w:val="none" w:sz="0" w:space="0" w:color="auto"/>
                                        <w:left w:val="none" w:sz="0" w:space="0" w:color="auto"/>
                                        <w:bottom w:val="none" w:sz="0" w:space="0" w:color="auto"/>
                                        <w:right w:val="none" w:sz="0" w:space="0" w:color="auto"/>
                                      </w:divBdr>
                                      <w:divsChild>
                                        <w:div w:id="1709574194">
                                          <w:marLeft w:val="0"/>
                                          <w:marRight w:val="0"/>
                                          <w:marTop w:val="0"/>
                                          <w:marBottom w:val="360"/>
                                          <w:divBdr>
                                            <w:top w:val="none" w:sz="0" w:space="0" w:color="auto"/>
                                            <w:left w:val="none" w:sz="0" w:space="0" w:color="auto"/>
                                            <w:bottom w:val="none" w:sz="0" w:space="0" w:color="auto"/>
                                            <w:right w:val="none" w:sz="0" w:space="0" w:color="auto"/>
                                          </w:divBdr>
                                          <w:divsChild>
                                            <w:div w:id="1080179051">
                                              <w:marLeft w:val="0"/>
                                              <w:marRight w:val="0"/>
                                              <w:marTop w:val="0"/>
                                              <w:marBottom w:val="0"/>
                                              <w:divBdr>
                                                <w:top w:val="none" w:sz="0" w:space="0" w:color="auto"/>
                                                <w:left w:val="none" w:sz="0" w:space="0" w:color="auto"/>
                                                <w:bottom w:val="none" w:sz="0" w:space="0" w:color="auto"/>
                                                <w:right w:val="none" w:sz="0" w:space="0" w:color="auto"/>
                                              </w:divBdr>
                                              <w:divsChild>
                                                <w:div w:id="832843664">
                                                  <w:marLeft w:val="0"/>
                                                  <w:marRight w:val="0"/>
                                                  <w:marTop w:val="0"/>
                                                  <w:marBottom w:val="0"/>
                                                  <w:divBdr>
                                                    <w:top w:val="none" w:sz="0" w:space="0" w:color="auto"/>
                                                    <w:left w:val="none" w:sz="0" w:space="0" w:color="auto"/>
                                                    <w:bottom w:val="none" w:sz="0" w:space="0" w:color="auto"/>
                                                    <w:right w:val="none" w:sz="0" w:space="0" w:color="auto"/>
                                                  </w:divBdr>
                                                  <w:divsChild>
                                                    <w:div w:id="942687081">
                                                      <w:marLeft w:val="0"/>
                                                      <w:marRight w:val="0"/>
                                                      <w:marTop w:val="0"/>
                                                      <w:marBottom w:val="0"/>
                                                      <w:divBdr>
                                                        <w:top w:val="none" w:sz="0" w:space="0" w:color="auto"/>
                                                        <w:left w:val="none" w:sz="0" w:space="0" w:color="auto"/>
                                                        <w:bottom w:val="none" w:sz="0" w:space="0" w:color="auto"/>
                                                        <w:right w:val="none" w:sz="0" w:space="0" w:color="auto"/>
                                                      </w:divBdr>
                                                      <w:divsChild>
                                                        <w:div w:id="1929730679">
                                                          <w:marLeft w:val="0"/>
                                                          <w:marRight w:val="0"/>
                                                          <w:marTop w:val="0"/>
                                                          <w:marBottom w:val="0"/>
                                                          <w:divBdr>
                                                            <w:top w:val="none" w:sz="0" w:space="0" w:color="auto"/>
                                                            <w:left w:val="none" w:sz="0" w:space="0" w:color="auto"/>
                                                            <w:bottom w:val="none" w:sz="0" w:space="0" w:color="auto"/>
                                                            <w:right w:val="none" w:sz="0" w:space="0" w:color="auto"/>
                                                          </w:divBdr>
                                                          <w:divsChild>
                                                            <w:div w:id="1079593185">
                                                              <w:marLeft w:val="0"/>
                                                              <w:marRight w:val="0"/>
                                                              <w:marTop w:val="0"/>
                                                              <w:marBottom w:val="0"/>
                                                              <w:divBdr>
                                                                <w:top w:val="none" w:sz="0" w:space="0" w:color="auto"/>
                                                                <w:left w:val="none" w:sz="0" w:space="0" w:color="auto"/>
                                                                <w:bottom w:val="none" w:sz="0" w:space="0" w:color="auto"/>
                                                                <w:right w:val="none" w:sz="0" w:space="0" w:color="auto"/>
                                                              </w:divBdr>
                                                              <w:divsChild>
                                                                <w:div w:id="14531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0335444">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1608154208">
      <w:bodyDiv w:val="1"/>
      <w:marLeft w:val="0"/>
      <w:marRight w:val="0"/>
      <w:marTop w:val="0"/>
      <w:marBottom w:val="0"/>
      <w:divBdr>
        <w:top w:val="none" w:sz="0" w:space="0" w:color="auto"/>
        <w:left w:val="none" w:sz="0" w:space="0" w:color="auto"/>
        <w:bottom w:val="none" w:sz="0" w:space="0" w:color="auto"/>
        <w:right w:val="none" w:sz="0" w:space="0" w:color="auto"/>
      </w:divBdr>
      <w:divsChild>
        <w:div w:id="1277982107">
          <w:marLeft w:val="0"/>
          <w:marRight w:val="0"/>
          <w:marTop w:val="0"/>
          <w:marBottom w:val="0"/>
          <w:divBdr>
            <w:top w:val="none" w:sz="0" w:space="0" w:color="auto"/>
            <w:left w:val="none" w:sz="0" w:space="0" w:color="auto"/>
            <w:bottom w:val="none" w:sz="0" w:space="0" w:color="auto"/>
            <w:right w:val="none" w:sz="0" w:space="0" w:color="auto"/>
          </w:divBdr>
          <w:divsChild>
            <w:div w:id="944381032">
              <w:marLeft w:val="0"/>
              <w:marRight w:val="0"/>
              <w:marTop w:val="0"/>
              <w:marBottom w:val="0"/>
              <w:divBdr>
                <w:top w:val="none" w:sz="0" w:space="0" w:color="auto"/>
                <w:left w:val="none" w:sz="0" w:space="0" w:color="auto"/>
                <w:bottom w:val="none" w:sz="0" w:space="0" w:color="auto"/>
                <w:right w:val="none" w:sz="0" w:space="0" w:color="auto"/>
              </w:divBdr>
              <w:divsChild>
                <w:div w:id="1019628297">
                  <w:marLeft w:val="0"/>
                  <w:marRight w:val="0"/>
                  <w:marTop w:val="0"/>
                  <w:marBottom w:val="0"/>
                  <w:divBdr>
                    <w:top w:val="none" w:sz="0" w:space="0" w:color="auto"/>
                    <w:left w:val="none" w:sz="0" w:space="0" w:color="auto"/>
                    <w:bottom w:val="none" w:sz="0" w:space="0" w:color="auto"/>
                    <w:right w:val="none" w:sz="0" w:space="0" w:color="auto"/>
                  </w:divBdr>
                  <w:divsChild>
                    <w:div w:id="1429542685">
                      <w:marLeft w:val="0"/>
                      <w:marRight w:val="0"/>
                      <w:marTop w:val="0"/>
                      <w:marBottom w:val="0"/>
                      <w:divBdr>
                        <w:top w:val="single" w:sz="6" w:space="0" w:color="DCD9D9"/>
                        <w:left w:val="single" w:sz="6" w:space="0" w:color="DCD9D9"/>
                        <w:bottom w:val="single" w:sz="2" w:space="0" w:color="DCD9D9"/>
                        <w:right w:val="single" w:sz="6" w:space="0" w:color="DCD9D9"/>
                      </w:divBdr>
                      <w:divsChild>
                        <w:div w:id="151721938">
                          <w:marLeft w:val="0"/>
                          <w:marRight w:val="-100"/>
                          <w:marTop w:val="450"/>
                          <w:marBottom w:val="0"/>
                          <w:divBdr>
                            <w:top w:val="none" w:sz="0" w:space="0" w:color="auto"/>
                            <w:left w:val="none" w:sz="0" w:space="0" w:color="auto"/>
                            <w:bottom w:val="none" w:sz="0" w:space="0" w:color="auto"/>
                            <w:right w:val="none" w:sz="0" w:space="0" w:color="auto"/>
                          </w:divBdr>
                          <w:divsChild>
                            <w:div w:id="475226055">
                              <w:marLeft w:val="0"/>
                              <w:marRight w:val="0"/>
                              <w:marTop w:val="0"/>
                              <w:marBottom w:val="0"/>
                              <w:divBdr>
                                <w:top w:val="none" w:sz="0" w:space="0" w:color="auto"/>
                                <w:left w:val="none" w:sz="0" w:space="0" w:color="auto"/>
                                <w:bottom w:val="none" w:sz="0" w:space="0" w:color="auto"/>
                                <w:right w:val="none" w:sz="0" w:space="0" w:color="auto"/>
                              </w:divBdr>
                              <w:divsChild>
                                <w:div w:id="615795861">
                                  <w:marLeft w:val="0"/>
                                  <w:marRight w:val="0"/>
                                  <w:marTop w:val="0"/>
                                  <w:marBottom w:val="0"/>
                                  <w:divBdr>
                                    <w:top w:val="none" w:sz="0" w:space="0" w:color="auto"/>
                                    <w:left w:val="none" w:sz="0" w:space="0" w:color="auto"/>
                                    <w:bottom w:val="none" w:sz="0" w:space="0" w:color="auto"/>
                                    <w:right w:val="none" w:sz="0" w:space="0" w:color="auto"/>
                                  </w:divBdr>
                                  <w:divsChild>
                                    <w:div w:id="747459934">
                                      <w:marLeft w:val="0"/>
                                      <w:marRight w:val="0"/>
                                      <w:marTop w:val="0"/>
                                      <w:marBottom w:val="0"/>
                                      <w:divBdr>
                                        <w:top w:val="none" w:sz="0" w:space="0" w:color="auto"/>
                                        <w:left w:val="none" w:sz="0" w:space="0" w:color="auto"/>
                                        <w:bottom w:val="none" w:sz="0" w:space="0" w:color="auto"/>
                                        <w:right w:val="none" w:sz="0" w:space="0" w:color="auto"/>
                                      </w:divBdr>
                                      <w:divsChild>
                                        <w:div w:id="767384810">
                                          <w:marLeft w:val="0"/>
                                          <w:marRight w:val="0"/>
                                          <w:marTop w:val="0"/>
                                          <w:marBottom w:val="360"/>
                                          <w:divBdr>
                                            <w:top w:val="none" w:sz="0" w:space="0" w:color="auto"/>
                                            <w:left w:val="none" w:sz="0" w:space="0" w:color="auto"/>
                                            <w:bottom w:val="none" w:sz="0" w:space="0" w:color="auto"/>
                                            <w:right w:val="none" w:sz="0" w:space="0" w:color="auto"/>
                                          </w:divBdr>
                                          <w:divsChild>
                                            <w:div w:id="1817792235">
                                              <w:marLeft w:val="0"/>
                                              <w:marRight w:val="0"/>
                                              <w:marTop w:val="0"/>
                                              <w:marBottom w:val="0"/>
                                              <w:divBdr>
                                                <w:top w:val="none" w:sz="0" w:space="0" w:color="auto"/>
                                                <w:left w:val="none" w:sz="0" w:space="0" w:color="auto"/>
                                                <w:bottom w:val="none" w:sz="0" w:space="0" w:color="auto"/>
                                                <w:right w:val="none" w:sz="0" w:space="0" w:color="auto"/>
                                              </w:divBdr>
                                              <w:divsChild>
                                                <w:div w:id="1109008145">
                                                  <w:marLeft w:val="0"/>
                                                  <w:marRight w:val="0"/>
                                                  <w:marTop w:val="0"/>
                                                  <w:marBottom w:val="0"/>
                                                  <w:divBdr>
                                                    <w:top w:val="none" w:sz="0" w:space="0" w:color="auto"/>
                                                    <w:left w:val="none" w:sz="0" w:space="0" w:color="auto"/>
                                                    <w:bottom w:val="none" w:sz="0" w:space="0" w:color="auto"/>
                                                    <w:right w:val="none" w:sz="0" w:space="0" w:color="auto"/>
                                                  </w:divBdr>
                                                  <w:divsChild>
                                                    <w:div w:id="933443413">
                                                      <w:marLeft w:val="0"/>
                                                      <w:marRight w:val="0"/>
                                                      <w:marTop w:val="0"/>
                                                      <w:marBottom w:val="0"/>
                                                      <w:divBdr>
                                                        <w:top w:val="none" w:sz="0" w:space="0" w:color="auto"/>
                                                        <w:left w:val="none" w:sz="0" w:space="0" w:color="auto"/>
                                                        <w:bottom w:val="none" w:sz="0" w:space="0" w:color="auto"/>
                                                        <w:right w:val="none" w:sz="0" w:space="0" w:color="auto"/>
                                                      </w:divBdr>
                                                      <w:divsChild>
                                                        <w:div w:id="86585425">
                                                          <w:marLeft w:val="0"/>
                                                          <w:marRight w:val="0"/>
                                                          <w:marTop w:val="0"/>
                                                          <w:marBottom w:val="0"/>
                                                          <w:divBdr>
                                                            <w:top w:val="none" w:sz="0" w:space="0" w:color="auto"/>
                                                            <w:left w:val="none" w:sz="0" w:space="0" w:color="auto"/>
                                                            <w:bottom w:val="none" w:sz="0" w:space="0" w:color="auto"/>
                                                            <w:right w:val="none" w:sz="0" w:space="0" w:color="auto"/>
                                                          </w:divBdr>
                                                          <w:divsChild>
                                                            <w:div w:id="1879662198">
                                                              <w:marLeft w:val="0"/>
                                                              <w:marRight w:val="0"/>
                                                              <w:marTop w:val="0"/>
                                                              <w:marBottom w:val="0"/>
                                                              <w:divBdr>
                                                                <w:top w:val="none" w:sz="0" w:space="0" w:color="auto"/>
                                                                <w:left w:val="none" w:sz="0" w:space="0" w:color="auto"/>
                                                                <w:bottom w:val="none" w:sz="0" w:space="0" w:color="auto"/>
                                                                <w:right w:val="none" w:sz="0" w:space="0" w:color="auto"/>
                                                              </w:divBdr>
                                                              <w:divsChild>
                                                                <w:div w:id="18179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28243511">
      <w:bodyDiv w:val="1"/>
      <w:marLeft w:val="0"/>
      <w:marRight w:val="0"/>
      <w:marTop w:val="0"/>
      <w:marBottom w:val="0"/>
      <w:divBdr>
        <w:top w:val="none" w:sz="0" w:space="0" w:color="auto"/>
        <w:left w:val="none" w:sz="0" w:space="0" w:color="auto"/>
        <w:bottom w:val="none" w:sz="0" w:space="0" w:color="auto"/>
        <w:right w:val="none" w:sz="0" w:space="0" w:color="auto"/>
      </w:divBdr>
    </w:div>
    <w:div w:id="1702124520">
      <w:bodyDiv w:val="1"/>
      <w:marLeft w:val="0"/>
      <w:marRight w:val="0"/>
      <w:marTop w:val="0"/>
      <w:marBottom w:val="0"/>
      <w:divBdr>
        <w:top w:val="none" w:sz="0" w:space="0" w:color="auto"/>
        <w:left w:val="none" w:sz="0" w:space="0" w:color="auto"/>
        <w:bottom w:val="none" w:sz="0" w:space="0" w:color="auto"/>
        <w:right w:val="none" w:sz="0" w:space="0" w:color="auto"/>
      </w:divBdr>
    </w:div>
    <w:div w:id="1717504230">
      <w:bodyDiv w:val="1"/>
      <w:marLeft w:val="0"/>
      <w:marRight w:val="0"/>
      <w:marTop w:val="0"/>
      <w:marBottom w:val="0"/>
      <w:divBdr>
        <w:top w:val="none" w:sz="0" w:space="0" w:color="auto"/>
        <w:left w:val="none" w:sz="0" w:space="0" w:color="auto"/>
        <w:bottom w:val="none" w:sz="0" w:space="0" w:color="auto"/>
        <w:right w:val="none" w:sz="0" w:space="0" w:color="auto"/>
      </w:divBdr>
    </w:div>
    <w:div w:id="1864395427">
      <w:bodyDiv w:val="1"/>
      <w:marLeft w:val="0"/>
      <w:marRight w:val="0"/>
      <w:marTop w:val="0"/>
      <w:marBottom w:val="0"/>
      <w:divBdr>
        <w:top w:val="none" w:sz="0" w:space="0" w:color="auto"/>
        <w:left w:val="none" w:sz="0" w:space="0" w:color="auto"/>
        <w:bottom w:val="none" w:sz="0" w:space="0" w:color="auto"/>
        <w:right w:val="none" w:sz="0" w:space="0" w:color="auto"/>
      </w:divBdr>
    </w:div>
    <w:div w:id="1964647592">
      <w:bodyDiv w:val="1"/>
      <w:marLeft w:val="0"/>
      <w:marRight w:val="0"/>
      <w:marTop w:val="0"/>
      <w:marBottom w:val="0"/>
      <w:divBdr>
        <w:top w:val="none" w:sz="0" w:space="0" w:color="auto"/>
        <w:left w:val="none" w:sz="0" w:space="0" w:color="auto"/>
        <w:bottom w:val="none" w:sz="0" w:space="0" w:color="auto"/>
        <w:right w:val="none" w:sz="0" w:space="0" w:color="auto"/>
      </w:divBdr>
    </w:div>
    <w:div w:id="1971740032">
      <w:bodyDiv w:val="1"/>
      <w:marLeft w:val="0"/>
      <w:marRight w:val="0"/>
      <w:marTop w:val="0"/>
      <w:marBottom w:val="0"/>
      <w:divBdr>
        <w:top w:val="none" w:sz="0" w:space="0" w:color="auto"/>
        <w:left w:val="none" w:sz="0" w:space="0" w:color="auto"/>
        <w:bottom w:val="none" w:sz="0" w:space="0" w:color="auto"/>
        <w:right w:val="none" w:sz="0" w:space="0" w:color="auto"/>
      </w:divBdr>
    </w:div>
    <w:div w:id="2063406066">
      <w:bodyDiv w:val="1"/>
      <w:marLeft w:val="0"/>
      <w:marRight w:val="0"/>
      <w:marTop w:val="0"/>
      <w:marBottom w:val="0"/>
      <w:divBdr>
        <w:top w:val="none" w:sz="0" w:space="0" w:color="auto"/>
        <w:left w:val="none" w:sz="0" w:space="0" w:color="auto"/>
        <w:bottom w:val="none" w:sz="0" w:space="0" w:color="auto"/>
        <w:right w:val="none" w:sz="0" w:space="0" w:color="auto"/>
      </w:divBdr>
      <w:divsChild>
        <w:div w:id="191574389">
          <w:marLeft w:val="0"/>
          <w:marRight w:val="0"/>
          <w:marTop w:val="0"/>
          <w:marBottom w:val="0"/>
          <w:divBdr>
            <w:top w:val="none" w:sz="0" w:space="0" w:color="auto"/>
            <w:left w:val="none" w:sz="0" w:space="0" w:color="auto"/>
            <w:bottom w:val="none" w:sz="0" w:space="0" w:color="auto"/>
            <w:right w:val="none" w:sz="0" w:space="0" w:color="auto"/>
          </w:divBdr>
          <w:divsChild>
            <w:div w:id="2000620912">
              <w:marLeft w:val="0"/>
              <w:marRight w:val="0"/>
              <w:marTop w:val="0"/>
              <w:marBottom w:val="0"/>
              <w:divBdr>
                <w:top w:val="none" w:sz="0" w:space="0" w:color="auto"/>
                <w:left w:val="none" w:sz="0" w:space="0" w:color="auto"/>
                <w:bottom w:val="none" w:sz="0" w:space="0" w:color="auto"/>
                <w:right w:val="none" w:sz="0" w:space="0" w:color="auto"/>
              </w:divBdr>
              <w:divsChild>
                <w:div w:id="549925671">
                  <w:marLeft w:val="0"/>
                  <w:marRight w:val="0"/>
                  <w:marTop w:val="0"/>
                  <w:marBottom w:val="0"/>
                  <w:divBdr>
                    <w:top w:val="none" w:sz="0" w:space="0" w:color="auto"/>
                    <w:left w:val="none" w:sz="0" w:space="0" w:color="auto"/>
                    <w:bottom w:val="none" w:sz="0" w:space="0" w:color="auto"/>
                    <w:right w:val="none" w:sz="0" w:space="0" w:color="auto"/>
                  </w:divBdr>
                  <w:divsChild>
                    <w:div w:id="360084876">
                      <w:marLeft w:val="0"/>
                      <w:marRight w:val="0"/>
                      <w:marTop w:val="0"/>
                      <w:marBottom w:val="0"/>
                      <w:divBdr>
                        <w:top w:val="single" w:sz="6" w:space="0" w:color="DCD9D9"/>
                        <w:left w:val="single" w:sz="6" w:space="0" w:color="DCD9D9"/>
                        <w:bottom w:val="single" w:sz="2" w:space="0" w:color="DCD9D9"/>
                        <w:right w:val="single" w:sz="6" w:space="0" w:color="DCD9D9"/>
                      </w:divBdr>
                      <w:divsChild>
                        <w:div w:id="1671715106">
                          <w:marLeft w:val="0"/>
                          <w:marRight w:val="-100"/>
                          <w:marTop w:val="450"/>
                          <w:marBottom w:val="0"/>
                          <w:divBdr>
                            <w:top w:val="none" w:sz="0" w:space="0" w:color="auto"/>
                            <w:left w:val="none" w:sz="0" w:space="0" w:color="auto"/>
                            <w:bottom w:val="none" w:sz="0" w:space="0" w:color="auto"/>
                            <w:right w:val="none" w:sz="0" w:space="0" w:color="auto"/>
                          </w:divBdr>
                          <w:divsChild>
                            <w:div w:id="1011837969">
                              <w:marLeft w:val="0"/>
                              <w:marRight w:val="0"/>
                              <w:marTop w:val="0"/>
                              <w:marBottom w:val="0"/>
                              <w:divBdr>
                                <w:top w:val="none" w:sz="0" w:space="0" w:color="auto"/>
                                <w:left w:val="none" w:sz="0" w:space="0" w:color="auto"/>
                                <w:bottom w:val="none" w:sz="0" w:space="0" w:color="auto"/>
                                <w:right w:val="none" w:sz="0" w:space="0" w:color="auto"/>
                              </w:divBdr>
                              <w:divsChild>
                                <w:div w:id="337654719">
                                  <w:marLeft w:val="0"/>
                                  <w:marRight w:val="0"/>
                                  <w:marTop w:val="0"/>
                                  <w:marBottom w:val="0"/>
                                  <w:divBdr>
                                    <w:top w:val="none" w:sz="0" w:space="0" w:color="auto"/>
                                    <w:left w:val="none" w:sz="0" w:space="0" w:color="auto"/>
                                    <w:bottom w:val="none" w:sz="0" w:space="0" w:color="auto"/>
                                    <w:right w:val="none" w:sz="0" w:space="0" w:color="auto"/>
                                  </w:divBdr>
                                  <w:divsChild>
                                    <w:div w:id="1006518163">
                                      <w:marLeft w:val="0"/>
                                      <w:marRight w:val="0"/>
                                      <w:marTop w:val="0"/>
                                      <w:marBottom w:val="0"/>
                                      <w:divBdr>
                                        <w:top w:val="none" w:sz="0" w:space="0" w:color="auto"/>
                                        <w:left w:val="none" w:sz="0" w:space="0" w:color="auto"/>
                                        <w:bottom w:val="none" w:sz="0" w:space="0" w:color="auto"/>
                                        <w:right w:val="none" w:sz="0" w:space="0" w:color="auto"/>
                                      </w:divBdr>
                                      <w:divsChild>
                                        <w:div w:id="1443651639">
                                          <w:marLeft w:val="0"/>
                                          <w:marRight w:val="0"/>
                                          <w:marTop w:val="0"/>
                                          <w:marBottom w:val="360"/>
                                          <w:divBdr>
                                            <w:top w:val="none" w:sz="0" w:space="0" w:color="auto"/>
                                            <w:left w:val="none" w:sz="0" w:space="0" w:color="auto"/>
                                            <w:bottom w:val="none" w:sz="0" w:space="0" w:color="auto"/>
                                            <w:right w:val="none" w:sz="0" w:space="0" w:color="auto"/>
                                          </w:divBdr>
                                          <w:divsChild>
                                            <w:div w:id="724255798">
                                              <w:marLeft w:val="0"/>
                                              <w:marRight w:val="0"/>
                                              <w:marTop w:val="0"/>
                                              <w:marBottom w:val="0"/>
                                              <w:divBdr>
                                                <w:top w:val="none" w:sz="0" w:space="0" w:color="auto"/>
                                                <w:left w:val="none" w:sz="0" w:space="0" w:color="auto"/>
                                                <w:bottom w:val="none" w:sz="0" w:space="0" w:color="auto"/>
                                                <w:right w:val="none" w:sz="0" w:space="0" w:color="auto"/>
                                              </w:divBdr>
                                              <w:divsChild>
                                                <w:div w:id="97068683">
                                                  <w:marLeft w:val="0"/>
                                                  <w:marRight w:val="0"/>
                                                  <w:marTop w:val="0"/>
                                                  <w:marBottom w:val="0"/>
                                                  <w:divBdr>
                                                    <w:top w:val="none" w:sz="0" w:space="0" w:color="auto"/>
                                                    <w:left w:val="none" w:sz="0" w:space="0" w:color="auto"/>
                                                    <w:bottom w:val="none" w:sz="0" w:space="0" w:color="auto"/>
                                                    <w:right w:val="none" w:sz="0" w:space="0" w:color="auto"/>
                                                  </w:divBdr>
                                                  <w:divsChild>
                                                    <w:div w:id="1154443955">
                                                      <w:marLeft w:val="0"/>
                                                      <w:marRight w:val="0"/>
                                                      <w:marTop w:val="0"/>
                                                      <w:marBottom w:val="0"/>
                                                      <w:divBdr>
                                                        <w:top w:val="none" w:sz="0" w:space="0" w:color="auto"/>
                                                        <w:left w:val="none" w:sz="0" w:space="0" w:color="auto"/>
                                                        <w:bottom w:val="none" w:sz="0" w:space="0" w:color="auto"/>
                                                        <w:right w:val="none" w:sz="0" w:space="0" w:color="auto"/>
                                                      </w:divBdr>
                                                      <w:divsChild>
                                                        <w:div w:id="2116168999">
                                                          <w:marLeft w:val="0"/>
                                                          <w:marRight w:val="0"/>
                                                          <w:marTop w:val="0"/>
                                                          <w:marBottom w:val="0"/>
                                                          <w:divBdr>
                                                            <w:top w:val="none" w:sz="0" w:space="0" w:color="auto"/>
                                                            <w:left w:val="none" w:sz="0" w:space="0" w:color="auto"/>
                                                            <w:bottom w:val="none" w:sz="0" w:space="0" w:color="auto"/>
                                                            <w:right w:val="none" w:sz="0" w:space="0" w:color="auto"/>
                                                          </w:divBdr>
                                                          <w:divsChild>
                                                            <w:div w:id="2054304374">
                                                              <w:marLeft w:val="0"/>
                                                              <w:marRight w:val="0"/>
                                                              <w:marTop w:val="0"/>
                                                              <w:marBottom w:val="0"/>
                                                              <w:divBdr>
                                                                <w:top w:val="none" w:sz="0" w:space="0" w:color="auto"/>
                                                                <w:left w:val="none" w:sz="0" w:space="0" w:color="auto"/>
                                                                <w:bottom w:val="none" w:sz="0" w:space="0" w:color="auto"/>
                                                                <w:right w:val="none" w:sz="0" w:space="0" w:color="auto"/>
                                                              </w:divBdr>
                                                              <w:divsChild>
                                                                <w:div w:id="11501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AEB1F9-912F-41EF-BD85-0D6803C8B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F951E6D1</Template>
  <TotalTime>0</TotalTime>
  <Pages>10</Pages>
  <Words>3568</Words>
  <Characters>19109</Characters>
  <Application>Microsoft Office Word</Application>
  <DocSecurity>0</DocSecurity>
  <Lines>367</Lines>
  <Paragraphs>177</Paragraphs>
  <ScaleCrop>false</ScaleCrop>
  <LinksUpToDate>false</LinksUpToDate>
  <CharactersWithSpaces>22500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2015-10-14T03:22:00Z</dcterms:created>
  <dcterms:modified xsi:type="dcterms:W3CDTF">2015-10-14T03:22:00Z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8466737</vt:lpwstr>
  </property>
</Properties>
</file>