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1C87" w:rsidRPr="001D52AC" w:rsidRDefault="00AC7BC4" w:rsidP="00A10BE5">
      <w:pPr>
        <w:pStyle w:val="Heading1"/>
      </w:pPr>
      <w:r>
        <w:rPr>
          <w:noProof/>
        </w:rPr>
      </w:r>
      <w:r>
        <w:pict w14:anchorId="2A5F6C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Australian Competition &amp; Consumer Commission" style="width:189.6pt;height:44.15pt;mso-left-percent:-10001;mso-top-percent:-10001;mso-position-horizontal:absolute;mso-position-horizontal-relative:char;mso-position-vertical:absolute;mso-position-vertical-relative:line;mso-left-percent:-10001;mso-top-percent:-10001">
            <v:imagedata r:id="rId9" o:title=""/>
            <w10:wrap type="none"/>
            <w10:anchorlock/>
          </v:shape>
        </w:pict>
      </w:r>
    </w:p>
    <w:p w:rsidR="00AF1C87" w:rsidRPr="00EF2E41" w:rsidRDefault="00AF1C87" w:rsidP="00A53505">
      <w:pPr>
        <w:pStyle w:val="Heading1"/>
        <w:rPr>
          <w:sz w:val="32"/>
          <w:szCs w:val="32"/>
        </w:rPr>
      </w:pPr>
      <w:r w:rsidRPr="00EF2E41">
        <w:rPr>
          <w:sz w:val="32"/>
          <w:szCs w:val="32"/>
        </w:rPr>
        <w:t>Public Competition Assessment</w:t>
      </w:r>
    </w:p>
    <w:p w:rsidR="00AF1C87" w:rsidRDefault="00D308B7" w:rsidP="00A53505">
      <w:pPr>
        <w:pStyle w:val="Date1"/>
      </w:pPr>
      <w:r>
        <w:t>6</w:t>
      </w:r>
      <w:r w:rsidR="006649BA" w:rsidRPr="006649BA">
        <w:t xml:space="preserve"> </w:t>
      </w:r>
      <w:r w:rsidR="00BC6932">
        <w:t>August</w:t>
      </w:r>
      <w:r w:rsidR="000C2333">
        <w:t xml:space="preserve"> </w:t>
      </w:r>
      <w:r w:rsidR="00E96E5E">
        <w:t>2015</w:t>
      </w:r>
    </w:p>
    <w:p w:rsidR="00AF1C87" w:rsidRDefault="006649BA" w:rsidP="00A53505">
      <w:pPr>
        <w:pStyle w:val="Heading2"/>
      </w:pPr>
      <w:bookmarkStart w:id="0" w:name="Title"/>
      <w:bookmarkEnd w:id="0"/>
      <w:r w:rsidRPr="006649BA">
        <w:t>CSR Limited and Boral Limited – pro</w:t>
      </w:r>
      <w:r>
        <w:t>posed clay bricks joint venture</w:t>
      </w:r>
    </w:p>
    <w:p w:rsidR="00AF1C87" w:rsidRPr="00977B66" w:rsidRDefault="00A56771" w:rsidP="006A7FE8">
      <w:pPr>
        <w:pStyle w:val="Heading3"/>
      </w:pPr>
      <w:r>
        <w:t>Purpose</w:t>
      </w:r>
    </w:p>
    <w:p w:rsidR="00985991" w:rsidRDefault="00A56771" w:rsidP="0073125F">
      <w:pPr>
        <w:pStyle w:val="NormalParagraph"/>
        <w:tabs>
          <w:tab w:val="clear" w:pos="360"/>
        </w:tabs>
        <w:ind w:left="426" w:hanging="426"/>
      </w:pPr>
      <w:r w:rsidRPr="0071499C">
        <w:t>This public competitio</w:t>
      </w:r>
      <w:bookmarkStart w:id="1" w:name="_GoBack"/>
      <w:bookmarkEnd w:id="1"/>
      <w:r w:rsidRPr="0071499C">
        <w:t>n ass</w:t>
      </w:r>
      <w:r>
        <w:t>essment outlines reasons</w:t>
      </w:r>
      <w:r w:rsidRPr="0071499C">
        <w:t xml:space="preserve"> </w:t>
      </w:r>
      <w:r>
        <w:t xml:space="preserve">for </w:t>
      </w:r>
      <w:r w:rsidRPr="0071499C">
        <w:t xml:space="preserve">the </w:t>
      </w:r>
      <w:r>
        <w:t xml:space="preserve">Australian </w:t>
      </w:r>
      <w:r w:rsidRPr="00C4726A">
        <w:t>Competition and Consumer Commission (</w:t>
      </w:r>
      <w:r w:rsidRPr="00C4726A">
        <w:rPr>
          <w:b/>
        </w:rPr>
        <w:t>ACCC</w:t>
      </w:r>
      <w:r w:rsidRPr="00C4726A">
        <w:t xml:space="preserve">) decision </w:t>
      </w:r>
      <w:r w:rsidR="001A3FD2" w:rsidRPr="00C4726A">
        <w:t>on 18 December 2014</w:t>
      </w:r>
      <w:r w:rsidR="008741FA" w:rsidRPr="00C4726A">
        <w:t xml:space="preserve"> </w:t>
      </w:r>
      <w:r w:rsidRPr="00C4726A">
        <w:t xml:space="preserve">to </w:t>
      </w:r>
      <w:r w:rsidR="002E2430" w:rsidRPr="00C4726A">
        <w:t xml:space="preserve">not </w:t>
      </w:r>
      <w:r w:rsidRPr="00C4726A">
        <w:t>oppose</w:t>
      </w:r>
      <w:r>
        <w:t xml:space="preserve"> </w:t>
      </w:r>
      <w:r w:rsidR="008741FA">
        <w:t>CSR Limited and Boral Limited’s proposed clay bricks joint venture</w:t>
      </w:r>
      <w:r>
        <w:t xml:space="preserve"> (the </w:t>
      </w:r>
      <w:r>
        <w:rPr>
          <w:b/>
        </w:rPr>
        <w:t xml:space="preserve">proposed </w:t>
      </w:r>
      <w:r w:rsidR="008741FA">
        <w:rPr>
          <w:b/>
        </w:rPr>
        <w:t>joint venture</w:t>
      </w:r>
      <w:bookmarkStart w:id="2" w:name="_Ref358050218"/>
      <w:r w:rsidR="00985991">
        <w:t>).</w:t>
      </w:r>
    </w:p>
    <w:p w:rsidR="00985991" w:rsidRDefault="00985991" w:rsidP="0073125F">
      <w:pPr>
        <w:pStyle w:val="NormalParagraph"/>
        <w:tabs>
          <w:tab w:val="clear" w:pos="360"/>
        </w:tabs>
        <w:ind w:left="426" w:hanging="426"/>
      </w:pPr>
      <w:r>
        <w:t>A Public Competition Assessment is a detailed summary of the ACCC’s reasons and issues considered by the ACCC in a merger review and is generally published when:</w:t>
      </w:r>
      <w:bookmarkEnd w:id="2"/>
    </w:p>
    <w:p w:rsidR="00985991" w:rsidRDefault="00985991" w:rsidP="00985991">
      <w:pPr>
        <w:pStyle w:val="ListParagraph"/>
        <w:keepLines w:val="0"/>
        <w:numPr>
          <w:ilvl w:val="0"/>
          <w:numId w:val="21"/>
        </w:numPr>
        <w:tabs>
          <w:tab w:val="clear" w:pos="360"/>
          <w:tab w:val="num" w:pos="993"/>
        </w:tabs>
        <w:ind w:left="993" w:hanging="426"/>
      </w:pPr>
      <w:r>
        <w:t>A merger is opposed</w:t>
      </w:r>
    </w:p>
    <w:p w:rsidR="00985991" w:rsidRDefault="00985991" w:rsidP="00985991">
      <w:pPr>
        <w:pStyle w:val="ListParagraph"/>
        <w:keepLines w:val="0"/>
        <w:numPr>
          <w:ilvl w:val="0"/>
          <w:numId w:val="21"/>
        </w:numPr>
        <w:tabs>
          <w:tab w:val="clear" w:pos="360"/>
          <w:tab w:val="num" w:pos="993"/>
        </w:tabs>
        <w:ind w:left="993" w:hanging="426"/>
      </w:pPr>
      <w:r>
        <w:t>A merger is subject to enforceable undertakings</w:t>
      </w:r>
    </w:p>
    <w:p w:rsidR="00985991" w:rsidRDefault="00985991" w:rsidP="00985991">
      <w:pPr>
        <w:pStyle w:val="ListParagraph"/>
        <w:keepLines w:val="0"/>
        <w:numPr>
          <w:ilvl w:val="0"/>
          <w:numId w:val="21"/>
        </w:numPr>
        <w:tabs>
          <w:tab w:val="clear" w:pos="360"/>
          <w:tab w:val="num" w:pos="993"/>
        </w:tabs>
        <w:ind w:left="993" w:hanging="426"/>
      </w:pPr>
      <w:r>
        <w:t>The merger parties seek such disclosure</w:t>
      </w:r>
    </w:p>
    <w:p w:rsidR="00985991" w:rsidRDefault="00985991" w:rsidP="00985991">
      <w:pPr>
        <w:pStyle w:val="ListParagraph"/>
        <w:keepLines w:val="0"/>
        <w:numPr>
          <w:ilvl w:val="0"/>
          <w:numId w:val="21"/>
        </w:numPr>
        <w:tabs>
          <w:tab w:val="clear" w:pos="360"/>
          <w:tab w:val="num" w:pos="993"/>
        </w:tabs>
        <w:ind w:left="993" w:hanging="426"/>
      </w:pPr>
      <w:r>
        <w:t>A merger is cleared but raises important issues that the ACCC considers should be made public</w:t>
      </w:r>
    </w:p>
    <w:p w:rsidR="00985991" w:rsidRDefault="00985991" w:rsidP="0073125F">
      <w:pPr>
        <w:pStyle w:val="NormalParagraph"/>
        <w:tabs>
          <w:tab w:val="clear" w:pos="360"/>
        </w:tabs>
        <w:ind w:left="426" w:hanging="426"/>
      </w:pPr>
      <w:r>
        <w:t>By publishing a Public Competition Assessment, the ACCC aims to provide guidance to the public about the ACCC’s analysis of the competition issues involved in certain merger reviews.</w:t>
      </w:r>
    </w:p>
    <w:p w:rsidR="00985991" w:rsidRDefault="00985991" w:rsidP="0073125F">
      <w:pPr>
        <w:pStyle w:val="NormalParagraph"/>
        <w:tabs>
          <w:tab w:val="clear" w:pos="360"/>
        </w:tabs>
        <w:ind w:left="426" w:hanging="426"/>
      </w:pPr>
      <w:r>
        <w:t>The ACCC considers each public competition assessment on a case-by-case basis. While some transactions may involve the same or related markets, the analysis and decision outlined in one assessment will not necessarily reflect the ACCC’s view about other transactions.</w:t>
      </w:r>
    </w:p>
    <w:p w:rsidR="00985991" w:rsidRPr="0071499C" w:rsidRDefault="00985991" w:rsidP="0073125F">
      <w:pPr>
        <w:pStyle w:val="NormalParagraph"/>
        <w:tabs>
          <w:tab w:val="clear" w:pos="360"/>
        </w:tabs>
        <w:ind w:left="426" w:hanging="426"/>
      </w:pPr>
      <w:r>
        <w:t>The ACCC considers confidential information from merger parties and other market participants when making a decision. Our assessments may not identify and explain all issues that we considered because we must maintain confidentiality about certain information and sources.</w:t>
      </w:r>
    </w:p>
    <w:p w:rsidR="00A56771" w:rsidRDefault="009F1D67" w:rsidP="00985991">
      <w:pPr>
        <w:pStyle w:val="Heading3"/>
      </w:pPr>
      <w:r w:rsidRPr="00360C0D">
        <w:t>The</w:t>
      </w:r>
      <w:r w:rsidR="00360C0D" w:rsidRPr="00360C0D">
        <w:t xml:space="preserve"> proposed joint venture</w:t>
      </w:r>
      <w:r w:rsidR="002E2430">
        <w:t xml:space="preserve"> </w:t>
      </w:r>
    </w:p>
    <w:p w:rsidR="00D64ECA" w:rsidRPr="00D64ECA" w:rsidRDefault="00D64ECA" w:rsidP="0073125F">
      <w:pPr>
        <w:pStyle w:val="NormalParagraph"/>
        <w:keepNext/>
        <w:tabs>
          <w:tab w:val="clear" w:pos="360"/>
          <w:tab w:val="num" w:pos="426"/>
        </w:tabs>
        <w:ind w:left="426" w:hanging="426"/>
      </w:pPr>
      <w:r w:rsidRPr="00D64ECA">
        <w:t>The proposed joint venture involve</w:t>
      </w:r>
      <w:r w:rsidR="0059285B">
        <w:t>d</w:t>
      </w:r>
      <w:r w:rsidRPr="00D64ECA">
        <w:t xml:space="preserve"> CSR and Boral combining their clay brick businesses located on the east coast of Australia including their operations in New South Wales/ACT, Victoria, Queensland, South Australia and Tasmania. Boral’s </w:t>
      </w:r>
      <w:r w:rsidRPr="00D64ECA">
        <w:lastRenderedPageBreak/>
        <w:t xml:space="preserve">clay brick operations in Western Australia </w:t>
      </w:r>
      <w:r w:rsidR="001A3FD2">
        <w:t>do</w:t>
      </w:r>
      <w:r w:rsidRPr="00D64ECA">
        <w:t xml:space="preserve"> not form part of the proposed joint venture. The joint venture entity w</w:t>
      </w:r>
      <w:r w:rsidR="001A3FD2">
        <w:t>ill</w:t>
      </w:r>
      <w:r w:rsidRPr="00D64ECA">
        <w:t xml:space="preserve"> be 60% owned by CSR and 40% owned by Boral.</w:t>
      </w:r>
    </w:p>
    <w:p w:rsidR="00360C0D" w:rsidRPr="00360C0D" w:rsidRDefault="00D64ECA" w:rsidP="0073125F">
      <w:pPr>
        <w:pStyle w:val="NormalParagraph"/>
        <w:tabs>
          <w:tab w:val="clear" w:pos="360"/>
          <w:tab w:val="num" w:pos="426"/>
        </w:tabs>
        <w:ind w:left="426" w:hanging="426"/>
      </w:pPr>
      <w:r w:rsidRPr="00D64ECA">
        <w:t>The proposed joint venture comprise</w:t>
      </w:r>
      <w:r w:rsidR="0059285B">
        <w:t>d</w:t>
      </w:r>
      <w:r w:rsidRPr="00D64ECA">
        <w:t xml:space="preserve"> the manufacture, marketing and supply of clay bricks, as well as associated clay sourcing activities. Under the proposed joint venture, CSR and Boral w</w:t>
      </w:r>
      <w:r w:rsidR="001A3FD2">
        <w:t>ill</w:t>
      </w:r>
      <w:r w:rsidRPr="00D64ECA">
        <w:t xml:space="preserve"> no longer offer separate clay brick product ranges or compete on price or other terms of supply to customers in eastern Australi</w:t>
      </w:r>
      <w:r w:rsidR="001A3FD2">
        <w:t>a.</w:t>
      </w:r>
    </w:p>
    <w:p w:rsidR="001A3FD2" w:rsidRDefault="00360C0D" w:rsidP="0073125F">
      <w:pPr>
        <w:pStyle w:val="NormalParagraph"/>
        <w:tabs>
          <w:tab w:val="clear" w:pos="360"/>
          <w:tab w:val="num" w:pos="426"/>
        </w:tabs>
        <w:ind w:left="426" w:hanging="426"/>
      </w:pPr>
      <w:r w:rsidRPr="00D64ECA">
        <w:rPr>
          <w:rFonts w:cs="Arial"/>
        </w:rPr>
        <w:t>The joint venture parties also each supply building products such as plasterboard, insulation solutions and roof tiles, however these other building products are not part of the proposed joint venture.</w:t>
      </w:r>
    </w:p>
    <w:p w:rsidR="00360C0D" w:rsidRPr="00360C0D" w:rsidRDefault="00360C0D" w:rsidP="00360C0D">
      <w:pPr>
        <w:pStyle w:val="Heading3"/>
      </w:pPr>
      <w:r w:rsidRPr="00360C0D">
        <w:t>The ACCC’s decision</w:t>
      </w:r>
    </w:p>
    <w:p w:rsidR="0073125F" w:rsidRDefault="009F1D67" w:rsidP="0073125F">
      <w:pPr>
        <w:pStyle w:val="NormalParagraph"/>
        <w:tabs>
          <w:tab w:val="clear" w:pos="360"/>
        </w:tabs>
        <w:ind w:left="426" w:hanging="426"/>
      </w:pPr>
      <w:r w:rsidRPr="00A53505">
        <w:t xml:space="preserve">On </w:t>
      </w:r>
      <w:r w:rsidR="00F36008">
        <w:t>18 December 2014,</w:t>
      </w:r>
      <w:r w:rsidRPr="00A53505">
        <w:t xml:space="preserve"> the </w:t>
      </w:r>
      <w:r>
        <w:t>ACCC</w:t>
      </w:r>
      <w:r w:rsidRPr="00A53505">
        <w:t xml:space="preserve"> announced its </w:t>
      </w:r>
      <w:r w:rsidRPr="002B614D">
        <w:t xml:space="preserve">decision not to oppose </w:t>
      </w:r>
      <w:r w:rsidR="00D64ECA">
        <w:t>the</w:t>
      </w:r>
      <w:r w:rsidR="00F36008">
        <w:t xml:space="preserve"> proposed joint venture.</w:t>
      </w:r>
      <w:r w:rsidRPr="002B614D">
        <w:t xml:space="preserve"> The ACCC decided that the proposed </w:t>
      </w:r>
      <w:r w:rsidR="00F36008">
        <w:t>joint venture</w:t>
      </w:r>
      <w:r w:rsidR="00D64ECA">
        <w:t xml:space="preserve"> would be unl</w:t>
      </w:r>
      <w:r w:rsidRPr="002B614D">
        <w:t xml:space="preserve">ikely to have the effect of substantially lessening competition in contravention of section 50 of the </w:t>
      </w:r>
      <w:r w:rsidRPr="002B614D">
        <w:rPr>
          <w:i/>
        </w:rPr>
        <w:t>Competition and Consumer Act 2010</w:t>
      </w:r>
      <w:r w:rsidRPr="002B614D">
        <w:t xml:space="preserve"> (</w:t>
      </w:r>
      <w:r w:rsidRPr="00E266DA">
        <w:t>the</w:t>
      </w:r>
      <w:r w:rsidRPr="002B614D">
        <w:rPr>
          <w:b/>
        </w:rPr>
        <w:t xml:space="preserve"> Act</w:t>
      </w:r>
      <w:r>
        <w:t xml:space="preserve">) in </w:t>
      </w:r>
      <w:r w:rsidR="00D64ECA">
        <w:t xml:space="preserve">state markets for </w:t>
      </w:r>
      <w:r w:rsidR="0073125F">
        <w:t>the supply of clay bricks.</w:t>
      </w:r>
    </w:p>
    <w:p w:rsidR="004A4AA2" w:rsidRDefault="0065501B" w:rsidP="0073125F">
      <w:pPr>
        <w:pStyle w:val="NormalParagraph"/>
        <w:tabs>
          <w:tab w:val="clear" w:pos="360"/>
        </w:tabs>
        <w:ind w:left="426" w:hanging="426"/>
      </w:pPr>
      <w:r>
        <w:t xml:space="preserve">The ACCC considered that, in comparison to the status quo, the proposed joint venture would raise significant competition concerns. However, </w:t>
      </w:r>
      <w:r w:rsidR="0059285B">
        <w:t xml:space="preserve">based on detailed information provided by Boral and other parties, </w:t>
      </w:r>
      <w:r>
        <w:t>the ACCC</w:t>
      </w:r>
      <w:r w:rsidRPr="00176746">
        <w:t xml:space="preserve"> </w:t>
      </w:r>
      <w:r w:rsidR="000C2333">
        <w:t>was satisfied</w:t>
      </w:r>
      <w:r>
        <w:t xml:space="preserve"> that it was l</w:t>
      </w:r>
      <w:r w:rsidRPr="00176746">
        <w:t xml:space="preserve">ikely that </w:t>
      </w:r>
      <w:r>
        <w:t>Boral</w:t>
      </w:r>
      <w:r w:rsidRPr="00176746">
        <w:t xml:space="preserve"> </w:t>
      </w:r>
      <w:r w:rsidR="000C2333">
        <w:t xml:space="preserve">and the key assets </w:t>
      </w:r>
      <w:r w:rsidRPr="00176746">
        <w:t xml:space="preserve">would leave the </w:t>
      </w:r>
      <w:r w:rsidR="00725106">
        <w:t xml:space="preserve">relevant </w:t>
      </w:r>
      <w:r w:rsidRPr="00176746">
        <w:t>market</w:t>
      </w:r>
      <w:r w:rsidR="00725106">
        <w:t>s</w:t>
      </w:r>
      <w:r w:rsidRPr="00176746">
        <w:t xml:space="preserve"> if the proposed </w:t>
      </w:r>
      <w:r>
        <w:t xml:space="preserve">joint venture did not proceed. </w:t>
      </w:r>
    </w:p>
    <w:p w:rsidR="0065501B" w:rsidRDefault="004A4AA2" w:rsidP="0073125F">
      <w:pPr>
        <w:pStyle w:val="NormalParagraph"/>
        <w:tabs>
          <w:tab w:val="clear" w:pos="360"/>
        </w:tabs>
        <w:ind w:left="426" w:hanging="426"/>
      </w:pPr>
      <w:r>
        <w:t>T</w:t>
      </w:r>
      <w:r w:rsidR="0065501B" w:rsidRPr="00176746">
        <w:t xml:space="preserve">he ACCC did not consider </w:t>
      </w:r>
      <w:r w:rsidR="0065501B">
        <w:t>a</w:t>
      </w:r>
      <w:r w:rsidR="0065501B" w:rsidRPr="00176746">
        <w:t xml:space="preserve"> future with</w:t>
      </w:r>
      <w:r w:rsidR="0065501B">
        <w:t xml:space="preserve"> the proposed </w:t>
      </w:r>
      <w:r w:rsidR="00397481">
        <w:t xml:space="preserve">joint venture </w:t>
      </w:r>
      <w:r w:rsidR="0065501B">
        <w:t>to be substantially less</w:t>
      </w:r>
      <w:r w:rsidR="0065501B" w:rsidRPr="00176746">
        <w:t xml:space="preserve"> competitive than a scenario in which </w:t>
      </w:r>
      <w:r w:rsidR="0065501B">
        <w:t>Boral would close its brick plants</w:t>
      </w:r>
      <w:r w:rsidR="0065501B" w:rsidRPr="00176746">
        <w:t xml:space="preserve"> and </w:t>
      </w:r>
      <w:r w:rsidR="00397481">
        <w:t>exit</w:t>
      </w:r>
      <w:r w:rsidR="0065501B">
        <w:t xml:space="preserve"> </w:t>
      </w:r>
      <w:r w:rsidR="0065501B" w:rsidRPr="00176746">
        <w:t>the</w:t>
      </w:r>
      <w:r w:rsidR="0065501B">
        <w:t xml:space="preserve"> relevant</w:t>
      </w:r>
      <w:r w:rsidR="0065501B" w:rsidRPr="00176746">
        <w:t xml:space="preserve"> market</w:t>
      </w:r>
      <w:r w:rsidR="0065501B">
        <w:t>s</w:t>
      </w:r>
      <w:r w:rsidR="0065501B" w:rsidRPr="00176746">
        <w:t xml:space="preserve">. </w:t>
      </w:r>
      <w:r w:rsidR="0065501B">
        <w:t xml:space="preserve">In either scenario, the ACCC considered it likely that the three major brick </w:t>
      </w:r>
      <w:r w:rsidR="00747CC6">
        <w:t>suppliers</w:t>
      </w:r>
      <w:r w:rsidR="0065501B">
        <w:t xml:space="preserve"> in the relevant markets would be reduced to two. </w:t>
      </w:r>
    </w:p>
    <w:p w:rsidR="00287D03" w:rsidRDefault="00287D03" w:rsidP="0073125F">
      <w:pPr>
        <w:pStyle w:val="NormalParagraph"/>
        <w:tabs>
          <w:tab w:val="clear" w:pos="360"/>
          <w:tab w:val="num" w:pos="426"/>
        </w:tabs>
      </w:pPr>
      <w:r>
        <w:t xml:space="preserve">Further details regarding the ACCC’s reasoning </w:t>
      </w:r>
      <w:r w:rsidR="001A3FD2">
        <w:t>are</w:t>
      </w:r>
      <w:r>
        <w:t xml:space="preserve"> provided below. </w:t>
      </w:r>
    </w:p>
    <w:p w:rsidR="00AF1C87" w:rsidRDefault="00AF1C87" w:rsidP="006A7FE8">
      <w:pPr>
        <w:pStyle w:val="Heading3"/>
      </w:pPr>
      <w:r>
        <w:t xml:space="preserve">The </w:t>
      </w:r>
      <w:r w:rsidRPr="00A53505">
        <w:t>parties</w:t>
      </w:r>
    </w:p>
    <w:p w:rsidR="00AF1C87" w:rsidRPr="006A7FE8" w:rsidRDefault="008741FA" w:rsidP="006A7FE8">
      <w:pPr>
        <w:pStyle w:val="Heading4"/>
      </w:pPr>
      <w:r>
        <w:t>CSR Limited</w:t>
      </w:r>
    </w:p>
    <w:p w:rsidR="008741FA" w:rsidRDefault="008741FA" w:rsidP="008910F3">
      <w:pPr>
        <w:pStyle w:val="NormalParagraph"/>
        <w:tabs>
          <w:tab w:val="clear" w:pos="360"/>
          <w:tab w:val="num" w:pos="426"/>
        </w:tabs>
        <w:ind w:left="426" w:hanging="426"/>
      </w:pPr>
      <w:r>
        <w:t>CSR supplies various building products including plasterboard, fibre cement, insu</w:t>
      </w:r>
      <w:r w:rsidR="00D64ECA">
        <w:t xml:space="preserve">lation, processed glass, </w:t>
      </w:r>
      <w:r w:rsidR="00725106">
        <w:t xml:space="preserve">autoclaved aerated concrete (under the </w:t>
      </w:r>
      <w:r w:rsidR="00D64ECA">
        <w:t>Hebel</w:t>
      </w:r>
      <w:r w:rsidR="00725106">
        <w:t xml:space="preserve"> brand name)</w:t>
      </w:r>
      <w:r w:rsidR="00D64ECA">
        <w:t xml:space="preserve"> </w:t>
      </w:r>
      <w:r>
        <w:t>and roof tiles.</w:t>
      </w:r>
    </w:p>
    <w:p w:rsidR="008741FA" w:rsidRDefault="008741FA" w:rsidP="008910F3">
      <w:pPr>
        <w:pStyle w:val="NormalParagraph"/>
        <w:tabs>
          <w:tab w:val="clear" w:pos="360"/>
          <w:tab w:val="num" w:pos="426"/>
        </w:tabs>
        <w:ind w:left="426" w:hanging="426"/>
      </w:pPr>
      <w:r>
        <w:t>CSR supplies clay bricks under the PGH brand and manufactures</w:t>
      </w:r>
      <w:r w:rsidR="00725106">
        <w:t xml:space="preserve"> clay bricks</w:t>
      </w:r>
      <w:r>
        <w:t xml:space="preserve"> at Horsley Park, Schofields and Cecil Park in NSW, Oxley in Queensland, and Golden Grove in South Australia. CSR also has ‘mothballed’</w:t>
      </w:r>
      <w:r w:rsidR="002E2430">
        <w:t xml:space="preserve"> part of the</w:t>
      </w:r>
      <w:r>
        <w:t xml:space="preserve"> clay brick manufacturing capacity at Cecil Park in Sydney and </w:t>
      </w:r>
      <w:r w:rsidR="002E2430">
        <w:t xml:space="preserve">all the capacity </w:t>
      </w:r>
      <w:r>
        <w:t>at Bathurst in western NSW.</w:t>
      </w:r>
    </w:p>
    <w:p w:rsidR="00AF1C87" w:rsidRDefault="008741FA" w:rsidP="006A7FE8">
      <w:pPr>
        <w:pStyle w:val="Heading4"/>
      </w:pPr>
      <w:bookmarkStart w:id="3" w:name="Target3"/>
      <w:bookmarkEnd w:id="3"/>
      <w:r>
        <w:t>Boral Limited</w:t>
      </w:r>
    </w:p>
    <w:p w:rsidR="008741FA" w:rsidRDefault="008741FA" w:rsidP="008910F3">
      <w:pPr>
        <w:pStyle w:val="NormalParagraph"/>
        <w:tabs>
          <w:tab w:val="clear" w:pos="360"/>
          <w:tab w:val="num" w:pos="426"/>
        </w:tabs>
        <w:ind w:left="426" w:hanging="426"/>
      </w:pPr>
      <w:r w:rsidRPr="00B3232A">
        <w:t xml:space="preserve">Boral </w:t>
      </w:r>
      <w:r>
        <w:t xml:space="preserve">supplies building products and construction </w:t>
      </w:r>
      <w:r w:rsidRPr="00B3232A">
        <w:t>materials including plasterboard</w:t>
      </w:r>
      <w:r>
        <w:t xml:space="preserve">, fibre cement, insulation, </w:t>
      </w:r>
      <w:r w:rsidRPr="00B3232A">
        <w:t>concrete products, timber products</w:t>
      </w:r>
      <w:r>
        <w:t xml:space="preserve"> and </w:t>
      </w:r>
      <w:r w:rsidRPr="00B3232A">
        <w:t>roof tiles</w:t>
      </w:r>
      <w:r>
        <w:t>.</w:t>
      </w:r>
    </w:p>
    <w:p w:rsidR="00287D03" w:rsidRDefault="001A3FD2" w:rsidP="008910F3">
      <w:pPr>
        <w:pStyle w:val="NormalParagraph"/>
        <w:tabs>
          <w:tab w:val="clear" w:pos="360"/>
          <w:tab w:val="num" w:pos="426"/>
        </w:tabs>
        <w:spacing w:after="200"/>
        <w:ind w:left="426" w:hanging="426"/>
      </w:pPr>
      <w:r>
        <w:lastRenderedPageBreak/>
        <w:t xml:space="preserve">On the east coast, </w:t>
      </w:r>
      <w:r w:rsidR="008741FA" w:rsidRPr="00E30293">
        <w:t xml:space="preserve">Boral supplies clay </w:t>
      </w:r>
      <w:r>
        <w:t xml:space="preserve">bricks </w:t>
      </w:r>
      <w:r w:rsidR="008741FA" w:rsidRPr="00E30293">
        <w:t xml:space="preserve">under the Boral Bricks brand and manufactures </w:t>
      </w:r>
      <w:r w:rsidR="008741FA">
        <w:t xml:space="preserve">clay bricks </w:t>
      </w:r>
      <w:r w:rsidR="008741FA" w:rsidRPr="00E30293">
        <w:t xml:space="preserve">at </w:t>
      </w:r>
      <w:r w:rsidR="008741FA">
        <w:t>Bringelly and Albury in NSW, Darra in Queensland, Thomastown and</w:t>
      </w:r>
      <w:r w:rsidR="008741FA" w:rsidRPr="00E30293">
        <w:t xml:space="preserve"> Scoresby</w:t>
      </w:r>
      <w:r w:rsidR="008741FA">
        <w:t xml:space="preserve"> in Victoria. </w:t>
      </w:r>
      <w:r w:rsidR="008741FA" w:rsidRPr="00E30293">
        <w:t xml:space="preserve">Boral </w:t>
      </w:r>
      <w:r w:rsidR="008741FA">
        <w:t xml:space="preserve">also </w:t>
      </w:r>
      <w:r w:rsidR="008741FA" w:rsidRPr="00E30293">
        <w:t xml:space="preserve">has mothballed </w:t>
      </w:r>
      <w:r w:rsidR="002E2430">
        <w:t xml:space="preserve">all the </w:t>
      </w:r>
      <w:r w:rsidR="008741FA">
        <w:t xml:space="preserve">clay brick manufacturing capacity </w:t>
      </w:r>
      <w:r w:rsidR="008741FA" w:rsidRPr="00E30293">
        <w:t xml:space="preserve">at </w:t>
      </w:r>
      <w:r w:rsidR="008741FA">
        <w:t>Badgerys</w:t>
      </w:r>
      <w:r w:rsidR="008741FA" w:rsidRPr="00E30293">
        <w:t xml:space="preserve"> Creek in NSW.</w:t>
      </w:r>
    </w:p>
    <w:p w:rsidR="00AF1C87" w:rsidRDefault="00AF1C87" w:rsidP="001A3FD2">
      <w:pPr>
        <w:pStyle w:val="Heading3"/>
      </w:pPr>
      <w:r w:rsidRPr="00B32F62">
        <w:t>Other</w:t>
      </w:r>
      <w:r w:rsidR="00B32F62" w:rsidRPr="00B32F62">
        <w:t xml:space="preserve"> </w:t>
      </w:r>
      <w:r w:rsidRPr="00B32F62">
        <w:t>industry participants</w:t>
      </w:r>
      <w:r w:rsidR="00B32F62">
        <w:t xml:space="preserve"> </w:t>
      </w:r>
    </w:p>
    <w:p w:rsidR="008741FA" w:rsidRDefault="008741FA" w:rsidP="001A3FD2">
      <w:pPr>
        <w:pStyle w:val="Heading4"/>
      </w:pPr>
      <w:r>
        <w:t>Austral Bricks</w:t>
      </w:r>
    </w:p>
    <w:p w:rsidR="001A3FD2" w:rsidRDefault="008741FA" w:rsidP="00461E8B">
      <w:pPr>
        <w:pStyle w:val="NormalParagraph"/>
        <w:tabs>
          <w:tab w:val="clear" w:pos="360"/>
          <w:tab w:val="num" w:pos="426"/>
        </w:tabs>
        <w:spacing w:after="240"/>
        <w:ind w:left="425" w:hanging="425"/>
      </w:pPr>
      <w:r w:rsidRPr="008741FA">
        <w:t xml:space="preserve">Austral Bricks is a subsidiary of Brickworks Limited. Relevantly, Austral Bricks supplies clay bricks which it manufactures at Horsley Park, Punchbowl and Bowral in NSW, Rochedale in Queensland, Wollert in Victoria, and Golden Grove in South Australia. </w:t>
      </w:r>
      <w:r w:rsidR="0073125F">
        <w:t xml:space="preserve">At the time of the ACCC’s review of the proposed joint venture, </w:t>
      </w:r>
      <w:r w:rsidRPr="008741FA">
        <w:t>Austral Bricks also ha</w:t>
      </w:r>
      <w:r w:rsidR="0073125F">
        <w:t>d</w:t>
      </w:r>
      <w:r w:rsidRPr="008741FA">
        <w:t xml:space="preserve"> mothballed</w:t>
      </w:r>
      <w:r w:rsidR="00DC11ED">
        <w:t xml:space="preserve"> part of its</w:t>
      </w:r>
      <w:r w:rsidRPr="008741FA">
        <w:t xml:space="preserve"> clay brick manufacturing capacity at Horsley Park in NSW, Rochedale in Queensland, and </w:t>
      </w:r>
      <w:r w:rsidR="001A3FD2">
        <w:t>Golden Grove in South Australia.</w:t>
      </w:r>
      <w:r w:rsidR="0073125F" w:rsidRPr="0073125F">
        <w:rPr>
          <w:rStyle w:val="FootnoteReference"/>
          <w:rFonts w:ascii="Arial" w:hAnsi="Arial" w:cs="Arial"/>
          <w:sz w:val="22"/>
        </w:rPr>
        <w:footnoteReference w:id="1"/>
      </w:r>
    </w:p>
    <w:p w:rsidR="00461E8B" w:rsidRDefault="00461E8B" w:rsidP="00461E8B">
      <w:pPr>
        <w:pStyle w:val="Heading4"/>
      </w:pPr>
      <w:r>
        <w:t>Other brick suppliers</w:t>
      </w:r>
    </w:p>
    <w:p w:rsidR="001A3FD2" w:rsidRDefault="001A3FD2" w:rsidP="00461E8B">
      <w:pPr>
        <w:pStyle w:val="NormalParagraph"/>
        <w:tabs>
          <w:tab w:val="clear" w:pos="360"/>
          <w:tab w:val="num" w:pos="426"/>
        </w:tabs>
        <w:spacing w:after="240"/>
        <w:ind w:left="425" w:hanging="425"/>
      </w:pPr>
      <w:r>
        <w:t xml:space="preserve">There are a number of smaller brick suppliers active on the east coast. </w:t>
      </w:r>
      <w:r w:rsidR="00461E8B">
        <w:t xml:space="preserve">However, these are generally considered ‘niche’ players, with small capacities, a limited or speciality brick range and/or are not widely distributed. </w:t>
      </w:r>
      <w:r>
        <w:t>The largest is Selkirk</w:t>
      </w:r>
      <w:r w:rsidR="00461E8B">
        <w:t xml:space="preserve">, based in regional </w:t>
      </w:r>
      <w:r w:rsidR="008F5E61">
        <w:t>Victoria. However,</w:t>
      </w:r>
      <w:r>
        <w:t xml:space="preserve"> </w:t>
      </w:r>
      <w:r w:rsidR="008F5E61">
        <w:t>all others</w:t>
      </w:r>
      <w:r w:rsidR="00461E8B">
        <w:t xml:space="preserve"> supply negligible quantities </w:t>
      </w:r>
      <w:r w:rsidR="009433E4">
        <w:t>in comparison to the three major</w:t>
      </w:r>
      <w:r w:rsidR="00461E8B">
        <w:t xml:space="preserve"> brick suppliers. The ACCC’s market</w:t>
      </w:r>
      <w:r w:rsidR="008F5E61">
        <w:t xml:space="preserve"> consultation identified that</w:t>
      </w:r>
      <w:r w:rsidR="00461E8B">
        <w:t xml:space="preserve"> smaller brick suppliers</w:t>
      </w:r>
      <w:r w:rsidR="008F5E61">
        <w:t xml:space="preserve"> </w:t>
      </w:r>
      <w:r w:rsidR="009433E4">
        <w:t xml:space="preserve">do not currently exercise significant competitive constraints on </w:t>
      </w:r>
      <w:r w:rsidR="008F5E61">
        <w:t>major suppliers,</w:t>
      </w:r>
      <w:r w:rsidR="00461E8B">
        <w:t xml:space="preserve"> nor would </w:t>
      </w:r>
      <w:r w:rsidR="008F5E61">
        <w:t>they</w:t>
      </w:r>
      <w:r w:rsidR="00DC11ED">
        <w:t xml:space="preserve"> be likely to</w:t>
      </w:r>
      <w:r w:rsidR="008F5E61">
        <w:t xml:space="preserve"> in the </w:t>
      </w:r>
      <w:r w:rsidR="00461E8B">
        <w:t>future.</w:t>
      </w:r>
    </w:p>
    <w:p w:rsidR="00977366" w:rsidRPr="00D27AD9" w:rsidRDefault="00977366" w:rsidP="00977366">
      <w:pPr>
        <w:pStyle w:val="Heading3"/>
        <w:spacing w:before="0"/>
        <w:ind w:left="567" w:hanging="567"/>
        <w:rPr>
          <w:rFonts w:cs="Arial"/>
          <w:color w:val="000000"/>
        </w:rPr>
      </w:pPr>
      <w:r w:rsidRPr="00D27AD9">
        <w:rPr>
          <w:rFonts w:cs="Arial"/>
          <w:color w:val="000000"/>
        </w:rPr>
        <w:t>Industry background</w:t>
      </w:r>
    </w:p>
    <w:p w:rsidR="00977366" w:rsidRPr="00B32F62" w:rsidRDefault="00977366" w:rsidP="00A85F66">
      <w:pPr>
        <w:pStyle w:val="NormalParagraph"/>
        <w:tabs>
          <w:tab w:val="clear" w:pos="360"/>
          <w:tab w:val="num" w:pos="426"/>
        </w:tabs>
        <w:ind w:left="426" w:hanging="426"/>
        <w:rPr>
          <w:rFonts w:cs="Arial"/>
        </w:rPr>
      </w:pPr>
      <w:r w:rsidRPr="00B32F62">
        <w:rPr>
          <w:rFonts w:cs="Arial"/>
        </w:rPr>
        <w:t xml:space="preserve">Clay bricks </w:t>
      </w:r>
      <w:r w:rsidR="001B0AD5">
        <w:rPr>
          <w:rFonts w:cs="Arial"/>
        </w:rPr>
        <w:t>are generally</w:t>
      </w:r>
      <w:r w:rsidRPr="00B32F62">
        <w:rPr>
          <w:rFonts w:cs="Arial"/>
        </w:rPr>
        <w:t xml:space="preserve"> classified as:</w:t>
      </w:r>
    </w:p>
    <w:p w:rsidR="00977366" w:rsidRPr="00B32F62" w:rsidRDefault="00977366" w:rsidP="00A85F66">
      <w:pPr>
        <w:pStyle w:val="ListParagraph"/>
        <w:tabs>
          <w:tab w:val="clear" w:pos="360"/>
          <w:tab w:val="num" w:pos="927"/>
        </w:tabs>
        <w:ind w:left="924" w:hanging="357"/>
      </w:pPr>
      <w:r w:rsidRPr="00A85F66">
        <w:t>face bricks</w:t>
      </w:r>
      <w:r w:rsidRPr="00B32F62">
        <w:t xml:space="preserve"> – which are typically used on the exterior of a building and are manufactured in different colours and with different textures for aesthetic appeal</w:t>
      </w:r>
      <w:r w:rsidR="001B0AD5">
        <w:t>, and</w:t>
      </w:r>
    </w:p>
    <w:p w:rsidR="00977366" w:rsidRPr="00B32F62" w:rsidRDefault="00977366" w:rsidP="00A85F66">
      <w:pPr>
        <w:pStyle w:val="ListParagraph"/>
        <w:tabs>
          <w:tab w:val="clear" w:pos="360"/>
          <w:tab w:val="num" w:pos="927"/>
        </w:tabs>
        <w:ind w:left="924" w:hanging="357"/>
      </w:pPr>
      <w:proofErr w:type="gramStart"/>
      <w:r w:rsidRPr="00A85F66">
        <w:t>common</w:t>
      </w:r>
      <w:proofErr w:type="gramEnd"/>
      <w:r w:rsidRPr="00A85F66">
        <w:t xml:space="preserve"> bricks</w:t>
      </w:r>
      <w:r w:rsidRPr="00B32F62">
        <w:t xml:space="preserve"> – or ‘commons’, which are typically used where they will not be seen, particularly in foundations or for rendered facades, since they do not have a particular aesthetic appeal</w:t>
      </w:r>
      <w:r w:rsidR="001B0AD5">
        <w:t xml:space="preserve"> or surface treatment.</w:t>
      </w:r>
    </w:p>
    <w:p w:rsidR="00977366" w:rsidRPr="00B32F62" w:rsidRDefault="00977366" w:rsidP="008910F3">
      <w:pPr>
        <w:pStyle w:val="NormalParagraph"/>
        <w:tabs>
          <w:tab w:val="clear" w:pos="360"/>
          <w:tab w:val="num" w:pos="426"/>
        </w:tabs>
        <w:ind w:left="426" w:hanging="426"/>
        <w:rPr>
          <w:rFonts w:cs="Arial"/>
        </w:rPr>
      </w:pPr>
      <w:r w:rsidRPr="00B32F62">
        <w:rPr>
          <w:rFonts w:cs="Arial"/>
        </w:rPr>
        <w:t>The clay brick production process commences with the mining and collection of clay. This clay is then mixed with water and dried before firing. Bricks are required to be ‘fired’ in kilns for between 10 to 40 hours depending on the kiln, type of brick to be produced and its appearance. Face bricks</w:t>
      </w:r>
      <w:r w:rsidR="001B0AD5">
        <w:rPr>
          <w:rFonts w:cs="Arial"/>
        </w:rPr>
        <w:t xml:space="preserve"> and</w:t>
      </w:r>
      <w:r w:rsidRPr="00B32F62">
        <w:rPr>
          <w:rFonts w:cs="Arial"/>
        </w:rPr>
        <w:t xml:space="preserve"> common bricks are produced using very similar manufacturing processes, with minor variations to achieve different aesthetic quali</w:t>
      </w:r>
      <w:r w:rsidR="001B0AD5">
        <w:rPr>
          <w:rFonts w:cs="Arial"/>
        </w:rPr>
        <w:t>ties in relation to face bricks.</w:t>
      </w:r>
    </w:p>
    <w:p w:rsidR="00B32F62" w:rsidRPr="00B32F62" w:rsidRDefault="00977366" w:rsidP="00B32F62">
      <w:pPr>
        <w:pStyle w:val="NormalParagraph"/>
        <w:tabs>
          <w:tab w:val="clear" w:pos="360"/>
          <w:tab w:val="num" w:pos="426"/>
        </w:tabs>
        <w:ind w:left="426" w:hanging="426"/>
        <w:rPr>
          <w:rFonts w:cs="Arial"/>
        </w:rPr>
      </w:pPr>
      <w:r w:rsidRPr="00B32F62">
        <w:rPr>
          <w:rFonts w:cs="Arial"/>
        </w:rPr>
        <w:t>Clay brick supply is principally directed at</w:t>
      </w:r>
      <w:r w:rsidR="00461E8B">
        <w:rPr>
          <w:rFonts w:cs="Arial"/>
        </w:rPr>
        <w:t xml:space="preserve"> low-rise</w:t>
      </w:r>
      <w:r w:rsidRPr="00B32F62">
        <w:rPr>
          <w:rFonts w:cs="Arial"/>
        </w:rPr>
        <w:t xml:space="preserve"> residential construction, whereas commercial construction principally uses other materials, as </w:t>
      </w:r>
      <w:proofErr w:type="gramStart"/>
      <w:r w:rsidRPr="00B32F62">
        <w:rPr>
          <w:rFonts w:cs="Arial"/>
        </w:rPr>
        <w:t>does</w:t>
      </w:r>
      <w:proofErr w:type="gramEnd"/>
      <w:r w:rsidRPr="00B32F62">
        <w:rPr>
          <w:rFonts w:cs="Arial"/>
        </w:rPr>
        <w:t xml:space="preserve"> high-rise residential co</w:t>
      </w:r>
      <w:r w:rsidR="00BC72D9" w:rsidRPr="00B32F62">
        <w:rPr>
          <w:rFonts w:cs="Arial"/>
        </w:rPr>
        <w:t>nstruction. The ACCC’s review was t</w:t>
      </w:r>
      <w:r w:rsidRPr="00B32F62">
        <w:rPr>
          <w:rFonts w:cs="Arial"/>
        </w:rPr>
        <w:t>herefore focussed on the likely competition effects of the proposed joint venture in relation to low and medium-density residential construction.</w:t>
      </w:r>
    </w:p>
    <w:p w:rsidR="00AF1C87" w:rsidRDefault="00E845AB" w:rsidP="001B0AD5">
      <w:pPr>
        <w:pStyle w:val="Heading3"/>
      </w:pPr>
      <w:r>
        <w:lastRenderedPageBreak/>
        <w:t>Review timeline</w:t>
      </w:r>
    </w:p>
    <w:p w:rsidR="00AF1C87" w:rsidRPr="005E537F" w:rsidRDefault="00AF1C87" w:rsidP="001B0AD5">
      <w:pPr>
        <w:pStyle w:val="NormalParagraph"/>
        <w:keepNext/>
        <w:tabs>
          <w:tab w:val="clear" w:pos="360"/>
          <w:tab w:val="num" w:pos="426"/>
        </w:tabs>
      </w:pPr>
      <w:r>
        <w:t>The following table outlines the timelin</w:t>
      </w:r>
      <w:r w:rsidR="005E537F">
        <w:t>e of key events in this matter.</w:t>
      </w: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35"/>
        <w:gridCol w:w="6333"/>
      </w:tblGrid>
      <w:tr w:rsidR="00AF1C87" w:rsidRPr="00F80A7E" w:rsidTr="00601232">
        <w:trPr>
          <w:trHeight w:val="263"/>
          <w:tblHeader/>
        </w:trPr>
        <w:tc>
          <w:tcPr>
            <w:tcW w:w="2235" w:type="dxa"/>
          </w:tcPr>
          <w:p w:rsidR="00AF1C87" w:rsidRPr="00E845AB" w:rsidRDefault="00AF1C87" w:rsidP="001B0AD5">
            <w:pPr>
              <w:keepNext/>
              <w:rPr>
                <w:rFonts w:ascii="Arial" w:hAnsi="Arial" w:cs="Arial"/>
                <w:b/>
                <w:sz w:val="22"/>
                <w:szCs w:val="22"/>
              </w:rPr>
            </w:pPr>
            <w:r w:rsidRPr="00E845AB">
              <w:rPr>
                <w:rFonts w:ascii="Arial" w:hAnsi="Arial" w:cs="Arial"/>
                <w:b/>
                <w:sz w:val="22"/>
                <w:szCs w:val="22"/>
              </w:rPr>
              <w:t>Date</w:t>
            </w:r>
          </w:p>
        </w:tc>
        <w:tc>
          <w:tcPr>
            <w:tcW w:w="6333" w:type="dxa"/>
          </w:tcPr>
          <w:p w:rsidR="00AF1C87" w:rsidRPr="00E845AB" w:rsidRDefault="00725106" w:rsidP="001B0AD5">
            <w:pPr>
              <w:keepNext/>
              <w:ind w:left="-68"/>
              <w:rPr>
                <w:rFonts w:ascii="Arial" w:hAnsi="Arial" w:cs="Arial"/>
                <w:b/>
                <w:sz w:val="22"/>
                <w:szCs w:val="22"/>
              </w:rPr>
            </w:pPr>
            <w:r>
              <w:rPr>
                <w:rFonts w:ascii="Arial" w:hAnsi="Arial" w:cs="Arial"/>
                <w:b/>
                <w:sz w:val="22"/>
                <w:szCs w:val="22"/>
              </w:rPr>
              <w:t xml:space="preserve"> </w:t>
            </w:r>
            <w:r w:rsidR="00AF1C87" w:rsidRPr="00E845AB">
              <w:rPr>
                <w:rFonts w:ascii="Arial" w:hAnsi="Arial" w:cs="Arial"/>
                <w:b/>
                <w:sz w:val="22"/>
                <w:szCs w:val="22"/>
              </w:rPr>
              <w:t>Event</w:t>
            </w:r>
          </w:p>
        </w:tc>
      </w:tr>
      <w:tr w:rsidR="00AF1C87" w:rsidRPr="00F80A7E" w:rsidTr="00601232">
        <w:tc>
          <w:tcPr>
            <w:tcW w:w="2235" w:type="dxa"/>
          </w:tcPr>
          <w:p w:rsidR="00906C64" w:rsidRDefault="00313B40">
            <w:pPr>
              <w:rPr>
                <w:rFonts w:ascii="Arial" w:hAnsi="Arial" w:cs="Arial"/>
                <w:sz w:val="22"/>
                <w:szCs w:val="22"/>
              </w:rPr>
            </w:pPr>
            <w:bookmarkStart w:id="4" w:name="EventDate"/>
            <w:bookmarkEnd w:id="4"/>
            <w:r>
              <w:rPr>
                <w:rFonts w:ascii="Arial" w:hAnsi="Arial" w:cs="Arial"/>
                <w:sz w:val="22"/>
                <w:szCs w:val="22"/>
              </w:rPr>
              <w:t>9 April 2014</w:t>
            </w:r>
          </w:p>
          <w:p w:rsidR="00313B40" w:rsidRDefault="00313B40" w:rsidP="002B614D">
            <w:pPr>
              <w:rPr>
                <w:rFonts w:ascii="Arial" w:hAnsi="Arial" w:cs="Arial"/>
                <w:sz w:val="22"/>
                <w:szCs w:val="22"/>
              </w:rPr>
            </w:pPr>
          </w:p>
          <w:p w:rsidR="005E2A4F" w:rsidRDefault="005E2A4F" w:rsidP="002B614D">
            <w:pPr>
              <w:rPr>
                <w:rFonts w:ascii="Arial" w:hAnsi="Arial" w:cs="Arial"/>
                <w:sz w:val="22"/>
                <w:szCs w:val="22"/>
              </w:rPr>
            </w:pPr>
          </w:p>
          <w:p w:rsidR="00313B40" w:rsidRDefault="00313B40" w:rsidP="002B614D">
            <w:pPr>
              <w:rPr>
                <w:rFonts w:ascii="Arial" w:hAnsi="Arial" w:cs="Arial"/>
                <w:sz w:val="22"/>
                <w:szCs w:val="22"/>
              </w:rPr>
            </w:pPr>
            <w:r>
              <w:rPr>
                <w:rFonts w:ascii="Arial" w:hAnsi="Arial" w:cs="Arial"/>
                <w:sz w:val="22"/>
                <w:szCs w:val="22"/>
              </w:rPr>
              <w:t>29 April 2014</w:t>
            </w:r>
          </w:p>
          <w:p w:rsidR="00313B40" w:rsidRDefault="00313B40" w:rsidP="002B614D">
            <w:pPr>
              <w:rPr>
                <w:rFonts w:ascii="Arial" w:hAnsi="Arial" w:cs="Arial"/>
                <w:sz w:val="22"/>
                <w:szCs w:val="22"/>
              </w:rPr>
            </w:pPr>
          </w:p>
          <w:p w:rsidR="00601232" w:rsidRDefault="00601232" w:rsidP="002B614D">
            <w:pPr>
              <w:rPr>
                <w:rFonts w:ascii="Arial" w:hAnsi="Arial" w:cs="Arial"/>
                <w:sz w:val="22"/>
                <w:szCs w:val="22"/>
              </w:rPr>
            </w:pPr>
          </w:p>
          <w:p w:rsidR="00AF1C87" w:rsidRDefault="00313B40" w:rsidP="002B614D">
            <w:pPr>
              <w:rPr>
                <w:rFonts w:ascii="Arial" w:hAnsi="Arial" w:cs="Arial"/>
                <w:sz w:val="22"/>
                <w:szCs w:val="22"/>
              </w:rPr>
            </w:pPr>
            <w:r>
              <w:rPr>
                <w:rFonts w:ascii="Arial" w:hAnsi="Arial" w:cs="Arial"/>
                <w:sz w:val="22"/>
                <w:szCs w:val="22"/>
              </w:rPr>
              <w:t>1</w:t>
            </w:r>
            <w:r w:rsidRPr="00313B40">
              <w:rPr>
                <w:rFonts w:ascii="Arial" w:hAnsi="Arial" w:cs="Arial"/>
                <w:sz w:val="22"/>
                <w:szCs w:val="22"/>
              </w:rPr>
              <w:t xml:space="preserve"> May 2014</w:t>
            </w:r>
          </w:p>
          <w:p w:rsidR="002B614D" w:rsidRDefault="002B614D" w:rsidP="002B614D">
            <w:pPr>
              <w:rPr>
                <w:rFonts w:ascii="Arial" w:hAnsi="Arial" w:cs="Arial"/>
                <w:sz w:val="22"/>
                <w:szCs w:val="22"/>
              </w:rPr>
            </w:pPr>
          </w:p>
          <w:p w:rsidR="00053096" w:rsidRDefault="00313B40" w:rsidP="002B614D">
            <w:pPr>
              <w:rPr>
                <w:rFonts w:ascii="Arial" w:hAnsi="Arial" w:cs="Arial"/>
                <w:sz w:val="22"/>
                <w:szCs w:val="22"/>
              </w:rPr>
            </w:pPr>
            <w:r w:rsidRPr="00313B40">
              <w:rPr>
                <w:rFonts w:ascii="Arial" w:hAnsi="Arial" w:cs="Arial"/>
                <w:sz w:val="22"/>
                <w:szCs w:val="22"/>
              </w:rPr>
              <w:t>16 May 2014</w:t>
            </w:r>
          </w:p>
          <w:p w:rsidR="00053096" w:rsidRDefault="00053096" w:rsidP="002B614D">
            <w:pPr>
              <w:rPr>
                <w:rFonts w:ascii="Arial" w:hAnsi="Arial" w:cs="Arial"/>
                <w:sz w:val="22"/>
                <w:szCs w:val="22"/>
              </w:rPr>
            </w:pPr>
          </w:p>
          <w:p w:rsidR="002B614D" w:rsidRDefault="002B614D" w:rsidP="002B614D">
            <w:pPr>
              <w:rPr>
                <w:rFonts w:ascii="Arial" w:hAnsi="Arial" w:cs="Arial"/>
                <w:sz w:val="22"/>
                <w:szCs w:val="22"/>
              </w:rPr>
            </w:pPr>
          </w:p>
          <w:p w:rsidR="00313B40" w:rsidRDefault="00313B40" w:rsidP="002B614D">
            <w:pPr>
              <w:rPr>
                <w:rFonts w:ascii="Arial" w:hAnsi="Arial" w:cs="Arial"/>
                <w:sz w:val="22"/>
                <w:szCs w:val="22"/>
              </w:rPr>
            </w:pPr>
          </w:p>
          <w:p w:rsidR="00313B40" w:rsidRDefault="00313B40" w:rsidP="002B614D">
            <w:pPr>
              <w:rPr>
                <w:rFonts w:ascii="Arial" w:hAnsi="Arial" w:cs="Arial"/>
                <w:sz w:val="22"/>
                <w:szCs w:val="22"/>
              </w:rPr>
            </w:pPr>
          </w:p>
          <w:p w:rsidR="00313B40" w:rsidRDefault="00313B40" w:rsidP="002B614D">
            <w:pPr>
              <w:rPr>
                <w:rFonts w:ascii="Arial" w:hAnsi="Arial" w:cs="Arial"/>
                <w:sz w:val="22"/>
                <w:szCs w:val="22"/>
              </w:rPr>
            </w:pPr>
            <w:r>
              <w:rPr>
                <w:rFonts w:ascii="Arial" w:hAnsi="Arial" w:cs="Arial"/>
                <w:sz w:val="22"/>
                <w:szCs w:val="22"/>
              </w:rPr>
              <w:t>26 May 2014</w:t>
            </w:r>
          </w:p>
          <w:p w:rsidR="00313B40" w:rsidRDefault="00313B40" w:rsidP="002B614D">
            <w:pPr>
              <w:rPr>
                <w:rFonts w:ascii="Arial" w:hAnsi="Arial" w:cs="Arial"/>
                <w:sz w:val="22"/>
                <w:szCs w:val="22"/>
              </w:rPr>
            </w:pPr>
          </w:p>
          <w:p w:rsidR="00313B40" w:rsidRDefault="00313B40" w:rsidP="002B614D">
            <w:pPr>
              <w:rPr>
                <w:rFonts w:ascii="Arial" w:hAnsi="Arial" w:cs="Arial"/>
                <w:sz w:val="22"/>
                <w:szCs w:val="22"/>
              </w:rPr>
            </w:pPr>
          </w:p>
          <w:p w:rsidR="00313B40" w:rsidRDefault="00313B40" w:rsidP="002B614D">
            <w:pPr>
              <w:rPr>
                <w:rFonts w:ascii="Arial" w:hAnsi="Arial" w:cs="Arial"/>
                <w:sz w:val="22"/>
                <w:szCs w:val="22"/>
              </w:rPr>
            </w:pPr>
            <w:r>
              <w:rPr>
                <w:rFonts w:ascii="Arial" w:hAnsi="Arial" w:cs="Arial"/>
                <w:sz w:val="22"/>
                <w:szCs w:val="22"/>
              </w:rPr>
              <w:t>2 June 2014</w:t>
            </w:r>
          </w:p>
          <w:p w:rsidR="00313B40" w:rsidRDefault="00313B40" w:rsidP="002B614D">
            <w:pPr>
              <w:rPr>
                <w:rFonts w:ascii="Arial" w:hAnsi="Arial" w:cs="Arial"/>
                <w:sz w:val="22"/>
                <w:szCs w:val="22"/>
              </w:rPr>
            </w:pPr>
          </w:p>
          <w:p w:rsidR="00313B40" w:rsidRDefault="00313B40" w:rsidP="002B614D">
            <w:pPr>
              <w:rPr>
                <w:rFonts w:ascii="Arial" w:hAnsi="Arial" w:cs="Arial"/>
                <w:sz w:val="22"/>
                <w:szCs w:val="22"/>
              </w:rPr>
            </w:pPr>
          </w:p>
          <w:p w:rsidR="00313B40" w:rsidRDefault="00313B40" w:rsidP="002B614D">
            <w:pPr>
              <w:rPr>
                <w:rFonts w:ascii="Arial" w:hAnsi="Arial" w:cs="Arial"/>
                <w:sz w:val="22"/>
                <w:szCs w:val="22"/>
              </w:rPr>
            </w:pPr>
          </w:p>
          <w:p w:rsidR="00313B40" w:rsidRDefault="00313B40" w:rsidP="002B614D">
            <w:pPr>
              <w:rPr>
                <w:rFonts w:ascii="Arial" w:hAnsi="Arial" w:cs="Arial"/>
                <w:sz w:val="22"/>
                <w:szCs w:val="22"/>
              </w:rPr>
            </w:pPr>
          </w:p>
          <w:p w:rsidR="00313B40" w:rsidRDefault="00313B40" w:rsidP="00313B40">
            <w:pPr>
              <w:rPr>
                <w:rFonts w:ascii="Arial" w:hAnsi="Arial" w:cs="Arial"/>
                <w:sz w:val="22"/>
                <w:szCs w:val="22"/>
              </w:rPr>
            </w:pPr>
            <w:r w:rsidRPr="00313B40">
              <w:rPr>
                <w:rFonts w:ascii="Arial" w:hAnsi="Arial" w:cs="Arial"/>
                <w:sz w:val="22"/>
                <w:szCs w:val="22"/>
              </w:rPr>
              <w:t>12</w:t>
            </w:r>
            <w:r>
              <w:rPr>
                <w:rFonts w:ascii="Arial" w:hAnsi="Arial" w:cs="Arial"/>
                <w:sz w:val="22"/>
                <w:szCs w:val="22"/>
              </w:rPr>
              <w:t xml:space="preserve"> </w:t>
            </w:r>
            <w:r w:rsidRPr="00313B40">
              <w:rPr>
                <w:rFonts w:ascii="Arial" w:hAnsi="Arial" w:cs="Arial"/>
                <w:sz w:val="22"/>
                <w:szCs w:val="22"/>
              </w:rPr>
              <w:t>September 2014</w:t>
            </w:r>
          </w:p>
          <w:p w:rsidR="00313B40" w:rsidRDefault="00313B40" w:rsidP="00313B40">
            <w:pPr>
              <w:rPr>
                <w:rFonts w:ascii="Arial" w:hAnsi="Arial" w:cs="Arial"/>
                <w:sz w:val="22"/>
                <w:szCs w:val="22"/>
              </w:rPr>
            </w:pPr>
          </w:p>
          <w:p w:rsidR="00601232" w:rsidRDefault="00601232" w:rsidP="00313B40">
            <w:pPr>
              <w:rPr>
                <w:rFonts w:ascii="Arial" w:hAnsi="Arial" w:cs="Arial"/>
                <w:sz w:val="22"/>
                <w:szCs w:val="22"/>
              </w:rPr>
            </w:pPr>
          </w:p>
          <w:p w:rsidR="00313B40" w:rsidRDefault="00313B40" w:rsidP="00313B40">
            <w:pPr>
              <w:rPr>
                <w:rFonts w:ascii="Arial" w:hAnsi="Arial" w:cs="Arial"/>
                <w:sz w:val="22"/>
                <w:szCs w:val="22"/>
              </w:rPr>
            </w:pPr>
            <w:r w:rsidRPr="00313B40">
              <w:rPr>
                <w:rFonts w:ascii="Arial" w:hAnsi="Arial" w:cs="Arial"/>
                <w:sz w:val="22"/>
                <w:szCs w:val="22"/>
              </w:rPr>
              <w:t>16 October 2014</w:t>
            </w:r>
          </w:p>
          <w:p w:rsidR="00313B40" w:rsidRDefault="00313B40" w:rsidP="00313B40">
            <w:pPr>
              <w:rPr>
                <w:rFonts w:ascii="Arial" w:hAnsi="Arial" w:cs="Arial"/>
                <w:sz w:val="22"/>
                <w:szCs w:val="22"/>
              </w:rPr>
            </w:pPr>
          </w:p>
          <w:p w:rsidR="00601232" w:rsidRDefault="00601232" w:rsidP="00313B40">
            <w:pPr>
              <w:rPr>
                <w:rFonts w:ascii="Arial" w:hAnsi="Arial" w:cs="Arial"/>
                <w:sz w:val="22"/>
                <w:szCs w:val="22"/>
              </w:rPr>
            </w:pPr>
          </w:p>
          <w:p w:rsidR="00313B40" w:rsidRDefault="00313B40" w:rsidP="00313B40">
            <w:pPr>
              <w:rPr>
                <w:rFonts w:ascii="Arial" w:hAnsi="Arial" w:cs="Arial"/>
                <w:sz w:val="22"/>
                <w:szCs w:val="22"/>
              </w:rPr>
            </w:pPr>
            <w:r w:rsidRPr="00313B40">
              <w:rPr>
                <w:rFonts w:ascii="Arial" w:hAnsi="Arial" w:cs="Arial"/>
                <w:sz w:val="22"/>
                <w:szCs w:val="22"/>
              </w:rPr>
              <w:t>6</w:t>
            </w:r>
            <w:r>
              <w:rPr>
                <w:rFonts w:ascii="Arial" w:hAnsi="Arial" w:cs="Arial"/>
                <w:sz w:val="22"/>
                <w:szCs w:val="22"/>
              </w:rPr>
              <w:t xml:space="preserve"> </w:t>
            </w:r>
            <w:r w:rsidRPr="00313B40">
              <w:rPr>
                <w:rFonts w:ascii="Arial" w:hAnsi="Arial" w:cs="Arial"/>
                <w:sz w:val="22"/>
                <w:szCs w:val="22"/>
              </w:rPr>
              <w:t>November 2014</w:t>
            </w:r>
          </w:p>
          <w:p w:rsidR="00BC72D9" w:rsidRDefault="00BC72D9" w:rsidP="00313B40">
            <w:pPr>
              <w:rPr>
                <w:rFonts w:ascii="Arial" w:hAnsi="Arial" w:cs="Arial"/>
                <w:sz w:val="22"/>
                <w:szCs w:val="22"/>
              </w:rPr>
            </w:pPr>
          </w:p>
          <w:p w:rsidR="00BC72D9" w:rsidRPr="00F80A7E" w:rsidRDefault="00BC72D9" w:rsidP="00313B40">
            <w:pPr>
              <w:rPr>
                <w:rFonts w:ascii="Arial" w:hAnsi="Arial" w:cs="Arial"/>
                <w:sz w:val="22"/>
                <w:szCs w:val="22"/>
              </w:rPr>
            </w:pPr>
            <w:r>
              <w:rPr>
                <w:rFonts w:ascii="Arial" w:hAnsi="Arial" w:cs="Arial"/>
                <w:sz w:val="22"/>
                <w:szCs w:val="22"/>
              </w:rPr>
              <w:t>18 December 2014</w:t>
            </w:r>
          </w:p>
        </w:tc>
        <w:tc>
          <w:tcPr>
            <w:tcW w:w="6333" w:type="dxa"/>
          </w:tcPr>
          <w:p w:rsidR="00906C64" w:rsidRDefault="00313B40">
            <w:pPr>
              <w:rPr>
                <w:rFonts w:ascii="Arial" w:hAnsi="Arial" w:cs="Arial"/>
                <w:sz w:val="22"/>
                <w:szCs w:val="22"/>
              </w:rPr>
            </w:pPr>
            <w:bookmarkStart w:id="5" w:name="EventDescription"/>
            <w:bookmarkEnd w:id="5"/>
            <w:r w:rsidRPr="00313B40">
              <w:rPr>
                <w:rFonts w:ascii="Arial" w:hAnsi="Arial" w:cs="Arial"/>
                <w:sz w:val="22"/>
                <w:szCs w:val="22"/>
              </w:rPr>
              <w:t>ACCC commenced review under the Merger Review Process Guidelines.</w:t>
            </w:r>
          </w:p>
          <w:p w:rsidR="00313B40" w:rsidRDefault="00313B40">
            <w:pPr>
              <w:rPr>
                <w:rFonts w:ascii="Arial" w:hAnsi="Arial" w:cs="Arial"/>
                <w:sz w:val="22"/>
                <w:szCs w:val="22"/>
              </w:rPr>
            </w:pPr>
          </w:p>
          <w:p w:rsidR="00053096" w:rsidRDefault="00313B40">
            <w:pPr>
              <w:rPr>
                <w:rFonts w:ascii="Arial" w:hAnsi="Arial" w:cs="Arial"/>
                <w:sz w:val="22"/>
                <w:szCs w:val="22"/>
              </w:rPr>
            </w:pPr>
            <w:r w:rsidRPr="00313B40">
              <w:rPr>
                <w:rFonts w:ascii="Arial" w:hAnsi="Arial" w:cs="Arial"/>
                <w:sz w:val="22"/>
                <w:szCs w:val="22"/>
              </w:rPr>
              <w:t>ACCC requested further information from the joint venture parties.</w:t>
            </w:r>
          </w:p>
          <w:p w:rsidR="00313B40" w:rsidRDefault="00313B40" w:rsidP="00313B40">
            <w:pPr>
              <w:rPr>
                <w:rFonts w:ascii="Arial" w:hAnsi="Arial" w:cs="Arial"/>
                <w:sz w:val="22"/>
                <w:szCs w:val="22"/>
              </w:rPr>
            </w:pPr>
          </w:p>
          <w:p w:rsidR="00313B40" w:rsidRDefault="00313B40" w:rsidP="00313B40">
            <w:pPr>
              <w:rPr>
                <w:rFonts w:ascii="Arial" w:hAnsi="Arial" w:cs="Arial"/>
                <w:sz w:val="22"/>
                <w:szCs w:val="22"/>
              </w:rPr>
            </w:pPr>
            <w:r w:rsidRPr="00313B40">
              <w:rPr>
                <w:rFonts w:ascii="Arial" w:hAnsi="Arial" w:cs="Arial"/>
                <w:sz w:val="22"/>
                <w:szCs w:val="22"/>
              </w:rPr>
              <w:t>Closing date for submissions for interested parties.</w:t>
            </w:r>
          </w:p>
          <w:p w:rsidR="00313B40" w:rsidRDefault="00313B40" w:rsidP="00313B40">
            <w:pPr>
              <w:rPr>
                <w:rFonts w:ascii="Arial" w:hAnsi="Arial" w:cs="Arial"/>
                <w:sz w:val="22"/>
                <w:szCs w:val="22"/>
              </w:rPr>
            </w:pPr>
          </w:p>
          <w:p w:rsidR="00AF1C87" w:rsidRDefault="00313B40" w:rsidP="00313B40">
            <w:pPr>
              <w:rPr>
                <w:rFonts w:ascii="Arial" w:hAnsi="Arial" w:cs="Arial"/>
                <w:sz w:val="22"/>
                <w:szCs w:val="22"/>
              </w:rPr>
            </w:pPr>
            <w:r w:rsidRPr="00313B40">
              <w:rPr>
                <w:rFonts w:ascii="Arial" w:hAnsi="Arial" w:cs="Arial"/>
                <w:sz w:val="22"/>
                <w:szCs w:val="22"/>
              </w:rPr>
              <w:t>ACCC requested further information from the joint venture parties. Former proposed decision date of 26 June 2014 delayed to accommodate provision of requested information from the joint venture parties.</w:t>
            </w:r>
          </w:p>
          <w:p w:rsidR="00313B40" w:rsidRDefault="00313B40" w:rsidP="00313B40">
            <w:pPr>
              <w:rPr>
                <w:rFonts w:ascii="Arial" w:hAnsi="Arial" w:cs="Arial"/>
                <w:sz w:val="22"/>
                <w:szCs w:val="22"/>
              </w:rPr>
            </w:pPr>
          </w:p>
          <w:p w:rsidR="00313B40" w:rsidRDefault="00313B40" w:rsidP="00313B40">
            <w:pPr>
              <w:rPr>
                <w:rFonts w:ascii="Arial" w:hAnsi="Arial" w:cs="Arial"/>
                <w:sz w:val="22"/>
                <w:szCs w:val="22"/>
              </w:rPr>
            </w:pPr>
            <w:r w:rsidRPr="00313B40">
              <w:rPr>
                <w:rFonts w:ascii="Arial" w:hAnsi="Arial" w:cs="Arial"/>
                <w:sz w:val="22"/>
                <w:szCs w:val="22"/>
              </w:rPr>
              <w:t>ACCC received the joint venture parties' response to its information request of 29 April 2014.</w:t>
            </w:r>
          </w:p>
          <w:p w:rsidR="00313B40" w:rsidRDefault="00313B40" w:rsidP="00313B40">
            <w:pPr>
              <w:rPr>
                <w:rFonts w:ascii="Arial" w:hAnsi="Arial" w:cs="Arial"/>
                <w:sz w:val="22"/>
                <w:szCs w:val="22"/>
              </w:rPr>
            </w:pPr>
          </w:p>
          <w:p w:rsidR="00313B40" w:rsidRDefault="00313B40" w:rsidP="00313B40">
            <w:pPr>
              <w:rPr>
                <w:rFonts w:ascii="Arial" w:hAnsi="Arial" w:cs="Arial"/>
                <w:sz w:val="22"/>
                <w:szCs w:val="22"/>
              </w:rPr>
            </w:pPr>
            <w:r w:rsidRPr="00313B40">
              <w:rPr>
                <w:rFonts w:ascii="Arial" w:hAnsi="Arial" w:cs="Arial"/>
                <w:sz w:val="22"/>
                <w:szCs w:val="22"/>
              </w:rPr>
              <w:t>Review suspended at the request of the joint venture parties. The joint venture parties requested more time to provide additional information to the ACCC (including information requested by the ACCC on 16 May 2014).</w:t>
            </w:r>
          </w:p>
          <w:p w:rsidR="00313B40" w:rsidRDefault="00313B40" w:rsidP="00313B40">
            <w:pPr>
              <w:rPr>
                <w:rFonts w:ascii="Arial" w:hAnsi="Arial" w:cs="Arial"/>
                <w:sz w:val="22"/>
                <w:szCs w:val="22"/>
              </w:rPr>
            </w:pPr>
          </w:p>
          <w:p w:rsidR="00313B40" w:rsidRDefault="00313B40" w:rsidP="00313B40">
            <w:pPr>
              <w:rPr>
                <w:rFonts w:ascii="Arial" w:hAnsi="Arial" w:cs="Arial"/>
                <w:sz w:val="22"/>
                <w:szCs w:val="22"/>
              </w:rPr>
            </w:pPr>
            <w:r w:rsidRPr="00313B40">
              <w:rPr>
                <w:rFonts w:ascii="Arial" w:hAnsi="Arial" w:cs="Arial"/>
                <w:sz w:val="22"/>
                <w:szCs w:val="22"/>
              </w:rPr>
              <w:t>ACCC received additional information from the joint venture parties.</w:t>
            </w:r>
          </w:p>
          <w:p w:rsidR="00313B40" w:rsidRDefault="00313B40" w:rsidP="00313B40">
            <w:pPr>
              <w:rPr>
                <w:rFonts w:ascii="Arial" w:hAnsi="Arial" w:cs="Arial"/>
                <w:sz w:val="22"/>
                <w:szCs w:val="22"/>
              </w:rPr>
            </w:pPr>
          </w:p>
          <w:p w:rsidR="00313B40" w:rsidRDefault="00313B40" w:rsidP="00313B40">
            <w:pPr>
              <w:rPr>
                <w:rFonts w:ascii="Arial" w:hAnsi="Arial" w:cs="Arial"/>
                <w:sz w:val="22"/>
                <w:szCs w:val="22"/>
              </w:rPr>
            </w:pPr>
            <w:r w:rsidRPr="00313B40">
              <w:rPr>
                <w:rFonts w:ascii="Arial" w:hAnsi="Arial" w:cs="Arial"/>
                <w:sz w:val="22"/>
                <w:szCs w:val="22"/>
              </w:rPr>
              <w:t>ACCC published a Statement of Issues outlining preliminary competition concerns.</w:t>
            </w:r>
          </w:p>
          <w:p w:rsidR="00313B40" w:rsidRDefault="00313B40" w:rsidP="00313B40">
            <w:pPr>
              <w:rPr>
                <w:rFonts w:ascii="Arial" w:hAnsi="Arial" w:cs="Arial"/>
                <w:sz w:val="22"/>
                <w:szCs w:val="22"/>
              </w:rPr>
            </w:pPr>
          </w:p>
          <w:p w:rsidR="00313B40" w:rsidRDefault="00313B40" w:rsidP="00313B40">
            <w:pPr>
              <w:rPr>
                <w:rFonts w:ascii="Arial" w:hAnsi="Arial" w:cs="Arial"/>
                <w:sz w:val="22"/>
                <w:szCs w:val="22"/>
              </w:rPr>
            </w:pPr>
            <w:r w:rsidRPr="00313B40">
              <w:rPr>
                <w:rFonts w:ascii="Arial" w:hAnsi="Arial" w:cs="Arial"/>
                <w:sz w:val="22"/>
                <w:szCs w:val="22"/>
              </w:rPr>
              <w:t>Closing date for submissions relating to Statement of Issues.</w:t>
            </w:r>
          </w:p>
          <w:p w:rsidR="00BC72D9" w:rsidRDefault="00BC72D9" w:rsidP="00313B40">
            <w:pPr>
              <w:rPr>
                <w:rFonts w:ascii="Arial" w:hAnsi="Arial" w:cs="Arial"/>
                <w:sz w:val="22"/>
                <w:szCs w:val="22"/>
              </w:rPr>
            </w:pPr>
          </w:p>
          <w:p w:rsidR="00BC72D9" w:rsidRPr="00F80A7E" w:rsidRDefault="00BC72D9" w:rsidP="00313B40">
            <w:pPr>
              <w:rPr>
                <w:rFonts w:ascii="Arial" w:hAnsi="Arial" w:cs="Arial"/>
                <w:sz w:val="22"/>
                <w:szCs w:val="22"/>
              </w:rPr>
            </w:pPr>
            <w:r>
              <w:rPr>
                <w:rFonts w:ascii="Arial" w:hAnsi="Arial" w:cs="Arial"/>
                <w:sz w:val="22"/>
                <w:szCs w:val="22"/>
              </w:rPr>
              <w:t>ACCC announced it would not oppose the proposed joint venture.</w:t>
            </w:r>
          </w:p>
        </w:tc>
      </w:tr>
    </w:tbl>
    <w:p w:rsidR="00AF1C87" w:rsidRDefault="00113306" w:rsidP="006A7FE8">
      <w:pPr>
        <w:pStyle w:val="Heading3"/>
      </w:pPr>
      <w:r>
        <w:br/>
      </w:r>
      <w:r w:rsidR="00AF1C87">
        <w:t xml:space="preserve">Market </w:t>
      </w:r>
      <w:r w:rsidR="00AF1C87" w:rsidRPr="00F80A7E">
        <w:t>inquiries</w:t>
      </w:r>
    </w:p>
    <w:p w:rsidR="00002E51" w:rsidRDefault="00BC72D9" w:rsidP="00002E51">
      <w:pPr>
        <w:pStyle w:val="NormalParagraph"/>
      </w:pPr>
      <w:r w:rsidRPr="009A0CB9">
        <w:t xml:space="preserve">The ACCC received written submissions from and/or spoke with a </w:t>
      </w:r>
      <w:r w:rsidR="00002E51">
        <w:t>very large number</w:t>
      </w:r>
      <w:r w:rsidRPr="009A0CB9">
        <w:t xml:space="preserve"> of interested parties</w:t>
      </w:r>
      <w:r w:rsidR="00AF1C87" w:rsidRPr="002B614D">
        <w:t xml:space="preserve"> </w:t>
      </w:r>
      <w:r w:rsidRPr="009A0CB9">
        <w:t xml:space="preserve">including builders, relevant industry associations, brick </w:t>
      </w:r>
      <w:r w:rsidR="007C790D">
        <w:t>suppliers</w:t>
      </w:r>
      <w:r w:rsidRPr="009A0CB9">
        <w:t>, and suppliers of o</w:t>
      </w:r>
      <w:r w:rsidR="00002E51">
        <w:t>ther forms of external cladding.</w:t>
      </w:r>
    </w:p>
    <w:p w:rsidR="00AF1C87" w:rsidRDefault="00AF1C87" w:rsidP="006A7FE8">
      <w:pPr>
        <w:pStyle w:val="Heading3"/>
      </w:pPr>
      <w:r w:rsidRPr="00A53505">
        <w:t>Statement</w:t>
      </w:r>
      <w:r>
        <w:t xml:space="preserve"> of Issues</w:t>
      </w:r>
    </w:p>
    <w:p w:rsidR="00BC72D9" w:rsidRDefault="00AF1C87" w:rsidP="008910F3">
      <w:pPr>
        <w:pStyle w:val="NormalParagraph"/>
        <w:tabs>
          <w:tab w:val="clear" w:pos="360"/>
          <w:tab w:val="num" w:pos="426"/>
        </w:tabs>
        <w:ind w:left="426" w:hanging="426"/>
      </w:pPr>
      <w:r w:rsidRPr="00053096">
        <w:t>The</w:t>
      </w:r>
      <w:r>
        <w:t xml:space="preserve"> ACCC published </w:t>
      </w:r>
      <w:r w:rsidR="00A85F66">
        <w:t>a</w:t>
      </w:r>
      <w:r>
        <w:t xml:space="preserve"> Statement of </w:t>
      </w:r>
      <w:r w:rsidRPr="00C4726A">
        <w:rPr>
          <w:szCs w:val="24"/>
        </w:rPr>
        <w:t xml:space="preserve">Issues </w:t>
      </w:r>
      <w:r w:rsidR="00BC72D9" w:rsidRPr="00C4726A">
        <w:rPr>
          <w:szCs w:val="24"/>
        </w:rPr>
        <w:t>(</w:t>
      </w:r>
      <w:r w:rsidR="00BC72D9" w:rsidRPr="00C4726A">
        <w:rPr>
          <w:b/>
          <w:szCs w:val="24"/>
        </w:rPr>
        <w:t>S</w:t>
      </w:r>
      <w:r w:rsidR="00C4726A" w:rsidRPr="00C4726A">
        <w:rPr>
          <w:b/>
          <w:szCs w:val="24"/>
        </w:rPr>
        <w:t>O</w:t>
      </w:r>
      <w:r w:rsidR="00BC72D9" w:rsidRPr="00C4726A">
        <w:rPr>
          <w:b/>
          <w:szCs w:val="24"/>
        </w:rPr>
        <w:t>I</w:t>
      </w:r>
      <w:r w:rsidR="00BC72D9" w:rsidRPr="00C4726A">
        <w:rPr>
          <w:szCs w:val="24"/>
        </w:rPr>
        <w:t>)</w:t>
      </w:r>
      <w:r w:rsidR="00BC72D9">
        <w:rPr>
          <w:szCs w:val="24"/>
        </w:rPr>
        <w:t xml:space="preserve"> </w:t>
      </w:r>
      <w:r w:rsidR="00A85F66">
        <w:rPr>
          <w:szCs w:val="24"/>
        </w:rPr>
        <w:t xml:space="preserve">in relation to this </w:t>
      </w:r>
      <w:r w:rsidR="00725106">
        <w:rPr>
          <w:szCs w:val="24"/>
        </w:rPr>
        <w:t xml:space="preserve">transaction </w:t>
      </w:r>
      <w:r w:rsidRPr="00313B40">
        <w:rPr>
          <w:szCs w:val="24"/>
        </w:rPr>
        <w:t>on</w:t>
      </w:r>
      <w:r w:rsidR="00313B40" w:rsidRPr="00313B40">
        <w:rPr>
          <w:szCs w:val="24"/>
        </w:rPr>
        <w:t xml:space="preserve"> 16 October 2014</w:t>
      </w:r>
      <w:r w:rsidR="00BC72D9">
        <w:t>.</w:t>
      </w:r>
    </w:p>
    <w:p w:rsidR="00012FFF" w:rsidRDefault="00AF1C87" w:rsidP="008910F3">
      <w:pPr>
        <w:pStyle w:val="NormalParagraph"/>
        <w:tabs>
          <w:tab w:val="clear" w:pos="360"/>
          <w:tab w:val="num" w:pos="426"/>
        </w:tabs>
        <w:ind w:left="426" w:hanging="426"/>
      </w:pPr>
      <w:r>
        <w:t xml:space="preserve">In the </w:t>
      </w:r>
      <w:r w:rsidR="00C4726A">
        <w:t>SO</w:t>
      </w:r>
      <w:r w:rsidR="00BC72D9">
        <w:t>I</w:t>
      </w:r>
      <w:r w:rsidR="00313B40" w:rsidRPr="00BC72D9">
        <w:rPr>
          <w:szCs w:val="24"/>
        </w:rPr>
        <w:t>,</w:t>
      </w:r>
      <w:r w:rsidRPr="00BC72D9">
        <w:rPr>
          <w:szCs w:val="24"/>
        </w:rPr>
        <w:t xml:space="preserve"> </w:t>
      </w:r>
      <w:r w:rsidR="00053096" w:rsidRPr="00053096">
        <w:t xml:space="preserve">the ACCC </w:t>
      </w:r>
      <w:r w:rsidRPr="00053096">
        <w:t xml:space="preserve">stated its preliminary view </w:t>
      </w:r>
      <w:r w:rsidR="00ED6489">
        <w:t xml:space="preserve">that the proposed joint venture would </w:t>
      </w:r>
      <w:r w:rsidR="00002E51">
        <w:t xml:space="preserve">be likely to </w:t>
      </w:r>
      <w:r w:rsidR="00ED6489">
        <w:t xml:space="preserve">substantially lessen competition in </w:t>
      </w:r>
      <w:r w:rsidR="00BC72D9">
        <w:t xml:space="preserve">the </w:t>
      </w:r>
      <w:r w:rsidR="00ED6489">
        <w:t>NSW and Queensland clay bricks markets compared to a future where the three major suppliers continued to operate independently</w:t>
      </w:r>
      <w:r w:rsidR="00BC72D9">
        <w:t>.</w:t>
      </w:r>
    </w:p>
    <w:p w:rsidR="00002E51" w:rsidRDefault="00411C3D" w:rsidP="008910F3">
      <w:pPr>
        <w:pStyle w:val="NormalParagraph"/>
        <w:tabs>
          <w:tab w:val="clear" w:pos="360"/>
          <w:tab w:val="num" w:pos="426"/>
        </w:tabs>
        <w:ind w:left="426" w:hanging="426"/>
      </w:pPr>
      <w:r>
        <w:lastRenderedPageBreak/>
        <w:t>The ACC</w:t>
      </w:r>
      <w:r w:rsidR="00397481">
        <w:t>C</w:t>
      </w:r>
      <w:r>
        <w:t xml:space="preserve"> also</w:t>
      </w:r>
      <w:r w:rsidR="00002E51">
        <w:t xml:space="preserve"> expressed the prelimina</w:t>
      </w:r>
      <w:r w:rsidR="00A318D6">
        <w:t>ry view</w:t>
      </w:r>
      <w:r w:rsidR="00002E51">
        <w:t xml:space="preserve"> that the proposed joint venture </w:t>
      </w:r>
      <w:r w:rsidR="00002E51" w:rsidRPr="00012FFF">
        <w:rPr>
          <w:i/>
        </w:rPr>
        <w:t>may</w:t>
      </w:r>
      <w:r w:rsidR="00002E51">
        <w:t xml:space="preserve"> substantially lessen competition for the supply of clay bricks in Victoria and South Australia. </w:t>
      </w:r>
      <w:r w:rsidR="005E2A4F">
        <w:t>CSR does not manufactu</w:t>
      </w:r>
      <w:r w:rsidR="00747CC6">
        <w:t xml:space="preserve">re bricks in Victoria and Boral does not manufacture bricks in South </w:t>
      </w:r>
      <w:proofErr w:type="gramStart"/>
      <w:r w:rsidR="00747CC6">
        <w:t>Australia,</w:t>
      </w:r>
      <w:proofErr w:type="gramEnd"/>
      <w:r w:rsidR="00747CC6">
        <w:t xml:space="preserve"> however the </w:t>
      </w:r>
      <w:r w:rsidR="00725106">
        <w:t xml:space="preserve">activities of the </w:t>
      </w:r>
      <w:r w:rsidR="00747CC6">
        <w:t xml:space="preserve">two </w:t>
      </w:r>
      <w:r w:rsidR="00725106">
        <w:t xml:space="preserve">businesses </w:t>
      </w:r>
      <w:r w:rsidR="00747CC6">
        <w:t xml:space="preserve">still overlapped, with CSR and Boral relying on </w:t>
      </w:r>
      <w:r w:rsidR="00A85F66">
        <w:t>interstate supply to service Victoria and South Australia</w:t>
      </w:r>
      <w:r w:rsidR="00BC6932">
        <w:t>,</w:t>
      </w:r>
      <w:r w:rsidR="00A85F66">
        <w:t xml:space="preserve"> respectively. </w:t>
      </w:r>
    </w:p>
    <w:p w:rsidR="00A85F66" w:rsidRDefault="00411C3D" w:rsidP="008910F3">
      <w:pPr>
        <w:pStyle w:val="NormalParagraph"/>
        <w:tabs>
          <w:tab w:val="clear" w:pos="360"/>
          <w:tab w:val="num" w:pos="426"/>
        </w:tabs>
        <w:ind w:left="426" w:hanging="426"/>
      </w:pPr>
      <w:r>
        <w:t>In t</w:t>
      </w:r>
      <w:r w:rsidR="00A85F66">
        <w:t>he S</w:t>
      </w:r>
      <w:r w:rsidR="00C4726A">
        <w:t>O</w:t>
      </w:r>
      <w:r w:rsidR="00A85F66">
        <w:t>I</w:t>
      </w:r>
      <w:r>
        <w:t>, the ACCC</w:t>
      </w:r>
      <w:r w:rsidR="00A85F66">
        <w:t xml:space="preserve"> s</w:t>
      </w:r>
      <w:r w:rsidR="00397481">
        <w:t>ought</w:t>
      </w:r>
      <w:r w:rsidR="00A85F66">
        <w:t xml:space="preserve"> further information from market participants in relation to the likely future without the proposed joint venture. Market </w:t>
      </w:r>
      <w:r>
        <w:t>responses</w:t>
      </w:r>
      <w:r w:rsidR="00A85F66">
        <w:t xml:space="preserve"> to this issue, along with extensive material provided by the joint venture parties, informed the ACCC’s final decision as discussed further below.</w:t>
      </w:r>
    </w:p>
    <w:p w:rsidR="00113306" w:rsidRDefault="00113306" w:rsidP="00113306">
      <w:pPr>
        <w:pStyle w:val="Heading3"/>
      </w:pPr>
      <w:r>
        <w:t xml:space="preserve">Market </w:t>
      </w:r>
      <w:r w:rsidRPr="00A53505">
        <w:t>definition</w:t>
      </w:r>
    </w:p>
    <w:p w:rsidR="00B32F62" w:rsidRPr="00113306" w:rsidRDefault="00113306" w:rsidP="00D04501">
      <w:pPr>
        <w:pStyle w:val="NormalParagraph"/>
        <w:tabs>
          <w:tab w:val="clear" w:pos="360"/>
          <w:tab w:val="num" w:pos="426"/>
        </w:tabs>
        <w:ind w:left="426" w:hanging="426"/>
      </w:pPr>
      <w:r w:rsidRPr="00113306">
        <w:t xml:space="preserve">The relevant markets were considered to be </w:t>
      </w:r>
      <w:r w:rsidRPr="00113306">
        <w:rPr>
          <w:rFonts w:cs="Arial"/>
        </w:rPr>
        <w:t>the markets for supply of clay bricks in each of NSW (including ACT), Queensland, Victoria, South Australia and Tasmania.</w:t>
      </w:r>
    </w:p>
    <w:p w:rsidR="00113306" w:rsidRPr="00113306" w:rsidRDefault="00113306" w:rsidP="008910F3">
      <w:pPr>
        <w:pStyle w:val="NormalParagraph"/>
        <w:tabs>
          <w:tab w:val="clear" w:pos="360"/>
          <w:tab w:val="num" w:pos="426"/>
        </w:tabs>
        <w:ind w:left="426" w:hanging="426"/>
      </w:pPr>
      <w:r w:rsidRPr="00113306">
        <w:rPr>
          <w:rFonts w:cs="Arial"/>
        </w:rPr>
        <w:t>In reaching its conclusion, the ACCC assessed a range of other external cladding products to determine whether they were in the same market as clay bricks. These products included:</w:t>
      </w:r>
    </w:p>
    <w:p w:rsidR="00113306" w:rsidRPr="00113306" w:rsidRDefault="00113306" w:rsidP="00A85F66">
      <w:pPr>
        <w:pStyle w:val="ListParagraph"/>
        <w:tabs>
          <w:tab w:val="clear" w:pos="360"/>
          <w:tab w:val="num" w:pos="927"/>
        </w:tabs>
        <w:ind w:left="924" w:hanging="357"/>
      </w:pPr>
      <w:r w:rsidRPr="00113306">
        <w:t>autoclaved aerated concrete (</w:t>
      </w:r>
      <w:r w:rsidRPr="00A85F66">
        <w:t>AAC</w:t>
      </w:r>
      <w:r w:rsidR="00E96436">
        <w:t xml:space="preserve">), </w:t>
      </w:r>
      <w:r w:rsidRPr="00113306">
        <w:t xml:space="preserve">the main </w:t>
      </w:r>
      <w:r w:rsidR="00E96436">
        <w:t>brand of which is Hebel</w:t>
      </w:r>
    </w:p>
    <w:p w:rsidR="00113306" w:rsidRPr="00113306" w:rsidRDefault="00A85F66" w:rsidP="00A85F66">
      <w:pPr>
        <w:pStyle w:val="ListParagraph"/>
        <w:tabs>
          <w:tab w:val="clear" w:pos="360"/>
          <w:tab w:val="num" w:pos="927"/>
        </w:tabs>
        <w:ind w:left="924" w:hanging="357"/>
      </w:pPr>
      <w:r>
        <w:t>fibre cement</w:t>
      </w:r>
    </w:p>
    <w:p w:rsidR="00113306" w:rsidRPr="00113306" w:rsidRDefault="00A85F66" w:rsidP="00A85F66">
      <w:pPr>
        <w:pStyle w:val="ListParagraph"/>
        <w:tabs>
          <w:tab w:val="clear" w:pos="360"/>
          <w:tab w:val="num" w:pos="927"/>
        </w:tabs>
        <w:ind w:left="924" w:hanging="357"/>
      </w:pPr>
      <w:r>
        <w:t>concrete wall panels</w:t>
      </w:r>
    </w:p>
    <w:p w:rsidR="00113306" w:rsidRPr="00113306" w:rsidRDefault="00A85F66" w:rsidP="00A85F66">
      <w:pPr>
        <w:pStyle w:val="ListParagraph"/>
        <w:tabs>
          <w:tab w:val="clear" w:pos="360"/>
          <w:tab w:val="num" w:pos="927"/>
        </w:tabs>
        <w:ind w:left="924" w:hanging="357"/>
      </w:pPr>
      <w:r>
        <w:t>concrete masonry,</w:t>
      </w:r>
      <w:r w:rsidR="00113306" w:rsidRPr="00113306">
        <w:t xml:space="preserve"> and</w:t>
      </w:r>
    </w:p>
    <w:p w:rsidR="00113306" w:rsidRPr="00002E51" w:rsidRDefault="00113306" w:rsidP="00A85F66">
      <w:pPr>
        <w:pStyle w:val="ListParagraph"/>
        <w:tabs>
          <w:tab w:val="clear" w:pos="360"/>
          <w:tab w:val="num" w:pos="927"/>
        </w:tabs>
        <w:ind w:left="924" w:hanging="357"/>
      </w:pPr>
      <w:proofErr w:type="gramStart"/>
      <w:r w:rsidRPr="00113306">
        <w:t>structural</w:t>
      </w:r>
      <w:proofErr w:type="gramEnd"/>
      <w:r w:rsidR="00A85F66">
        <w:t xml:space="preserve"> insulated panel systems.</w:t>
      </w:r>
    </w:p>
    <w:p w:rsidR="00D308B7" w:rsidRDefault="00BC6932" w:rsidP="00BD066B">
      <w:pPr>
        <w:pStyle w:val="NormalParagraph"/>
        <w:tabs>
          <w:tab w:val="clear" w:pos="360"/>
          <w:tab w:val="num" w:pos="426"/>
        </w:tabs>
        <w:ind w:left="426" w:hanging="426"/>
      </w:pPr>
      <w:r>
        <w:t>The ACCC recognised that the use of these other external cladding materials has increased, while the use of clay bricks has decreased, in the past 20 years. This has in part been due to the trend towards construction of multi-residential dwellings, for which clay bric</w:t>
      </w:r>
      <w:r w:rsidR="00BD066B">
        <w:t xml:space="preserve">ks are less commonly utilised. </w:t>
      </w:r>
    </w:p>
    <w:p w:rsidR="00CA2D58" w:rsidRDefault="00BC6932" w:rsidP="00BD066B">
      <w:pPr>
        <w:pStyle w:val="NormalParagraph"/>
        <w:tabs>
          <w:tab w:val="clear" w:pos="360"/>
          <w:tab w:val="num" w:pos="426"/>
        </w:tabs>
        <w:ind w:left="426" w:hanging="426"/>
      </w:pPr>
      <w:r>
        <w:t>The ACCC also recognised that the use of these other external cladding materials may increase in the future, largely due to an ongoing shortage of bricklayers and consequently increased costs to secure bricklaying labour. However, this potential shift in demand away from bricks is associated with factors that are external to clay brick suppliers, rather than being due to the pricing behaviour or other competitive dynamics between suppliers of external cladding products</w:t>
      </w:r>
      <w:r w:rsidR="00CA2D58">
        <w:t>.</w:t>
      </w:r>
    </w:p>
    <w:p w:rsidR="00D308B7" w:rsidRPr="00D308B7" w:rsidRDefault="00747CC6" w:rsidP="00BD066B">
      <w:pPr>
        <w:pStyle w:val="NormalParagraph"/>
        <w:tabs>
          <w:tab w:val="clear" w:pos="360"/>
          <w:tab w:val="num" w:pos="426"/>
        </w:tabs>
        <w:ind w:left="426" w:hanging="426"/>
      </w:pPr>
      <w:r w:rsidRPr="00BC6932">
        <w:rPr>
          <w:rFonts w:cs="Arial"/>
        </w:rPr>
        <w:t>The</w:t>
      </w:r>
      <w:r w:rsidR="00002E51" w:rsidRPr="00BC6932">
        <w:rPr>
          <w:rFonts w:cs="Arial"/>
        </w:rPr>
        <w:t xml:space="preserve"> ACCC concluded that other external cladding products are not </w:t>
      </w:r>
      <w:r w:rsidR="00397481" w:rsidRPr="00BC6932">
        <w:rPr>
          <w:rFonts w:cs="Arial"/>
        </w:rPr>
        <w:t xml:space="preserve">currently </w:t>
      </w:r>
      <w:r w:rsidR="00002E51" w:rsidRPr="00BC6932">
        <w:rPr>
          <w:rFonts w:cs="Arial"/>
        </w:rPr>
        <w:t>close substitutes for clay brick</w:t>
      </w:r>
      <w:r w:rsidR="00397481" w:rsidRPr="00BC6932">
        <w:rPr>
          <w:rFonts w:cs="Arial"/>
        </w:rPr>
        <w:t>, or likely to be in the foreseeable future</w:t>
      </w:r>
      <w:r w:rsidR="00002E51" w:rsidRPr="00BC6932">
        <w:rPr>
          <w:rFonts w:cs="Arial"/>
        </w:rPr>
        <w:t>. The ACCC’s market inquiries generally identified that re</w:t>
      </w:r>
      <w:r w:rsidR="004A3640" w:rsidRPr="00BC6932">
        <w:rPr>
          <w:rFonts w:cs="Arial"/>
        </w:rPr>
        <w:t>sidential demand for clay brick</w:t>
      </w:r>
      <w:r w:rsidR="00002E51" w:rsidRPr="00BC6932">
        <w:rPr>
          <w:rFonts w:cs="Arial"/>
        </w:rPr>
        <w:t xml:space="preserve"> is derived from the preferences of end-use customers who prefer clay brick for its aesthetic appeal as well as perceived functional qualities such as </w:t>
      </w:r>
      <w:r w:rsidR="00E96436">
        <w:rPr>
          <w:rFonts w:cs="Arial"/>
        </w:rPr>
        <w:t xml:space="preserve">low maintenance and durability. </w:t>
      </w:r>
    </w:p>
    <w:p w:rsidR="00002E51" w:rsidRPr="00002E51" w:rsidRDefault="00002E51" w:rsidP="00BD066B">
      <w:pPr>
        <w:pStyle w:val="NormalParagraph"/>
        <w:tabs>
          <w:tab w:val="clear" w:pos="360"/>
          <w:tab w:val="num" w:pos="426"/>
        </w:tabs>
        <w:ind w:left="426" w:hanging="426"/>
      </w:pPr>
      <w:r w:rsidRPr="00BD066B">
        <w:rPr>
          <w:rFonts w:cs="Arial"/>
        </w:rPr>
        <w:t>Therefore, an attempted 5-10% price increase in clay bricks is unlikely to be defeated by the availability of ot</w:t>
      </w:r>
      <w:r w:rsidR="0047289C" w:rsidRPr="00BD066B">
        <w:rPr>
          <w:rFonts w:cs="Arial"/>
        </w:rPr>
        <w:t xml:space="preserve">her external cladding materials. </w:t>
      </w:r>
      <w:r w:rsidRPr="00BD066B">
        <w:rPr>
          <w:rFonts w:cs="Arial"/>
        </w:rPr>
        <w:t xml:space="preserve">While other external cladding materials are often used in combination with clay bricks to add aesthetic appeal to the façade and other exteriors of a home, in these cases, </w:t>
      </w:r>
      <w:r w:rsidRPr="00BD066B">
        <w:rPr>
          <w:rFonts w:cs="Arial"/>
        </w:rPr>
        <w:lastRenderedPageBreak/>
        <w:t>alternative external materials are complements to, rather than substitutes for, clay brick.</w:t>
      </w:r>
    </w:p>
    <w:p w:rsidR="003006EB" w:rsidRDefault="00E37EC8" w:rsidP="003006EB">
      <w:pPr>
        <w:pStyle w:val="NormalParagraph"/>
        <w:tabs>
          <w:tab w:val="clear" w:pos="360"/>
          <w:tab w:val="num" w:pos="426"/>
        </w:tabs>
        <w:ind w:left="426" w:hanging="426"/>
      </w:pPr>
      <w:r>
        <w:t>T</w:t>
      </w:r>
      <w:r w:rsidR="00D04501">
        <w:t xml:space="preserve">he ACCC considered the likely competition effects of the proposed joint venture on the basis of markets for supply of clay bricks, </w:t>
      </w:r>
      <w:r w:rsidR="00C73E7D">
        <w:t xml:space="preserve">which </w:t>
      </w:r>
      <w:r w:rsidR="00D04501">
        <w:t>encompass both face and common brick</w:t>
      </w:r>
      <w:r w:rsidR="008C13FC">
        <w:t>s</w:t>
      </w:r>
      <w:r w:rsidR="003006EB">
        <w:t xml:space="preserve">. </w:t>
      </w:r>
      <w:r w:rsidR="00747CC6">
        <w:t xml:space="preserve">The ACCC analysed </w:t>
      </w:r>
      <w:r w:rsidR="008C13FC">
        <w:t>the ability for customers to switch between face and common bricks, and</w:t>
      </w:r>
      <w:r w:rsidR="00747CC6">
        <w:t xml:space="preserve"> for brick manufacturing plants to viably switch between </w:t>
      </w:r>
      <w:r w:rsidR="008C13FC">
        <w:t>face and common brick production. However, t</w:t>
      </w:r>
      <w:r w:rsidR="003006EB">
        <w:t>he ACCC did not find it</w:t>
      </w:r>
      <w:r w:rsidR="00C73E7D">
        <w:t xml:space="preserve"> necessary to form a concluded </w:t>
      </w:r>
      <w:r w:rsidR="003006EB">
        <w:t xml:space="preserve">view </w:t>
      </w:r>
      <w:r w:rsidR="00C73E7D">
        <w:t xml:space="preserve">as to whether face and common bricks may be more appropriately considered separate markets </w:t>
      </w:r>
      <w:r>
        <w:t xml:space="preserve">as </w:t>
      </w:r>
      <w:r w:rsidR="002E2333">
        <w:t>it</w:t>
      </w:r>
      <w:r w:rsidR="002108CC">
        <w:t xml:space="preserve"> did not materially affect th</w:t>
      </w:r>
      <w:r w:rsidR="00747CC6">
        <w:t>e ACCC’s competition assessment.</w:t>
      </w:r>
    </w:p>
    <w:p w:rsidR="00461E8B" w:rsidRDefault="00461E8B" w:rsidP="002037CD">
      <w:pPr>
        <w:pStyle w:val="NormalParagraph"/>
        <w:tabs>
          <w:tab w:val="clear" w:pos="360"/>
          <w:tab w:val="num" w:pos="426"/>
        </w:tabs>
        <w:ind w:left="426" w:hanging="426"/>
      </w:pPr>
      <w:r>
        <w:t xml:space="preserve">The ACCC </w:t>
      </w:r>
      <w:r w:rsidR="002E2333">
        <w:t>defined</w:t>
      </w:r>
      <w:r>
        <w:t xml:space="preserve"> state-based markets for the manufacture and supply of clay bricks. </w:t>
      </w:r>
      <w:r w:rsidR="00DC11ED">
        <w:t>This was based on the results of t</w:t>
      </w:r>
      <w:r>
        <w:t>he ACCC</w:t>
      </w:r>
      <w:r w:rsidR="002E2333">
        <w:t xml:space="preserve">’s </w:t>
      </w:r>
      <w:proofErr w:type="gramStart"/>
      <w:r w:rsidR="002E2333">
        <w:t xml:space="preserve">inquiries </w:t>
      </w:r>
      <w:r w:rsidR="00DC11ED">
        <w:t>which</w:t>
      </w:r>
      <w:proofErr w:type="gramEnd"/>
      <w:r w:rsidR="00DC11ED">
        <w:t xml:space="preserve"> </w:t>
      </w:r>
      <w:r w:rsidR="002E2333">
        <w:t xml:space="preserve">identified that </w:t>
      </w:r>
      <w:r>
        <w:t>the major clay brick suppliers contract with customers on a state basis, clay brick prices vary somewhat depending on the state, and price increases are implemented on a state-by-state basis. Also, transport costs for clay bricks can be high relative to the total value of the product meaning that most clay brick demand is supplied by plants located in the same state as that</w:t>
      </w:r>
      <w:r w:rsidR="002E2333">
        <w:t xml:space="preserve"> customer demand arises (although</w:t>
      </w:r>
      <w:r w:rsidR="00E96436">
        <w:t xml:space="preserve">, as noted </w:t>
      </w:r>
      <w:r w:rsidR="0059285B">
        <w:t>above,</w:t>
      </w:r>
      <w:r w:rsidR="002E2333">
        <w:t xml:space="preserve"> the</w:t>
      </w:r>
      <w:r>
        <w:t xml:space="preserve"> major clay brick suppliers do supply some clay bricks interstate</w:t>
      </w:r>
      <w:r w:rsidR="002E2333">
        <w:t>).</w:t>
      </w:r>
    </w:p>
    <w:p w:rsidR="00AF1C87" w:rsidRDefault="00D33A1F" w:rsidP="006A7FE8">
      <w:pPr>
        <w:pStyle w:val="Heading3"/>
      </w:pPr>
      <w:r>
        <w:t>Likely future w</w:t>
      </w:r>
      <w:r w:rsidR="00AF1C87">
        <w:t>ith</w:t>
      </w:r>
      <w:r>
        <w:t xml:space="preserve"> and </w:t>
      </w:r>
      <w:r w:rsidR="00AF1C87">
        <w:t xml:space="preserve">without </w:t>
      </w:r>
      <w:r>
        <w:t>the proposed joint venture</w:t>
      </w:r>
    </w:p>
    <w:p w:rsidR="00FE5D1D" w:rsidRDefault="00053096" w:rsidP="008910F3">
      <w:pPr>
        <w:pStyle w:val="NormalParagraph"/>
        <w:tabs>
          <w:tab w:val="clear" w:pos="360"/>
          <w:tab w:val="num" w:pos="426"/>
        </w:tabs>
        <w:ind w:left="426" w:hanging="426"/>
      </w:pPr>
      <w:r>
        <w:t>Section 50 of the Act prohibits mergers or acquisitions that would have the effect</w:t>
      </w:r>
      <w:r w:rsidR="002108CC">
        <w:t>,</w:t>
      </w:r>
      <w:r>
        <w:t xml:space="preserve"> or be likely to have the effect of substantially lessening competition in a market. In assessing a proposed acquisition pursuant to </w:t>
      </w:r>
      <w:r w:rsidRPr="00053096">
        <w:t>section</w:t>
      </w:r>
      <w:r>
        <w:t xml:space="preserve"> 50 of the Act, the ACCC considers the effects of the acquisition by comparing the likely future competitive environment post-acquisition if the acquisition proceeds (the “with” position) to the likely future competitive environment if the acquisition does not proceed (the “without” position) to </w:t>
      </w:r>
      <w:r w:rsidR="00D33A1F">
        <w:t xml:space="preserve">assist in </w:t>
      </w:r>
      <w:r>
        <w:t>determin</w:t>
      </w:r>
      <w:r w:rsidR="00D33A1F">
        <w:t>ing</w:t>
      </w:r>
      <w:r>
        <w:t xml:space="preserve"> whether the proposed acquisition is likely to substantially lessen competition in any relevant market.</w:t>
      </w:r>
    </w:p>
    <w:p w:rsidR="003C0550" w:rsidRDefault="00D33A1F" w:rsidP="00ED2F16">
      <w:pPr>
        <w:pStyle w:val="NormalParagraph"/>
        <w:tabs>
          <w:tab w:val="clear" w:pos="360"/>
          <w:tab w:val="num" w:pos="426"/>
        </w:tabs>
        <w:ind w:left="426" w:hanging="426"/>
      </w:pPr>
      <w:r>
        <w:t xml:space="preserve">In </w:t>
      </w:r>
      <w:r w:rsidR="000943CA">
        <w:t xml:space="preserve">the </w:t>
      </w:r>
      <w:r>
        <w:t>case</w:t>
      </w:r>
      <w:r w:rsidR="000943CA">
        <w:t xml:space="preserve"> of some merger</w:t>
      </w:r>
      <w:r>
        <w:t>s</w:t>
      </w:r>
      <w:r w:rsidR="000943CA">
        <w:t xml:space="preserve"> under review by the ACCC</w:t>
      </w:r>
      <w:r>
        <w:t>, it is claimed that the target business is failing and will exit the market a</w:t>
      </w:r>
      <w:r w:rsidR="003C0550">
        <w:t>bsent the proposed acquisition</w:t>
      </w:r>
      <w:r w:rsidR="000943CA">
        <w:t>.</w:t>
      </w:r>
      <w:r w:rsidR="003C0550">
        <w:t xml:space="preserve"> </w:t>
      </w:r>
      <w:r w:rsidR="00ED2F16">
        <w:t xml:space="preserve">As noted in the ACCC’s Merger Guidelines, </w:t>
      </w:r>
      <w:r w:rsidR="003C0550">
        <w:t xml:space="preserve">to demonstrate that a merger will not substantially lessen competition due to the prospective failure of one of the merger parties, </w:t>
      </w:r>
      <w:r w:rsidR="00ED2F16">
        <w:t>it is generally necessary to show that</w:t>
      </w:r>
      <w:r w:rsidR="003C0550">
        <w:t>:</w:t>
      </w:r>
    </w:p>
    <w:p w:rsidR="003C0550" w:rsidRDefault="00ED2F16" w:rsidP="00E266DA">
      <w:pPr>
        <w:pStyle w:val="NormalParagraph"/>
        <w:numPr>
          <w:ilvl w:val="1"/>
          <w:numId w:val="1"/>
        </w:numPr>
        <w:tabs>
          <w:tab w:val="clear" w:pos="720"/>
          <w:tab w:val="num" w:pos="993"/>
        </w:tabs>
        <w:ind w:left="993" w:hanging="426"/>
      </w:pPr>
      <w:r>
        <w:t>the relevant firm is in imminent danger of failure and is unlikely to be restructured without the merger</w:t>
      </w:r>
    </w:p>
    <w:p w:rsidR="003C0550" w:rsidRDefault="00ED2F16" w:rsidP="00E266DA">
      <w:pPr>
        <w:pStyle w:val="NormalParagraph"/>
        <w:numPr>
          <w:ilvl w:val="1"/>
          <w:numId w:val="1"/>
        </w:numPr>
        <w:tabs>
          <w:tab w:val="clear" w:pos="720"/>
          <w:tab w:val="num" w:pos="993"/>
        </w:tabs>
        <w:ind w:left="993" w:hanging="426"/>
      </w:pPr>
      <w:r>
        <w:t>in the absence of the merger</w:t>
      </w:r>
      <w:r w:rsidR="003C0550">
        <w:t>,</w:t>
      </w:r>
      <w:r>
        <w:t xml:space="preserve"> the assets will leave the industry</w:t>
      </w:r>
      <w:r w:rsidR="00E96436">
        <w:t>, and</w:t>
      </w:r>
    </w:p>
    <w:p w:rsidR="003C0550" w:rsidRDefault="003C0550" w:rsidP="00E266DA">
      <w:pPr>
        <w:pStyle w:val="NormalParagraph"/>
        <w:numPr>
          <w:ilvl w:val="1"/>
          <w:numId w:val="1"/>
        </w:numPr>
        <w:tabs>
          <w:tab w:val="clear" w:pos="720"/>
          <w:tab w:val="num" w:pos="993"/>
        </w:tabs>
        <w:ind w:left="993" w:hanging="426"/>
      </w:pPr>
      <w:proofErr w:type="gramStart"/>
      <w:r>
        <w:t>the</w:t>
      </w:r>
      <w:proofErr w:type="gramEnd"/>
      <w:r>
        <w:t xml:space="preserve"> likely state of competition with the merger would not be substantially less than the likely state of competition after the target has exited and the target’s customers have moved their business to alternative sources of supply</w:t>
      </w:r>
      <w:r w:rsidR="00ED2F16">
        <w:t xml:space="preserve">.  </w:t>
      </w:r>
    </w:p>
    <w:p w:rsidR="00D33A1F" w:rsidRPr="001B0AD5" w:rsidRDefault="001734E4" w:rsidP="00ED2F16">
      <w:pPr>
        <w:pStyle w:val="NormalParagraph"/>
        <w:tabs>
          <w:tab w:val="clear" w:pos="360"/>
          <w:tab w:val="num" w:pos="426"/>
        </w:tabs>
        <w:ind w:left="426" w:hanging="426"/>
      </w:pPr>
      <w:r>
        <w:t xml:space="preserve">These considerations </w:t>
      </w:r>
      <w:r w:rsidR="000943CA">
        <w:t xml:space="preserve">may </w:t>
      </w:r>
      <w:r>
        <w:t xml:space="preserve">also be relevant when </w:t>
      </w:r>
      <w:r w:rsidR="000943CA">
        <w:t xml:space="preserve">the ACCC is </w:t>
      </w:r>
      <w:r>
        <w:t xml:space="preserve">assessing a claim that a </w:t>
      </w:r>
      <w:r w:rsidR="00E96436">
        <w:t xml:space="preserve">specific </w:t>
      </w:r>
      <w:r>
        <w:t xml:space="preserve">business (but not the remainder of the company or corporate group) is failing and likely to exit the relevant market absent the proposed acquisition. </w:t>
      </w:r>
      <w:r w:rsidR="00D33A1F" w:rsidRPr="001B0AD5">
        <w:t xml:space="preserve">The ACCC </w:t>
      </w:r>
      <w:r w:rsidR="00D33A1F">
        <w:t xml:space="preserve">carefully </w:t>
      </w:r>
      <w:r w:rsidR="008551B0">
        <w:t xml:space="preserve">examines and verifies </w:t>
      </w:r>
      <w:r>
        <w:t xml:space="preserve">such </w:t>
      </w:r>
      <w:r w:rsidR="00D33A1F" w:rsidRPr="001B0AD5">
        <w:t xml:space="preserve">claims. </w:t>
      </w:r>
      <w:r w:rsidR="00ED2F16">
        <w:t xml:space="preserve">This </w:t>
      </w:r>
      <w:r w:rsidR="000943CA">
        <w:t xml:space="preserve">can </w:t>
      </w:r>
      <w:r w:rsidR="00ED2F16">
        <w:t xml:space="preserve">include </w:t>
      </w:r>
      <w:r w:rsidR="000C2333">
        <w:t>examinations</w:t>
      </w:r>
      <w:r w:rsidR="00E266DA">
        <w:t xml:space="preserve"> </w:t>
      </w:r>
      <w:r w:rsidR="000C2333">
        <w:t>of</w:t>
      </w:r>
      <w:r w:rsidR="00ED2F16">
        <w:t xml:space="preserve"> </w:t>
      </w:r>
      <w:r w:rsidR="00BC2A89">
        <w:t xml:space="preserve">senior </w:t>
      </w:r>
      <w:r w:rsidR="00ED2F16">
        <w:t>executives</w:t>
      </w:r>
      <w:r w:rsidR="00BC2A89">
        <w:t xml:space="preserve"> from the target firm as well as third parties</w:t>
      </w:r>
      <w:r w:rsidR="00ED2F16">
        <w:t xml:space="preserve">, examination of accounts and other financial information, </w:t>
      </w:r>
      <w:r w:rsidR="000943CA">
        <w:t xml:space="preserve">review of </w:t>
      </w:r>
      <w:r w:rsidR="00ED2F16">
        <w:t xml:space="preserve">board papers </w:t>
      </w:r>
      <w:r w:rsidR="00ED2F16">
        <w:lastRenderedPageBreak/>
        <w:t xml:space="preserve">and other documents, with particular weight </w:t>
      </w:r>
      <w:r w:rsidR="000943CA">
        <w:t xml:space="preserve">being </w:t>
      </w:r>
      <w:r w:rsidR="00ED2F16">
        <w:t xml:space="preserve">given to those created before the proposed acquisition was contemplated.  </w:t>
      </w:r>
    </w:p>
    <w:p w:rsidR="004533C0" w:rsidRPr="00BC6932" w:rsidRDefault="00D33A1F" w:rsidP="00BC6932">
      <w:pPr>
        <w:pStyle w:val="NormalParagraph"/>
        <w:numPr>
          <w:ilvl w:val="0"/>
          <w:numId w:val="0"/>
        </w:numPr>
        <w:ind w:left="360" w:hanging="360"/>
        <w:rPr>
          <w:sz w:val="26"/>
          <w:szCs w:val="26"/>
        </w:rPr>
      </w:pPr>
      <w:r w:rsidRPr="00BC6932">
        <w:rPr>
          <w:sz w:val="26"/>
          <w:szCs w:val="26"/>
        </w:rPr>
        <w:t xml:space="preserve"> </w:t>
      </w:r>
      <w:r w:rsidR="00F13942" w:rsidRPr="00BC6932">
        <w:rPr>
          <w:sz w:val="26"/>
          <w:szCs w:val="26"/>
        </w:rPr>
        <w:t xml:space="preserve">CSR and </w:t>
      </w:r>
      <w:r w:rsidR="004533C0" w:rsidRPr="00BC6932">
        <w:rPr>
          <w:sz w:val="26"/>
          <w:szCs w:val="26"/>
        </w:rPr>
        <w:t xml:space="preserve">Boral’s clay brick </w:t>
      </w:r>
      <w:r w:rsidR="00BC2A89" w:rsidRPr="00BC6932">
        <w:rPr>
          <w:sz w:val="26"/>
          <w:szCs w:val="26"/>
        </w:rPr>
        <w:t xml:space="preserve">businesses </w:t>
      </w:r>
    </w:p>
    <w:p w:rsidR="003C0550" w:rsidRPr="001B0AD5" w:rsidRDefault="003C0550" w:rsidP="002037CD">
      <w:pPr>
        <w:pStyle w:val="NormalParagraph"/>
        <w:tabs>
          <w:tab w:val="clear" w:pos="360"/>
          <w:tab w:val="num" w:pos="426"/>
        </w:tabs>
        <w:ind w:left="426" w:hanging="426"/>
      </w:pPr>
      <w:r>
        <w:t xml:space="preserve">In its review of CSR and Boral’s proposed joint venture, the ACCC considered   whether, in the absence of the proposed joint venture, Boral and CSR </w:t>
      </w:r>
      <w:r w:rsidRPr="007F34BF">
        <w:t xml:space="preserve">would remain competitors or whether Boral </w:t>
      </w:r>
      <w:r>
        <w:t>and/</w:t>
      </w:r>
      <w:r w:rsidRPr="007F34BF">
        <w:t xml:space="preserve">or CSR </w:t>
      </w:r>
      <w:r w:rsidR="000C2333">
        <w:t xml:space="preserve">as well the key assets </w:t>
      </w:r>
      <w:r w:rsidRPr="007F34BF">
        <w:t xml:space="preserve">would </w:t>
      </w:r>
      <w:r>
        <w:t>exit</w:t>
      </w:r>
      <w:r w:rsidRPr="007F34BF">
        <w:t xml:space="preserve"> brick </w:t>
      </w:r>
      <w:r>
        <w:t>supply</w:t>
      </w:r>
      <w:r w:rsidRPr="007F34BF">
        <w:t xml:space="preserve"> in one or more of the relevant markets</w:t>
      </w:r>
      <w:r>
        <w:t xml:space="preserve">. </w:t>
      </w:r>
      <w:r w:rsidRPr="007F34BF">
        <w:t xml:space="preserve">In </w:t>
      </w:r>
      <w:r>
        <w:t xml:space="preserve">considering </w:t>
      </w:r>
      <w:r w:rsidRPr="007F34BF">
        <w:t xml:space="preserve">this issue, the ACCC conducted market inquiries and </w:t>
      </w:r>
      <w:r>
        <w:t>took into account</w:t>
      </w:r>
      <w:r w:rsidRPr="007F34BF">
        <w:t xml:space="preserve"> publicly available information</w:t>
      </w:r>
      <w:r>
        <w:t xml:space="preserve">. In addition, </w:t>
      </w:r>
      <w:r w:rsidRPr="007F34BF">
        <w:t xml:space="preserve">extensive confidential information provided by </w:t>
      </w:r>
      <w:r>
        <w:t xml:space="preserve">CSR and Boral and other interested </w:t>
      </w:r>
      <w:r w:rsidRPr="001B0AD5">
        <w:t>parties</w:t>
      </w:r>
      <w:r>
        <w:t xml:space="preserve"> was considered</w:t>
      </w:r>
      <w:r w:rsidRPr="001B0AD5">
        <w:t>.</w:t>
      </w:r>
    </w:p>
    <w:p w:rsidR="00B91440" w:rsidRPr="001B0AD5" w:rsidRDefault="002E2333" w:rsidP="002037CD">
      <w:pPr>
        <w:pStyle w:val="NormalParagraph"/>
        <w:tabs>
          <w:tab w:val="clear" w:pos="360"/>
          <w:tab w:val="left" w:pos="284"/>
          <w:tab w:val="num" w:pos="426"/>
        </w:tabs>
        <w:ind w:left="284" w:hanging="284"/>
      </w:pPr>
      <w:r w:rsidRPr="001B0AD5">
        <w:t>The ACCC also took into consideration:</w:t>
      </w:r>
    </w:p>
    <w:p w:rsidR="002E2333" w:rsidRPr="001B0AD5" w:rsidRDefault="002E2333" w:rsidP="002E2333">
      <w:pPr>
        <w:pStyle w:val="ListParagraph"/>
        <w:tabs>
          <w:tab w:val="clear" w:pos="360"/>
          <w:tab w:val="num" w:pos="851"/>
        </w:tabs>
        <w:ind w:left="851" w:hanging="284"/>
      </w:pPr>
      <w:r w:rsidRPr="001B0AD5">
        <w:t xml:space="preserve">the </w:t>
      </w:r>
      <w:r w:rsidR="00BC2A89">
        <w:t xml:space="preserve">evidence of </w:t>
      </w:r>
      <w:r w:rsidRPr="001B0AD5">
        <w:t>a</w:t>
      </w:r>
      <w:r w:rsidR="000E3CA6">
        <w:t xml:space="preserve"> </w:t>
      </w:r>
      <w:r w:rsidRPr="001B0AD5">
        <w:t>senior Boral executive</w:t>
      </w:r>
      <w:r w:rsidR="00BC2A89">
        <w:t xml:space="preserve"> </w:t>
      </w:r>
      <w:r w:rsidRPr="001B0AD5">
        <w:t>as to the likelihood of exit and why there were no suitable alternative options to</w:t>
      </w:r>
      <w:r w:rsidR="00DB708C">
        <w:t xml:space="preserve"> the proposed joint venture,</w:t>
      </w:r>
    </w:p>
    <w:p w:rsidR="00DB708C" w:rsidRDefault="003E7CE3" w:rsidP="00DB708C">
      <w:pPr>
        <w:pStyle w:val="ListParagraph"/>
        <w:tabs>
          <w:tab w:val="num" w:pos="851"/>
        </w:tabs>
        <w:ind w:left="851" w:hanging="284"/>
      </w:pPr>
      <w:r w:rsidRPr="001B0AD5">
        <w:t>the historical and forecast financial performance of</w:t>
      </w:r>
      <w:r w:rsidR="00E37EC8" w:rsidRPr="001B0AD5">
        <w:t xml:space="preserve"> </w:t>
      </w:r>
      <w:r w:rsidRPr="001B0AD5">
        <w:t xml:space="preserve"> Bo</w:t>
      </w:r>
      <w:r w:rsidR="00261058" w:rsidRPr="001B0AD5">
        <w:t>ral</w:t>
      </w:r>
      <w:r w:rsidR="00D3095B" w:rsidRPr="001B0AD5">
        <w:t>’s brick</w:t>
      </w:r>
      <w:r w:rsidR="002E2333" w:rsidRPr="001B0AD5">
        <w:t xml:space="preserve"> business</w:t>
      </w:r>
      <w:r w:rsidR="00DB708C">
        <w:t>, and</w:t>
      </w:r>
    </w:p>
    <w:p w:rsidR="00DB708C" w:rsidRPr="001B0AD5" w:rsidRDefault="00BC2A89" w:rsidP="00DB708C">
      <w:pPr>
        <w:pStyle w:val="ListParagraph"/>
        <w:tabs>
          <w:tab w:val="num" w:pos="851"/>
        </w:tabs>
        <w:ind w:left="851" w:hanging="284"/>
      </w:pPr>
      <w:proofErr w:type="gramStart"/>
      <w:r>
        <w:t>information</w:t>
      </w:r>
      <w:proofErr w:type="gramEnd"/>
      <w:r>
        <w:t xml:space="preserve"> evidencing </w:t>
      </w:r>
      <w:r w:rsidR="00DB708C" w:rsidRPr="00DB708C">
        <w:t>the long-term structural decline in demand for clay bricks and historic performance of the clay brick manufacturing industry as a whole.</w:t>
      </w:r>
    </w:p>
    <w:p w:rsidR="000943CA" w:rsidRDefault="000943CA" w:rsidP="002037CD">
      <w:pPr>
        <w:pStyle w:val="NormalParagraph"/>
        <w:tabs>
          <w:tab w:val="clear" w:pos="360"/>
          <w:tab w:val="left" w:pos="426"/>
        </w:tabs>
        <w:ind w:left="426" w:hanging="426"/>
      </w:pPr>
      <w:r w:rsidRPr="00113721">
        <w:t>The ACCC formed the view that</w:t>
      </w:r>
      <w:r>
        <w:t>, in the absence of the proposed joint venture,</w:t>
      </w:r>
      <w:r w:rsidRPr="00113721">
        <w:t xml:space="preserve"> </w:t>
      </w:r>
      <w:r>
        <w:t xml:space="preserve">CSR would not be likely to exit the supply of clay bricks in any relevant market. However, the ACCC concluded that Boral </w:t>
      </w:r>
      <w:r w:rsidRPr="00560577">
        <w:t>would be</w:t>
      </w:r>
      <w:r w:rsidRPr="00BC2A89">
        <w:t xml:space="preserve"> </w:t>
      </w:r>
      <w:r>
        <w:t>likely to exit the supply of clay bricks in the relevant markets and realise the land value of its manufacturing plants</w:t>
      </w:r>
      <w:r w:rsidRPr="00AF4C84">
        <w:t>.</w:t>
      </w:r>
      <w:r>
        <w:t xml:space="preserve"> </w:t>
      </w:r>
    </w:p>
    <w:p w:rsidR="000943CA" w:rsidRDefault="008F5E61" w:rsidP="00F13942">
      <w:pPr>
        <w:pStyle w:val="NormalParagraph"/>
        <w:tabs>
          <w:tab w:val="clear" w:pos="360"/>
          <w:tab w:val="left" w:pos="142"/>
          <w:tab w:val="left" w:pos="426"/>
        </w:tabs>
        <w:ind w:left="426" w:hanging="426"/>
      </w:pPr>
      <w:r>
        <w:t>The ACCC</w:t>
      </w:r>
      <w:r w:rsidR="00D3095B" w:rsidRPr="00D3095B">
        <w:t xml:space="preserve"> </w:t>
      </w:r>
      <w:r w:rsidR="000943CA">
        <w:t xml:space="preserve">then assessed </w:t>
      </w:r>
      <w:r w:rsidR="00594532" w:rsidRPr="00D3095B">
        <w:t>whether,</w:t>
      </w:r>
      <w:r w:rsidR="003C0550">
        <w:t xml:space="preserve"> </w:t>
      </w:r>
      <w:r w:rsidR="00D3095B" w:rsidRPr="00D3095B">
        <w:t>without</w:t>
      </w:r>
      <w:r w:rsidR="00594532" w:rsidRPr="00D3095B">
        <w:t xml:space="preserve"> the proposed joint venture, another party would be likely to acquire Boral’s brick business </w:t>
      </w:r>
      <w:r w:rsidR="003D07D2">
        <w:t xml:space="preserve">and </w:t>
      </w:r>
      <w:r w:rsidR="00594532" w:rsidRPr="00D3095B">
        <w:t xml:space="preserve">continue to </w:t>
      </w:r>
      <w:r w:rsidR="003D07D2">
        <w:t>use Boral’s brick manufacturing assets</w:t>
      </w:r>
      <w:r w:rsidR="00594532" w:rsidRPr="00D3095B">
        <w:t xml:space="preserve">, thus providing </w:t>
      </w:r>
      <w:r w:rsidR="000159FF">
        <w:t>an independent</w:t>
      </w:r>
      <w:r w:rsidR="00D3095B" w:rsidRPr="00D3095B">
        <w:t xml:space="preserve"> </w:t>
      </w:r>
      <w:r w:rsidR="00594532" w:rsidRPr="00D3095B">
        <w:t>competitive constraint in the market</w:t>
      </w:r>
      <w:r w:rsidR="00E37EC8">
        <w:t>s</w:t>
      </w:r>
      <w:r w:rsidR="00D3095B">
        <w:t xml:space="preserve"> in comparison to the</w:t>
      </w:r>
      <w:r w:rsidR="00D3095B" w:rsidRPr="00D3095B">
        <w:t xml:space="preserve"> future </w:t>
      </w:r>
      <w:r w:rsidR="00F13942">
        <w:t xml:space="preserve">with the proposed joint venture. </w:t>
      </w:r>
    </w:p>
    <w:p w:rsidR="000943CA" w:rsidRPr="000943CA" w:rsidRDefault="00F13942" w:rsidP="00E266DA">
      <w:pPr>
        <w:pStyle w:val="NormalParagraph"/>
        <w:tabs>
          <w:tab w:val="clear" w:pos="360"/>
          <w:tab w:val="left" w:pos="142"/>
          <w:tab w:val="left" w:pos="426"/>
        </w:tabs>
        <w:ind w:left="426" w:hanging="426"/>
      </w:pPr>
      <w:r>
        <w:t xml:space="preserve">The ACCC </w:t>
      </w:r>
      <w:r w:rsidR="00DF30F9">
        <w:t>conducted</w:t>
      </w:r>
      <w:r>
        <w:t xml:space="preserve"> </w:t>
      </w:r>
      <w:r w:rsidR="00D3095B" w:rsidRPr="00F13942">
        <w:rPr>
          <w:rFonts w:cs="Arial"/>
        </w:rPr>
        <w:t>inq</w:t>
      </w:r>
      <w:r w:rsidRPr="00F13942">
        <w:rPr>
          <w:rFonts w:cs="Arial"/>
        </w:rPr>
        <w:t xml:space="preserve">uiries with market participants, </w:t>
      </w:r>
      <w:r w:rsidR="00DF30F9">
        <w:rPr>
          <w:rFonts w:cs="Arial"/>
        </w:rPr>
        <w:t xml:space="preserve">and took into account </w:t>
      </w:r>
      <w:r w:rsidR="00D3095B" w:rsidRPr="00F13942">
        <w:rPr>
          <w:rFonts w:cs="Arial"/>
        </w:rPr>
        <w:t>the low rates of return</w:t>
      </w:r>
      <w:r>
        <w:rPr>
          <w:rFonts w:cs="Arial"/>
        </w:rPr>
        <w:t xml:space="preserve"> achieved by brick </w:t>
      </w:r>
      <w:r w:rsidR="00B571B2">
        <w:rPr>
          <w:rFonts w:cs="Arial"/>
        </w:rPr>
        <w:t>suppliers</w:t>
      </w:r>
      <w:r w:rsidR="00E37EC8" w:rsidRPr="00F13942">
        <w:rPr>
          <w:rFonts w:cs="Arial"/>
        </w:rPr>
        <w:t>,</w:t>
      </w:r>
      <w:r w:rsidR="00B91440" w:rsidRPr="00F13942">
        <w:rPr>
          <w:rFonts w:cs="Arial"/>
        </w:rPr>
        <w:t xml:space="preserve"> </w:t>
      </w:r>
      <w:r w:rsidRPr="00F13942">
        <w:rPr>
          <w:rFonts w:cs="Arial"/>
        </w:rPr>
        <w:t xml:space="preserve">the </w:t>
      </w:r>
      <w:r w:rsidR="00B91440" w:rsidRPr="00F13942">
        <w:rPr>
          <w:rFonts w:cs="Arial"/>
        </w:rPr>
        <w:t>long term structural decline</w:t>
      </w:r>
      <w:r w:rsidRPr="00F13942">
        <w:rPr>
          <w:rFonts w:cs="Arial"/>
        </w:rPr>
        <w:t xml:space="preserve"> of the brick manufacturing industry, </w:t>
      </w:r>
      <w:r w:rsidR="00E37EC8" w:rsidRPr="00F13942">
        <w:rPr>
          <w:rFonts w:cs="Arial"/>
        </w:rPr>
        <w:t xml:space="preserve">and </w:t>
      </w:r>
      <w:r>
        <w:rPr>
          <w:rFonts w:cs="Arial"/>
        </w:rPr>
        <w:t>the impracticality of</w:t>
      </w:r>
      <w:r w:rsidR="00E37EC8" w:rsidRPr="00F13942">
        <w:rPr>
          <w:rFonts w:cs="Arial"/>
        </w:rPr>
        <w:t xml:space="preserve"> physically </w:t>
      </w:r>
      <w:r w:rsidRPr="00F13942">
        <w:rPr>
          <w:rFonts w:cs="Arial"/>
        </w:rPr>
        <w:t>mov</w:t>
      </w:r>
      <w:r w:rsidR="00DF30F9">
        <w:rPr>
          <w:rFonts w:cs="Arial"/>
        </w:rPr>
        <w:t>ing a brick kiln to a new site.</w:t>
      </w:r>
      <w:r w:rsidR="00D3095B" w:rsidRPr="00F13942">
        <w:rPr>
          <w:rFonts w:cs="Arial"/>
        </w:rPr>
        <w:t xml:space="preserve"> </w:t>
      </w:r>
    </w:p>
    <w:p w:rsidR="00BC6932" w:rsidRPr="00D308B7" w:rsidRDefault="00BC6932" w:rsidP="00BC6932">
      <w:pPr>
        <w:pStyle w:val="NormalParagraph"/>
        <w:tabs>
          <w:tab w:val="clear" w:pos="360"/>
          <w:tab w:val="left" w:pos="142"/>
          <w:tab w:val="left" w:pos="426"/>
        </w:tabs>
        <w:ind w:left="426" w:hanging="426"/>
      </w:pPr>
      <w:r>
        <w:t xml:space="preserve">In particular, the ACCC had regard to a range of detailed information about Boral’s financial position, including a comparison of the underlying value of Boral’s clay brick sites in NSW and </w:t>
      </w:r>
      <w:r w:rsidRPr="00BC6932">
        <w:t xml:space="preserve">Victoria and the value of the ongoing brick operations in those states. This was a critical component of the </w:t>
      </w:r>
      <w:r w:rsidRPr="00D308B7">
        <w:t xml:space="preserve">ACCC’s assessment </w:t>
      </w:r>
      <w:r w:rsidRPr="00D308B7">
        <w:rPr>
          <w:bCs/>
        </w:rPr>
        <w:t xml:space="preserve">and involved a detailed review of internal Boral documents and independent valuation reports that had been prepared for Boral management by qualified </w:t>
      </w:r>
      <w:proofErr w:type="spellStart"/>
      <w:r w:rsidRPr="00D308B7">
        <w:rPr>
          <w:bCs/>
        </w:rPr>
        <w:t>valuers</w:t>
      </w:r>
      <w:proofErr w:type="spellEnd"/>
      <w:r w:rsidRPr="00D308B7">
        <w:rPr>
          <w:bCs/>
        </w:rPr>
        <w:t>.</w:t>
      </w:r>
    </w:p>
    <w:p w:rsidR="00594532" w:rsidRPr="00F13942" w:rsidRDefault="000943CA" w:rsidP="00F13942">
      <w:pPr>
        <w:pStyle w:val="NormalParagraph"/>
        <w:tabs>
          <w:tab w:val="clear" w:pos="360"/>
          <w:tab w:val="left" w:pos="142"/>
          <w:tab w:val="left" w:pos="426"/>
        </w:tabs>
        <w:ind w:left="426" w:hanging="426"/>
      </w:pPr>
      <w:r w:rsidRPr="00D308B7">
        <w:rPr>
          <w:rFonts w:cs="Arial"/>
        </w:rPr>
        <w:t>Based on all of this information, t</w:t>
      </w:r>
      <w:r w:rsidR="00F13942" w:rsidRPr="00D308B7">
        <w:rPr>
          <w:rFonts w:cs="Arial"/>
        </w:rPr>
        <w:t>he ACCC concluded that</w:t>
      </w:r>
      <w:r w:rsidR="00F13942">
        <w:rPr>
          <w:rFonts w:cs="Arial"/>
        </w:rPr>
        <w:t xml:space="preserve"> it was</w:t>
      </w:r>
      <w:r w:rsidR="008C5378" w:rsidRPr="00F13942">
        <w:rPr>
          <w:rFonts w:cs="Arial"/>
        </w:rPr>
        <w:t xml:space="preserve"> </w:t>
      </w:r>
      <w:r w:rsidR="00D3095B" w:rsidRPr="00F13942">
        <w:rPr>
          <w:rFonts w:cs="Arial"/>
        </w:rPr>
        <w:t xml:space="preserve">unlikely that any other </w:t>
      </w:r>
      <w:r w:rsidR="00F13942">
        <w:rPr>
          <w:rFonts w:cs="Arial"/>
        </w:rPr>
        <w:t>part</w:t>
      </w:r>
      <w:r w:rsidR="003D07D2">
        <w:rPr>
          <w:rFonts w:cs="Arial"/>
        </w:rPr>
        <w:t>y</w:t>
      </w:r>
      <w:r w:rsidR="00D3095B" w:rsidRPr="00F13942">
        <w:rPr>
          <w:rFonts w:cs="Arial"/>
        </w:rPr>
        <w:t xml:space="preserve"> would be interested in purchasing Boral’s brick manufacturing sites</w:t>
      </w:r>
      <w:r>
        <w:rPr>
          <w:rFonts w:cs="Arial"/>
        </w:rPr>
        <w:t xml:space="preserve"> in NSW, Victoria and Queensland</w:t>
      </w:r>
      <w:r w:rsidR="00EF0DD8">
        <w:rPr>
          <w:rFonts w:cs="Arial"/>
        </w:rPr>
        <w:t xml:space="preserve"> (for use in brick manufacturing rather than an alternative use) </w:t>
      </w:r>
      <w:r w:rsidR="00D3095B" w:rsidRPr="00F13942">
        <w:rPr>
          <w:rFonts w:cs="Arial"/>
        </w:rPr>
        <w:t xml:space="preserve">at a price equal </w:t>
      </w:r>
      <w:r w:rsidR="00F13942">
        <w:rPr>
          <w:rFonts w:cs="Arial"/>
        </w:rPr>
        <w:t>to or higher than</w:t>
      </w:r>
      <w:r w:rsidR="00D3095B" w:rsidRPr="00F13942">
        <w:rPr>
          <w:rFonts w:cs="Arial"/>
        </w:rPr>
        <w:t xml:space="preserve"> </w:t>
      </w:r>
      <w:r w:rsidR="00F13942">
        <w:rPr>
          <w:rFonts w:cs="Arial"/>
        </w:rPr>
        <w:t>their</w:t>
      </w:r>
      <w:r w:rsidR="00D3095B" w:rsidRPr="00F13942">
        <w:rPr>
          <w:rFonts w:cs="Arial"/>
        </w:rPr>
        <w:t xml:space="preserve"> underlying land value</w:t>
      </w:r>
      <w:r w:rsidR="003D07D2">
        <w:rPr>
          <w:rFonts w:cs="Arial"/>
        </w:rPr>
        <w:t xml:space="preserve">. Accordingly, </w:t>
      </w:r>
      <w:r w:rsidR="00BC2A89">
        <w:rPr>
          <w:rFonts w:cs="Arial"/>
        </w:rPr>
        <w:t>the ACCC concluded that</w:t>
      </w:r>
      <w:r>
        <w:rPr>
          <w:rFonts w:cs="Arial"/>
        </w:rPr>
        <w:t>,</w:t>
      </w:r>
      <w:r w:rsidR="00BC2A89">
        <w:rPr>
          <w:rFonts w:cs="Arial"/>
        </w:rPr>
        <w:t xml:space="preserve"> </w:t>
      </w:r>
      <w:r w:rsidR="003D07D2">
        <w:rPr>
          <w:rFonts w:cs="Arial"/>
        </w:rPr>
        <w:t>in the absence of the proposed acquisition,</w:t>
      </w:r>
      <w:r w:rsidR="00F13942">
        <w:rPr>
          <w:rFonts w:cs="Arial"/>
        </w:rPr>
        <w:t xml:space="preserve"> </w:t>
      </w:r>
      <w:r w:rsidR="00BC2A89">
        <w:rPr>
          <w:rFonts w:cs="Arial"/>
        </w:rPr>
        <w:t xml:space="preserve">it was likely that </w:t>
      </w:r>
      <w:r w:rsidR="00F13942">
        <w:rPr>
          <w:rFonts w:cs="Arial"/>
        </w:rPr>
        <w:t xml:space="preserve">Boral’s </w:t>
      </w:r>
      <w:r w:rsidR="003D07D2">
        <w:rPr>
          <w:rFonts w:cs="Arial"/>
        </w:rPr>
        <w:t xml:space="preserve">clay brick manufacturing </w:t>
      </w:r>
      <w:r w:rsidR="00F13942">
        <w:rPr>
          <w:rFonts w:cs="Arial"/>
        </w:rPr>
        <w:t xml:space="preserve">assets </w:t>
      </w:r>
      <w:r>
        <w:rPr>
          <w:rFonts w:cs="Arial"/>
        </w:rPr>
        <w:t xml:space="preserve">in these </w:t>
      </w:r>
      <w:r>
        <w:rPr>
          <w:rFonts w:cs="Arial"/>
        </w:rPr>
        <w:lastRenderedPageBreak/>
        <w:t xml:space="preserve">states </w:t>
      </w:r>
      <w:r w:rsidR="00F13942">
        <w:rPr>
          <w:rFonts w:cs="Arial"/>
        </w:rPr>
        <w:t xml:space="preserve">would effectively </w:t>
      </w:r>
      <w:r w:rsidR="00BC2A89">
        <w:rPr>
          <w:rFonts w:cs="Arial"/>
        </w:rPr>
        <w:t xml:space="preserve">leave </w:t>
      </w:r>
      <w:r w:rsidR="00F13942">
        <w:rPr>
          <w:rFonts w:cs="Arial"/>
        </w:rPr>
        <w:t>the relevant markets</w:t>
      </w:r>
      <w:r w:rsidR="00F156C3">
        <w:rPr>
          <w:rFonts w:cs="Arial"/>
        </w:rPr>
        <w:t xml:space="preserve"> as Boral </w:t>
      </w:r>
      <w:r>
        <w:rPr>
          <w:rFonts w:cs="Arial"/>
        </w:rPr>
        <w:t xml:space="preserve">sold the </w:t>
      </w:r>
      <w:r w:rsidR="000E3CA6">
        <w:rPr>
          <w:rFonts w:cs="Arial"/>
        </w:rPr>
        <w:t>clay brick</w:t>
      </w:r>
      <w:r>
        <w:rPr>
          <w:rFonts w:cs="Arial"/>
        </w:rPr>
        <w:t xml:space="preserve"> sites to </w:t>
      </w:r>
      <w:r w:rsidR="00F156C3">
        <w:rPr>
          <w:rFonts w:cs="Arial"/>
        </w:rPr>
        <w:t>realise the</w:t>
      </w:r>
      <w:r>
        <w:rPr>
          <w:rFonts w:cs="Arial"/>
        </w:rPr>
        <w:t xml:space="preserve"> </w:t>
      </w:r>
      <w:r w:rsidR="00F156C3">
        <w:rPr>
          <w:rFonts w:cs="Arial"/>
        </w:rPr>
        <w:t xml:space="preserve">significant </w:t>
      </w:r>
      <w:r>
        <w:rPr>
          <w:rFonts w:cs="Arial"/>
        </w:rPr>
        <w:t xml:space="preserve">underlying </w:t>
      </w:r>
      <w:r w:rsidR="00F156C3">
        <w:rPr>
          <w:rFonts w:cs="Arial"/>
        </w:rPr>
        <w:t>land value</w:t>
      </w:r>
      <w:r w:rsidR="00DF30F9">
        <w:rPr>
          <w:rFonts w:cs="Arial"/>
        </w:rPr>
        <w:t>.</w:t>
      </w:r>
    </w:p>
    <w:p w:rsidR="00487CF4" w:rsidRDefault="006B6C78" w:rsidP="00113306">
      <w:pPr>
        <w:pStyle w:val="Heading4"/>
      </w:pPr>
      <w:r>
        <w:t>Conclusion - l</w:t>
      </w:r>
      <w:r w:rsidR="00594532">
        <w:t>ikely future without the proposed joint venture</w:t>
      </w:r>
    </w:p>
    <w:p w:rsidR="004E1B62" w:rsidRPr="006B6C78" w:rsidRDefault="00113306" w:rsidP="006B6C78">
      <w:pPr>
        <w:pStyle w:val="NormalParagraph"/>
        <w:tabs>
          <w:tab w:val="clear" w:pos="360"/>
          <w:tab w:val="left" w:pos="426"/>
        </w:tabs>
        <w:ind w:left="426" w:hanging="426"/>
        <w:rPr>
          <w:rFonts w:cs="Arial"/>
        </w:rPr>
      </w:pPr>
      <w:r w:rsidRPr="00594532">
        <w:rPr>
          <w:rFonts w:cs="Arial"/>
        </w:rPr>
        <w:t>As set out</w:t>
      </w:r>
      <w:r w:rsidR="006B6C78">
        <w:rPr>
          <w:rFonts w:cs="Arial"/>
        </w:rPr>
        <w:t xml:space="preserve"> above, the ACCC concluded that, without the proposed joint venture, it was likely that Boral would </w:t>
      </w:r>
      <w:r w:rsidR="00F13942">
        <w:rPr>
          <w:rFonts w:cs="Arial"/>
        </w:rPr>
        <w:t>exit</w:t>
      </w:r>
      <w:r w:rsidR="006B6C78">
        <w:rPr>
          <w:rFonts w:cs="Arial"/>
        </w:rPr>
        <w:t xml:space="preserve"> the supply of clay bricks</w:t>
      </w:r>
      <w:r w:rsidR="003D07D2">
        <w:rPr>
          <w:rFonts w:cs="Arial"/>
        </w:rPr>
        <w:t xml:space="preserve"> in </w:t>
      </w:r>
      <w:r w:rsidR="00FE7856">
        <w:rPr>
          <w:rFonts w:cs="Arial"/>
        </w:rPr>
        <w:t>e</w:t>
      </w:r>
      <w:r w:rsidR="003D07D2">
        <w:rPr>
          <w:rFonts w:cs="Arial"/>
        </w:rPr>
        <w:t>astern Australia</w:t>
      </w:r>
      <w:r w:rsidR="00BC2A89">
        <w:rPr>
          <w:rFonts w:cs="Arial"/>
        </w:rPr>
        <w:t xml:space="preserve"> </w:t>
      </w:r>
      <w:r w:rsidR="001734E4">
        <w:rPr>
          <w:rFonts w:cs="Arial"/>
        </w:rPr>
        <w:t xml:space="preserve">and </w:t>
      </w:r>
      <w:r w:rsidR="00BC2A89">
        <w:rPr>
          <w:rFonts w:cs="Arial"/>
        </w:rPr>
        <w:t>realise the land value of its manufacturing sites in NSW, Victoria and Queensland</w:t>
      </w:r>
      <w:r w:rsidR="006B6C78">
        <w:rPr>
          <w:rFonts w:cs="Arial"/>
        </w:rPr>
        <w:t>.</w:t>
      </w:r>
    </w:p>
    <w:p w:rsidR="0040634A" w:rsidRDefault="00902883" w:rsidP="006B6C78">
      <w:pPr>
        <w:pStyle w:val="NormalParagraph"/>
        <w:tabs>
          <w:tab w:val="clear" w:pos="360"/>
          <w:tab w:val="left" w:pos="284"/>
          <w:tab w:val="left" w:pos="426"/>
        </w:tabs>
        <w:ind w:left="426" w:hanging="426"/>
      </w:pPr>
      <w:r>
        <w:t xml:space="preserve">This conclusion </w:t>
      </w:r>
      <w:r w:rsidRPr="00113721">
        <w:t>was critical to the ACCC’s assessment of th</w:t>
      </w:r>
      <w:r w:rsidR="003D07D2">
        <w:t>e proposed joint venture</w:t>
      </w:r>
      <w:r w:rsidRPr="00113721">
        <w:t>.</w:t>
      </w:r>
      <w:r>
        <w:t xml:space="preserve"> Having reached this conclusion, </w:t>
      </w:r>
      <w:r w:rsidR="00BC2A89">
        <w:t xml:space="preserve">the ACCC considered </w:t>
      </w:r>
      <w:r>
        <w:t xml:space="preserve">whether the </w:t>
      </w:r>
      <w:r w:rsidR="00BC2A89">
        <w:t xml:space="preserve">likely </w:t>
      </w:r>
      <w:r>
        <w:t xml:space="preserve">future with the proposed </w:t>
      </w:r>
      <w:r w:rsidR="003D07D2">
        <w:t xml:space="preserve">joint venture </w:t>
      </w:r>
      <w:r>
        <w:t xml:space="preserve">would </w:t>
      </w:r>
      <w:r w:rsidR="00BC2A89">
        <w:t xml:space="preserve">be likely to be </w:t>
      </w:r>
      <w:r>
        <w:t>substantial</w:t>
      </w:r>
      <w:r w:rsidR="00BC2A89">
        <w:t>ly</w:t>
      </w:r>
      <w:r>
        <w:t xml:space="preserve"> less</w:t>
      </w:r>
      <w:r w:rsidR="00BC2A89">
        <w:t xml:space="preserve"> </w:t>
      </w:r>
      <w:r>
        <w:t>competiti</w:t>
      </w:r>
      <w:r w:rsidR="00BC2A89">
        <w:t>ve</w:t>
      </w:r>
      <w:r>
        <w:t xml:space="preserve"> when compared with the likely future without the proposed joint venture (in which Boral and its </w:t>
      </w:r>
      <w:r w:rsidR="003D07D2">
        <w:t xml:space="preserve">clay brick manufacturing </w:t>
      </w:r>
      <w:r>
        <w:t>assets would be likely to exit</w:t>
      </w:r>
      <w:r w:rsidR="00C4726A">
        <w:t xml:space="preserve"> the relevant markets</w:t>
      </w:r>
      <w:r>
        <w:t>).</w:t>
      </w:r>
    </w:p>
    <w:p w:rsidR="00AF1C87" w:rsidRPr="006A7FE8" w:rsidRDefault="00AF1C87" w:rsidP="006A7FE8">
      <w:pPr>
        <w:pStyle w:val="Heading3"/>
      </w:pPr>
      <w:r w:rsidRPr="006A7FE8">
        <w:t>Competition analysis</w:t>
      </w:r>
    </w:p>
    <w:p w:rsidR="004E1B62" w:rsidRDefault="006B6C78" w:rsidP="004E1B62">
      <w:pPr>
        <w:pStyle w:val="NormalParagraph"/>
        <w:tabs>
          <w:tab w:val="clear" w:pos="360"/>
          <w:tab w:val="left" w:pos="426"/>
        </w:tabs>
        <w:ind w:left="426" w:hanging="426"/>
      </w:pPr>
      <w:r>
        <w:t xml:space="preserve">The ACCC </w:t>
      </w:r>
      <w:r w:rsidRPr="00D308B7">
        <w:t xml:space="preserve">considered that, </w:t>
      </w:r>
      <w:r w:rsidR="002803CE" w:rsidRPr="00D308B7">
        <w:t>consistent</w:t>
      </w:r>
      <w:r w:rsidRPr="00D308B7">
        <w:t xml:space="preserve"> with the preliminary view it expressed in the S</w:t>
      </w:r>
      <w:r w:rsidR="00C4726A" w:rsidRPr="00D308B7">
        <w:t>O</w:t>
      </w:r>
      <w:r w:rsidRPr="00D308B7">
        <w:t xml:space="preserve">I, the proposed </w:t>
      </w:r>
      <w:r w:rsidR="003D07D2" w:rsidRPr="00D308B7">
        <w:t xml:space="preserve">joint venture </w:t>
      </w:r>
      <w:r w:rsidRPr="00D308B7">
        <w:t>raised significant competition concerns</w:t>
      </w:r>
      <w:r w:rsidR="003E7CE3" w:rsidRPr="00D308B7">
        <w:t xml:space="preserve"> if </w:t>
      </w:r>
      <w:r w:rsidR="0050709C" w:rsidRPr="00D308B7">
        <w:t>Boral</w:t>
      </w:r>
      <w:r w:rsidR="003E7CE3" w:rsidRPr="00D308B7">
        <w:t xml:space="preserve"> </w:t>
      </w:r>
      <w:r w:rsidR="00BC6932" w:rsidRPr="00D308B7">
        <w:t xml:space="preserve">(or an alternative owner/s of Boral’s assets) </w:t>
      </w:r>
      <w:r w:rsidR="003C0550" w:rsidRPr="00D308B7">
        <w:t>was</w:t>
      </w:r>
      <w:r w:rsidR="003C0550">
        <w:t xml:space="preserve"> likely to </w:t>
      </w:r>
      <w:r w:rsidR="003D07D2">
        <w:t xml:space="preserve">have </w:t>
      </w:r>
      <w:r w:rsidR="003E7CE3">
        <w:t>continue</w:t>
      </w:r>
      <w:r w:rsidR="003D07D2">
        <w:t>d</w:t>
      </w:r>
      <w:r w:rsidR="003E7CE3">
        <w:t xml:space="preserve"> </w:t>
      </w:r>
      <w:r w:rsidR="007C790D">
        <w:t>supplying</w:t>
      </w:r>
      <w:r w:rsidR="00601232">
        <w:t xml:space="preserve"> clay bricks</w:t>
      </w:r>
      <w:r w:rsidR="003E7CE3">
        <w:t xml:space="preserve"> </w:t>
      </w:r>
      <w:r w:rsidR="003D07D2">
        <w:t xml:space="preserve">absent </w:t>
      </w:r>
      <w:r w:rsidR="00601232">
        <w:t>the proposed joint venture.</w:t>
      </w:r>
    </w:p>
    <w:p w:rsidR="00CB149B" w:rsidRDefault="006B6C78" w:rsidP="006436E3">
      <w:pPr>
        <w:pStyle w:val="NormalParagraph"/>
        <w:tabs>
          <w:tab w:val="clear" w:pos="360"/>
          <w:tab w:val="left" w:pos="426"/>
        </w:tabs>
        <w:ind w:left="426" w:hanging="426"/>
      </w:pPr>
      <w:r w:rsidRPr="006B6C78">
        <w:t xml:space="preserve">In comparison to the status quo, </w:t>
      </w:r>
      <w:r w:rsidR="004E1B62" w:rsidRPr="006B6C78">
        <w:t>the proposed joint venture would effectively create a duopoly</w:t>
      </w:r>
      <w:r w:rsidR="00356B11">
        <w:t xml:space="preserve"> of major brick suppliers</w:t>
      </w:r>
      <w:r w:rsidR="004E1B62" w:rsidRPr="006B6C78">
        <w:t xml:space="preserve"> in New South Wales and Queensland. This would </w:t>
      </w:r>
      <w:r w:rsidR="00CB149B">
        <w:t xml:space="preserve">be likely to </w:t>
      </w:r>
      <w:r w:rsidR="004E1B62" w:rsidRPr="006B6C78">
        <w:t>materially reduce the intensity of competit</w:t>
      </w:r>
      <w:r w:rsidR="009433E4">
        <w:t>ion between the remaining two major</w:t>
      </w:r>
      <w:r w:rsidR="00412076">
        <w:t xml:space="preserve"> </w:t>
      </w:r>
      <w:r w:rsidR="004E1B62" w:rsidRPr="006B6C78">
        <w:t xml:space="preserve">clay brick suppliers, </w:t>
      </w:r>
      <w:r w:rsidR="003C0550">
        <w:t>and/</w:t>
      </w:r>
      <w:r w:rsidR="004E1B62" w:rsidRPr="006B6C78">
        <w:t xml:space="preserve">or result in a general reduction in competitive tension. </w:t>
      </w:r>
    </w:p>
    <w:p w:rsidR="006436E3" w:rsidRPr="006B6C78" w:rsidRDefault="004E1B62" w:rsidP="006436E3">
      <w:pPr>
        <w:pStyle w:val="NormalParagraph"/>
        <w:tabs>
          <w:tab w:val="clear" w:pos="360"/>
          <w:tab w:val="left" w:pos="426"/>
        </w:tabs>
        <w:ind w:left="426" w:hanging="426"/>
      </w:pPr>
      <w:r w:rsidRPr="006B6C78">
        <w:t xml:space="preserve">The proposed joint venture would </w:t>
      </w:r>
      <w:r w:rsidR="00CB149B">
        <w:t xml:space="preserve">also be likely to </w:t>
      </w:r>
      <w:r w:rsidRPr="006B6C78">
        <w:t>alter the nature of interdependence between rivals</w:t>
      </w:r>
      <w:r w:rsidR="00CB149B">
        <w:t>,</w:t>
      </w:r>
      <w:r w:rsidRPr="006B6C78">
        <w:t xml:space="preserve"> such that the joint venture entity and Austral Bricks would be more likely to </w:t>
      </w:r>
      <w:r w:rsidR="00356B11">
        <w:t xml:space="preserve">independently reach the conclusion that it would be in their </w:t>
      </w:r>
      <w:r w:rsidRPr="006B6C78">
        <w:t>interests to tacitly coordinate their key commercial deci</w:t>
      </w:r>
      <w:r w:rsidR="008F5E61">
        <w:t xml:space="preserve">sions, such as price increases </w:t>
      </w:r>
      <w:r w:rsidRPr="006B6C78">
        <w:t>and/or production capacities. This coordination would not require any explicit communication or commitment between</w:t>
      </w:r>
      <w:r w:rsidR="00CB149B">
        <w:t xml:space="preserve"> the</w:t>
      </w:r>
      <w:r w:rsidRPr="006B6C78">
        <w:t xml:space="preserve"> rivals. Rather, </w:t>
      </w:r>
      <w:r w:rsidR="00CB149B">
        <w:t>they</w:t>
      </w:r>
      <w:r w:rsidRPr="006B6C78">
        <w:t xml:space="preserve"> would </w:t>
      </w:r>
      <w:r w:rsidR="00CB149B">
        <w:t xml:space="preserve">each </w:t>
      </w:r>
      <w:r w:rsidRPr="006B6C78">
        <w:t>act in their own self-interest, taking into account each other</w:t>
      </w:r>
      <w:r w:rsidR="006436E3" w:rsidRPr="006B6C78">
        <w:t>’s likely actions and reactions.</w:t>
      </w:r>
    </w:p>
    <w:p w:rsidR="003D45B6" w:rsidRDefault="002803CE" w:rsidP="002803CE">
      <w:pPr>
        <w:pStyle w:val="NormalParagraph"/>
        <w:tabs>
          <w:tab w:val="clear" w:pos="360"/>
          <w:tab w:val="left" w:pos="426"/>
        </w:tabs>
        <w:ind w:left="426" w:hanging="426"/>
      </w:pPr>
      <w:r>
        <w:t xml:space="preserve">The ACCC did not identify any smaller actual or potential clay brick </w:t>
      </w:r>
      <w:r w:rsidR="007C790D">
        <w:t>suppliers</w:t>
      </w:r>
      <w:r>
        <w:t xml:space="preserve"> which would have the </w:t>
      </w:r>
      <w:r w:rsidR="00977366">
        <w:t xml:space="preserve">ability and/or incentive to </w:t>
      </w:r>
      <w:r>
        <w:t>competitively constrain the actions of the joint venture entity and/or Austral Bricks.</w:t>
      </w:r>
      <w:r w:rsidR="00977366">
        <w:t xml:space="preserve"> I</w:t>
      </w:r>
      <w:r w:rsidR="008F5E61">
        <w:t>n particular, the ACCC considered</w:t>
      </w:r>
      <w:r w:rsidR="00977366">
        <w:t xml:space="preserve"> that </w:t>
      </w:r>
      <w:r>
        <w:t xml:space="preserve">the </w:t>
      </w:r>
      <w:r w:rsidR="00977366">
        <w:t>small</w:t>
      </w:r>
      <w:r>
        <w:t xml:space="preserve"> brick </w:t>
      </w:r>
      <w:r w:rsidR="007C790D">
        <w:t>suppliers</w:t>
      </w:r>
      <w:r w:rsidR="006B6C78">
        <w:t xml:space="preserve"> </w:t>
      </w:r>
      <w:r w:rsidR="00977366">
        <w:t>generally operate in niche se</w:t>
      </w:r>
      <w:r>
        <w:t>gments of the relevant markets, an</w:t>
      </w:r>
      <w:r w:rsidR="00523A37">
        <w:t>d/or</w:t>
      </w:r>
      <w:r>
        <w:t xml:space="preserve"> operate on a very small scale which is incapable of having any material impact on the major brick </w:t>
      </w:r>
      <w:r w:rsidR="007C790D">
        <w:t>suppliers</w:t>
      </w:r>
      <w:r>
        <w:t xml:space="preserve">. </w:t>
      </w:r>
    </w:p>
    <w:p w:rsidR="002803CE" w:rsidRDefault="002803CE" w:rsidP="002803CE">
      <w:pPr>
        <w:pStyle w:val="NormalParagraph"/>
        <w:tabs>
          <w:tab w:val="clear" w:pos="360"/>
          <w:tab w:val="left" w:pos="426"/>
        </w:tabs>
        <w:ind w:left="426" w:hanging="426"/>
      </w:pPr>
      <w:r>
        <w:t>Due to</w:t>
      </w:r>
      <w:r w:rsidR="00977366">
        <w:t xml:space="preserve"> significant barriers to entry and expansion</w:t>
      </w:r>
      <w:r>
        <w:t>, and the structural decline of the indu</w:t>
      </w:r>
      <w:r w:rsidR="00482579">
        <w:t xml:space="preserve">stry, </w:t>
      </w:r>
      <w:r w:rsidR="008F5E61">
        <w:t xml:space="preserve">the ACCC did not consider it likely there would be </w:t>
      </w:r>
      <w:r w:rsidR="00482579">
        <w:t xml:space="preserve">new entry or expansion on </w:t>
      </w:r>
      <w:r w:rsidR="008F5E61">
        <w:t xml:space="preserve">a </w:t>
      </w:r>
      <w:r w:rsidR="00482579">
        <w:t xml:space="preserve">scale that </w:t>
      </w:r>
      <w:r w:rsidR="008F5E61">
        <w:t>would be</w:t>
      </w:r>
      <w:r w:rsidR="00482579">
        <w:t xml:space="preserve"> competitive</w:t>
      </w:r>
      <w:r>
        <w:t xml:space="preserve"> with the major </w:t>
      </w:r>
      <w:r w:rsidR="007C790D">
        <w:t xml:space="preserve">suppliers </w:t>
      </w:r>
      <w:r>
        <w:t>in the relevant markets</w:t>
      </w:r>
      <w:r w:rsidR="008F5E61">
        <w:t>.</w:t>
      </w:r>
    </w:p>
    <w:p w:rsidR="00AF1C87" w:rsidRDefault="00CB149B" w:rsidP="002803CE">
      <w:pPr>
        <w:pStyle w:val="NormalParagraph"/>
        <w:tabs>
          <w:tab w:val="clear" w:pos="360"/>
          <w:tab w:val="left" w:pos="426"/>
        </w:tabs>
        <w:ind w:left="426" w:hanging="426"/>
      </w:pPr>
      <w:r>
        <w:t>Despite this</w:t>
      </w:r>
      <w:r w:rsidR="006436E3">
        <w:t>, h</w:t>
      </w:r>
      <w:r w:rsidR="003E7CE3" w:rsidRPr="00176746">
        <w:t>aving form</w:t>
      </w:r>
      <w:r w:rsidR="0050709C">
        <w:t>ed the view that it was l</w:t>
      </w:r>
      <w:r w:rsidR="003E7CE3" w:rsidRPr="00176746">
        <w:t xml:space="preserve">ikely that </w:t>
      </w:r>
      <w:r w:rsidR="0050709C">
        <w:t>Boral</w:t>
      </w:r>
      <w:r w:rsidR="003E7CE3" w:rsidRPr="00176746">
        <w:t xml:space="preserve"> would leave the </w:t>
      </w:r>
      <w:r w:rsidR="003D45B6">
        <w:t xml:space="preserve">relevant </w:t>
      </w:r>
      <w:r w:rsidR="003E7CE3" w:rsidRPr="00176746">
        <w:t>market</w:t>
      </w:r>
      <w:r w:rsidR="003D45B6">
        <w:t>s</w:t>
      </w:r>
      <w:r w:rsidR="003E7CE3" w:rsidRPr="00176746">
        <w:t xml:space="preserve"> </w:t>
      </w:r>
      <w:r w:rsidR="001734E4">
        <w:t xml:space="preserve">and </w:t>
      </w:r>
      <w:r w:rsidR="004E5ED0">
        <w:t>th</w:t>
      </w:r>
      <w:r w:rsidR="001734E4">
        <w:t xml:space="preserve">at its clay brick manufacturing assets would leave the industry </w:t>
      </w:r>
      <w:r w:rsidR="003E7CE3" w:rsidRPr="00176746">
        <w:t xml:space="preserve">if the proposed </w:t>
      </w:r>
      <w:r w:rsidR="00482579">
        <w:t>joint venture</w:t>
      </w:r>
      <w:r w:rsidR="003E7CE3" w:rsidRPr="00176746">
        <w:t xml:space="preserve"> did not proceed, the ACCC did not consider the future </w:t>
      </w:r>
      <w:r w:rsidR="003C0550">
        <w:t xml:space="preserve">state of competition </w:t>
      </w:r>
      <w:r w:rsidR="003E7CE3" w:rsidRPr="00176746">
        <w:t xml:space="preserve">with the proposed </w:t>
      </w:r>
      <w:r w:rsidR="00482579">
        <w:t xml:space="preserve">joint venture </w:t>
      </w:r>
      <w:r w:rsidR="003E7CE3" w:rsidRPr="00176746">
        <w:t xml:space="preserve">to be substantially </w:t>
      </w:r>
      <w:r w:rsidR="003E7CE3" w:rsidRPr="00176746">
        <w:lastRenderedPageBreak/>
        <w:t xml:space="preserve">less than </w:t>
      </w:r>
      <w:r w:rsidR="003C0550">
        <w:t xml:space="preserve">the state of competition in </w:t>
      </w:r>
      <w:r w:rsidR="003E7CE3" w:rsidRPr="00176746">
        <w:t xml:space="preserve">a scenario in which </w:t>
      </w:r>
      <w:r w:rsidR="0050709C">
        <w:t>Boral closed its bricks plants</w:t>
      </w:r>
      <w:r w:rsidR="003E7CE3" w:rsidRPr="00176746">
        <w:t xml:space="preserve"> </w:t>
      </w:r>
      <w:r w:rsidR="003D45B6">
        <w:t xml:space="preserve">in NSW, Queensland and Victoria </w:t>
      </w:r>
      <w:r w:rsidR="003E7CE3" w:rsidRPr="00176746">
        <w:t xml:space="preserve">and left the </w:t>
      </w:r>
      <w:r w:rsidR="003D45B6">
        <w:t xml:space="preserve">relevant </w:t>
      </w:r>
      <w:r w:rsidR="003E7CE3" w:rsidRPr="00176746">
        <w:t>market</w:t>
      </w:r>
      <w:r w:rsidR="003D45B6">
        <w:t>s</w:t>
      </w:r>
      <w:r w:rsidR="003E7CE3" w:rsidRPr="00176746">
        <w:t xml:space="preserve">. </w:t>
      </w:r>
      <w:r w:rsidR="006436E3">
        <w:t xml:space="preserve">With or without the proposed joint venture, the ACCC considered it likely that the three major brick </w:t>
      </w:r>
      <w:r w:rsidR="007C790D">
        <w:t>suppliers</w:t>
      </w:r>
      <w:r w:rsidR="006436E3">
        <w:t xml:space="preserve"> in</w:t>
      </w:r>
      <w:r w:rsidR="00523A37">
        <w:t xml:space="preserve"> the</w:t>
      </w:r>
      <w:r w:rsidR="006436E3">
        <w:t xml:space="preserve"> relevant m</w:t>
      </w:r>
      <w:r w:rsidR="00482579">
        <w:t>arkets would be reduced to two</w:t>
      </w:r>
      <w:r w:rsidR="00E266DA">
        <w:t>.</w:t>
      </w:r>
    </w:p>
    <w:p w:rsidR="00AF1C87" w:rsidRDefault="003E7CE3" w:rsidP="006A7FE8">
      <w:pPr>
        <w:pStyle w:val="Heading3"/>
      </w:pPr>
      <w:r>
        <w:t xml:space="preserve">Conclusion </w:t>
      </w:r>
    </w:p>
    <w:p w:rsidR="00AF1C87" w:rsidRDefault="004E5ED0" w:rsidP="005E2A4F">
      <w:pPr>
        <w:pStyle w:val="NormalParagraph"/>
        <w:tabs>
          <w:tab w:val="clear" w:pos="360"/>
          <w:tab w:val="left" w:pos="426"/>
        </w:tabs>
        <w:ind w:left="426" w:hanging="426"/>
      </w:pPr>
      <w:r>
        <w:t xml:space="preserve">After a detailed assessment, the ACCC concluded </w:t>
      </w:r>
      <w:r w:rsidR="001734E4">
        <w:t xml:space="preserve">that </w:t>
      </w:r>
      <w:r w:rsidR="0050709C">
        <w:t>Boral</w:t>
      </w:r>
      <w:r w:rsidR="001734E4">
        <w:t xml:space="preserve"> was</w:t>
      </w:r>
      <w:r w:rsidR="0050709C">
        <w:t xml:space="preserve"> </w:t>
      </w:r>
      <w:r w:rsidR="003E7CE3" w:rsidRPr="00241E10">
        <w:t xml:space="preserve">likely </w:t>
      </w:r>
      <w:r w:rsidR="001734E4">
        <w:t xml:space="preserve">to </w:t>
      </w:r>
      <w:r w:rsidR="003E7CE3" w:rsidRPr="00241E10">
        <w:t>exit</w:t>
      </w:r>
      <w:r w:rsidR="00EA37DF">
        <w:t xml:space="preserve"> from</w:t>
      </w:r>
      <w:r w:rsidR="003E7CE3" w:rsidRPr="00241E10">
        <w:t xml:space="preserve"> the relevant market</w:t>
      </w:r>
      <w:r w:rsidR="0050709C">
        <w:t>s</w:t>
      </w:r>
      <w:r w:rsidR="003E7CE3" w:rsidRPr="00241E10">
        <w:t xml:space="preserve"> </w:t>
      </w:r>
      <w:r w:rsidR="001734E4">
        <w:t xml:space="preserve">and that its clay brick manufacturing assets would leave the industry </w:t>
      </w:r>
      <w:r w:rsidR="003E7CE3" w:rsidRPr="00241E10">
        <w:t xml:space="preserve">if the proposed </w:t>
      </w:r>
      <w:r w:rsidR="0050709C">
        <w:t>joint venture</w:t>
      </w:r>
      <w:r w:rsidR="003E7CE3" w:rsidRPr="00241E10">
        <w:t xml:space="preserve"> did not proceed</w:t>
      </w:r>
      <w:r>
        <w:t>.  Based on this conclusion</w:t>
      </w:r>
      <w:r w:rsidR="003E7CE3" w:rsidRPr="00241E10">
        <w:t xml:space="preserve">, the ACCC formed the view that </w:t>
      </w:r>
      <w:r w:rsidR="0050709C">
        <w:t xml:space="preserve">CSR and Boral’s </w:t>
      </w:r>
      <w:r w:rsidR="003E7CE3" w:rsidRPr="00241E10">
        <w:t>proposed</w:t>
      </w:r>
      <w:r w:rsidR="003E7CE3" w:rsidRPr="00A15BBE">
        <w:t xml:space="preserve"> </w:t>
      </w:r>
      <w:r w:rsidR="0050709C">
        <w:t xml:space="preserve">clay brick joint venture </w:t>
      </w:r>
      <w:r w:rsidR="003E7CE3" w:rsidRPr="00A15BBE">
        <w:t xml:space="preserve">would not be likely to </w:t>
      </w:r>
      <w:r w:rsidR="00CB149B">
        <w:t xml:space="preserve">have the effect of </w:t>
      </w:r>
      <w:r w:rsidR="003E7CE3" w:rsidRPr="00A15BBE">
        <w:t>substantial</w:t>
      </w:r>
      <w:r w:rsidR="00CB149B">
        <w:t>ly</w:t>
      </w:r>
      <w:r w:rsidR="003E7CE3" w:rsidRPr="00A15BBE">
        <w:t xml:space="preserve"> lessening competition in </w:t>
      </w:r>
      <w:r w:rsidR="0050709C">
        <w:t>any of the relevant markets</w:t>
      </w:r>
      <w:r w:rsidR="003E7CE3" w:rsidRPr="00A15BBE">
        <w:t xml:space="preserve"> in contravention of section 50 of the Act. </w:t>
      </w:r>
      <w:r w:rsidR="003E7CE3">
        <w:t xml:space="preserve">The ACCC therefore </w:t>
      </w:r>
      <w:r w:rsidR="00EA37DF">
        <w:t xml:space="preserve">decided to </w:t>
      </w:r>
      <w:r w:rsidR="003E7CE3">
        <w:t xml:space="preserve">not oppose the proposed </w:t>
      </w:r>
      <w:r w:rsidR="00523A37">
        <w:t>joint venture.</w:t>
      </w:r>
    </w:p>
    <w:sectPr w:rsidR="00AF1C87">
      <w:headerReference w:type="default" r:id="rId10"/>
      <w:footerReference w:type="even" r:id="rId11"/>
      <w:footerReference w:type="default" r:id="rId12"/>
      <w:footerReference w:type="first" r:id="rId13"/>
      <w:pgSz w:w="11906" w:h="16838" w:code="9"/>
      <w:pgMar w:top="1440" w:right="1729" w:bottom="1582" w:left="1729" w:header="720" w:footer="1009"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E4B62" w:rsidRDefault="00FE4B62">
      <w:r>
        <w:separator/>
      </w:r>
    </w:p>
  </w:endnote>
  <w:endnote w:type="continuationSeparator" w:id="0">
    <w:p w:rsidR="00FE4B62" w:rsidRDefault="00FE4B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Bold">
    <w:panose1 w:val="020B07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w:altName w:val="Book Antiqua"/>
    <w:charset w:val="00"/>
    <w:family w:val="auto"/>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42B5" w:rsidRDefault="00B842B5">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end"/>
    </w:r>
  </w:p>
  <w:p w:rsidR="00B842B5" w:rsidRDefault="00B842B5">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42B5" w:rsidRPr="001E2914" w:rsidRDefault="00B842B5">
    <w:pPr>
      <w:pStyle w:val="Footer"/>
      <w:jc w:val="right"/>
      <w:rPr>
        <w:rFonts w:ascii="Arial" w:hAnsi="Arial" w:cs="Arial"/>
        <w:sz w:val="22"/>
        <w:szCs w:val="22"/>
      </w:rPr>
    </w:pPr>
    <w:r w:rsidRPr="001E2914">
      <w:rPr>
        <w:rFonts w:ascii="Arial" w:hAnsi="Arial" w:cs="Arial"/>
        <w:sz w:val="22"/>
        <w:szCs w:val="22"/>
      </w:rPr>
      <w:t xml:space="preserve">Page </w:t>
    </w:r>
    <w:r w:rsidRPr="001E2914">
      <w:rPr>
        <w:rFonts w:ascii="Arial" w:hAnsi="Arial" w:cs="Arial"/>
        <w:b/>
        <w:sz w:val="22"/>
        <w:szCs w:val="22"/>
      </w:rPr>
      <w:fldChar w:fldCharType="begin"/>
    </w:r>
    <w:r w:rsidRPr="001E2914">
      <w:rPr>
        <w:rFonts w:ascii="Arial" w:hAnsi="Arial" w:cs="Arial"/>
        <w:b/>
        <w:sz w:val="22"/>
        <w:szCs w:val="22"/>
      </w:rPr>
      <w:instrText xml:space="preserve"> PAGE </w:instrText>
    </w:r>
    <w:r w:rsidRPr="001E2914">
      <w:rPr>
        <w:rFonts w:ascii="Arial" w:hAnsi="Arial" w:cs="Arial"/>
        <w:b/>
        <w:sz w:val="22"/>
        <w:szCs w:val="22"/>
      </w:rPr>
      <w:fldChar w:fldCharType="separate"/>
    </w:r>
    <w:r w:rsidR="00AC7BC4">
      <w:rPr>
        <w:rFonts w:ascii="Arial" w:hAnsi="Arial" w:cs="Arial"/>
        <w:b/>
        <w:noProof/>
        <w:sz w:val="22"/>
        <w:szCs w:val="22"/>
      </w:rPr>
      <w:t>4</w:t>
    </w:r>
    <w:r w:rsidRPr="001E2914">
      <w:rPr>
        <w:rFonts w:ascii="Arial" w:hAnsi="Arial" w:cs="Arial"/>
        <w:b/>
        <w:sz w:val="22"/>
        <w:szCs w:val="22"/>
      </w:rPr>
      <w:fldChar w:fldCharType="end"/>
    </w:r>
    <w:r w:rsidRPr="001E2914">
      <w:rPr>
        <w:rFonts w:ascii="Arial" w:hAnsi="Arial" w:cs="Arial"/>
        <w:sz w:val="22"/>
        <w:szCs w:val="22"/>
      </w:rPr>
      <w:t xml:space="preserve"> of </w:t>
    </w:r>
    <w:r w:rsidRPr="001E2914">
      <w:rPr>
        <w:rFonts w:ascii="Arial" w:hAnsi="Arial" w:cs="Arial"/>
        <w:b/>
        <w:sz w:val="22"/>
        <w:szCs w:val="22"/>
      </w:rPr>
      <w:fldChar w:fldCharType="begin"/>
    </w:r>
    <w:r w:rsidRPr="001E2914">
      <w:rPr>
        <w:rFonts w:ascii="Arial" w:hAnsi="Arial" w:cs="Arial"/>
        <w:b/>
        <w:sz w:val="22"/>
        <w:szCs w:val="22"/>
      </w:rPr>
      <w:instrText xml:space="preserve"> NUMPAGES  </w:instrText>
    </w:r>
    <w:r w:rsidRPr="001E2914">
      <w:rPr>
        <w:rFonts w:ascii="Arial" w:hAnsi="Arial" w:cs="Arial"/>
        <w:b/>
        <w:sz w:val="22"/>
        <w:szCs w:val="22"/>
      </w:rPr>
      <w:fldChar w:fldCharType="separate"/>
    </w:r>
    <w:r w:rsidR="00AC7BC4">
      <w:rPr>
        <w:rFonts w:ascii="Arial" w:hAnsi="Arial" w:cs="Arial"/>
        <w:b/>
        <w:noProof/>
        <w:sz w:val="22"/>
        <w:szCs w:val="22"/>
      </w:rPr>
      <w:t>9</w:t>
    </w:r>
    <w:r w:rsidRPr="001E2914">
      <w:rPr>
        <w:rFonts w:ascii="Arial" w:hAnsi="Arial" w:cs="Arial"/>
        <w:b/>
        <w:sz w:val="22"/>
        <w:szCs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42B5" w:rsidRPr="00D11F62" w:rsidRDefault="00B842B5">
    <w:pPr>
      <w:pStyle w:val="Footer"/>
      <w:jc w:val="right"/>
      <w:rPr>
        <w:rFonts w:ascii="Arial" w:hAnsi="Arial" w:cs="Arial"/>
        <w:sz w:val="22"/>
        <w:szCs w:val="22"/>
      </w:rPr>
    </w:pPr>
    <w:r w:rsidRPr="00D11F62">
      <w:rPr>
        <w:rFonts w:ascii="Arial" w:hAnsi="Arial" w:cs="Arial"/>
        <w:sz w:val="22"/>
        <w:szCs w:val="22"/>
      </w:rPr>
      <w:t xml:space="preserve">Page </w:t>
    </w:r>
    <w:r w:rsidRPr="00D11F62">
      <w:rPr>
        <w:rFonts w:ascii="Arial" w:hAnsi="Arial" w:cs="Arial"/>
        <w:b/>
        <w:sz w:val="22"/>
        <w:szCs w:val="22"/>
      </w:rPr>
      <w:fldChar w:fldCharType="begin"/>
    </w:r>
    <w:r w:rsidRPr="00D11F62">
      <w:rPr>
        <w:rFonts w:ascii="Arial" w:hAnsi="Arial" w:cs="Arial"/>
        <w:b/>
        <w:sz w:val="22"/>
        <w:szCs w:val="22"/>
      </w:rPr>
      <w:instrText xml:space="preserve"> PAGE </w:instrText>
    </w:r>
    <w:r w:rsidRPr="00D11F62">
      <w:rPr>
        <w:rFonts w:ascii="Arial" w:hAnsi="Arial" w:cs="Arial"/>
        <w:b/>
        <w:sz w:val="22"/>
        <w:szCs w:val="22"/>
      </w:rPr>
      <w:fldChar w:fldCharType="separate"/>
    </w:r>
    <w:r w:rsidR="00AC7BC4">
      <w:rPr>
        <w:rFonts w:ascii="Arial" w:hAnsi="Arial" w:cs="Arial"/>
        <w:b/>
        <w:noProof/>
        <w:sz w:val="22"/>
        <w:szCs w:val="22"/>
      </w:rPr>
      <w:t>1</w:t>
    </w:r>
    <w:r w:rsidRPr="00D11F62">
      <w:rPr>
        <w:rFonts w:ascii="Arial" w:hAnsi="Arial" w:cs="Arial"/>
        <w:b/>
        <w:sz w:val="22"/>
        <w:szCs w:val="22"/>
      </w:rPr>
      <w:fldChar w:fldCharType="end"/>
    </w:r>
    <w:r w:rsidRPr="00D11F62">
      <w:rPr>
        <w:rFonts w:ascii="Arial" w:hAnsi="Arial" w:cs="Arial"/>
        <w:sz w:val="22"/>
        <w:szCs w:val="22"/>
      </w:rPr>
      <w:t xml:space="preserve"> of </w:t>
    </w:r>
    <w:r w:rsidRPr="00D11F62">
      <w:rPr>
        <w:rFonts w:ascii="Arial" w:hAnsi="Arial" w:cs="Arial"/>
        <w:b/>
        <w:sz w:val="22"/>
        <w:szCs w:val="22"/>
      </w:rPr>
      <w:fldChar w:fldCharType="begin"/>
    </w:r>
    <w:r w:rsidRPr="00D11F62">
      <w:rPr>
        <w:rFonts w:ascii="Arial" w:hAnsi="Arial" w:cs="Arial"/>
        <w:b/>
        <w:sz w:val="22"/>
        <w:szCs w:val="22"/>
      </w:rPr>
      <w:instrText xml:space="preserve"> NUMPAGES  </w:instrText>
    </w:r>
    <w:r w:rsidRPr="00D11F62">
      <w:rPr>
        <w:rFonts w:ascii="Arial" w:hAnsi="Arial" w:cs="Arial"/>
        <w:b/>
        <w:sz w:val="22"/>
        <w:szCs w:val="22"/>
      </w:rPr>
      <w:fldChar w:fldCharType="separate"/>
    </w:r>
    <w:r w:rsidR="00AC7BC4">
      <w:rPr>
        <w:rFonts w:ascii="Arial" w:hAnsi="Arial" w:cs="Arial"/>
        <w:b/>
        <w:noProof/>
        <w:sz w:val="22"/>
        <w:szCs w:val="22"/>
      </w:rPr>
      <w:t>9</w:t>
    </w:r>
    <w:r w:rsidRPr="00D11F62">
      <w:rPr>
        <w:rFonts w:ascii="Arial" w:hAnsi="Arial" w:cs="Arial"/>
        <w:b/>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E4B62" w:rsidRDefault="00FE4B62">
      <w:r>
        <w:separator/>
      </w:r>
    </w:p>
  </w:footnote>
  <w:footnote w:type="continuationSeparator" w:id="0">
    <w:p w:rsidR="00FE4B62" w:rsidRDefault="00FE4B62">
      <w:r>
        <w:continuationSeparator/>
      </w:r>
    </w:p>
  </w:footnote>
  <w:footnote w:id="1">
    <w:p w:rsidR="0073125F" w:rsidRPr="0073125F" w:rsidRDefault="0073125F" w:rsidP="0073125F">
      <w:pPr>
        <w:pStyle w:val="FootnoteText"/>
        <w:ind w:left="142" w:hanging="142"/>
        <w:rPr>
          <w:rFonts w:ascii="Arial" w:hAnsi="Arial" w:cs="Arial"/>
          <w:szCs w:val="20"/>
        </w:rPr>
      </w:pPr>
      <w:r w:rsidRPr="0073125F">
        <w:rPr>
          <w:rStyle w:val="FootnoteReference"/>
          <w:rFonts w:ascii="Arial" w:hAnsi="Arial" w:cs="Arial"/>
          <w:szCs w:val="20"/>
        </w:rPr>
        <w:footnoteRef/>
      </w:r>
      <w:r w:rsidRPr="0073125F">
        <w:rPr>
          <w:rFonts w:ascii="Arial" w:hAnsi="Arial" w:cs="Arial"/>
          <w:sz w:val="18"/>
          <w:szCs w:val="20"/>
        </w:rPr>
        <w:t xml:space="preserve"> The ACCC understands that Austral Bricks has</w:t>
      </w:r>
      <w:r>
        <w:rPr>
          <w:rFonts w:ascii="Arial" w:hAnsi="Arial" w:cs="Arial"/>
          <w:sz w:val="18"/>
          <w:szCs w:val="20"/>
        </w:rPr>
        <w:t xml:space="preserve"> recently </w:t>
      </w:r>
      <w:r w:rsidRPr="0073125F">
        <w:rPr>
          <w:rFonts w:ascii="Arial" w:hAnsi="Arial" w:cs="Arial"/>
          <w:sz w:val="18"/>
          <w:szCs w:val="20"/>
        </w:rPr>
        <w:t>re</w:t>
      </w:r>
      <w:r w:rsidR="00DC0CB1">
        <w:rPr>
          <w:rFonts w:ascii="Arial" w:hAnsi="Arial" w:cs="Arial"/>
          <w:sz w:val="18"/>
          <w:szCs w:val="20"/>
        </w:rPr>
        <w:t>commissioned</w:t>
      </w:r>
      <w:r w:rsidRPr="0073125F">
        <w:rPr>
          <w:rFonts w:ascii="Arial" w:hAnsi="Arial" w:cs="Arial"/>
          <w:sz w:val="18"/>
          <w:szCs w:val="20"/>
        </w:rPr>
        <w:t xml:space="preserve"> mothballed </w:t>
      </w:r>
      <w:r w:rsidR="009220AA">
        <w:rPr>
          <w:rFonts w:ascii="Arial" w:hAnsi="Arial" w:cs="Arial"/>
          <w:sz w:val="18"/>
          <w:szCs w:val="20"/>
        </w:rPr>
        <w:t xml:space="preserve">capacity at its </w:t>
      </w:r>
      <w:r w:rsidRPr="0073125F">
        <w:rPr>
          <w:rFonts w:ascii="Arial" w:hAnsi="Arial" w:cs="Arial"/>
          <w:sz w:val="18"/>
          <w:szCs w:val="20"/>
        </w:rPr>
        <w:t xml:space="preserve">Horsley </w:t>
      </w:r>
      <w:r w:rsidR="009220AA">
        <w:rPr>
          <w:rFonts w:ascii="Arial" w:hAnsi="Arial" w:cs="Arial"/>
          <w:sz w:val="18"/>
          <w:szCs w:val="20"/>
        </w:rPr>
        <w:t>Park and Golden Grove plants</w:t>
      </w:r>
      <w:r w:rsidRPr="0073125F">
        <w:rPr>
          <w:rFonts w:ascii="Arial" w:hAnsi="Arial" w:cs="Arial"/>
          <w:sz w:val="18"/>
          <w:szCs w:val="20"/>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42B5" w:rsidRPr="001E2914" w:rsidRDefault="00B842B5">
    <w:pPr>
      <w:pStyle w:val="Header"/>
      <w:jc w:val="right"/>
      <w:rPr>
        <w:rFonts w:ascii="Arial" w:hAnsi="Arial" w:cs="Arial"/>
        <w:sz w:val="22"/>
        <w:szCs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010E6B"/>
    <w:multiLevelType w:val="singleLevel"/>
    <w:tmpl w:val="5E4850B2"/>
    <w:lvl w:ilvl="0">
      <w:start w:val="1"/>
      <w:numFmt w:val="bullet"/>
      <w:pStyle w:val="ListBullet2"/>
      <w:lvlText w:val=""/>
      <w:lvlJc w:val="left"/>
      <w:pPr>
        <w:tabs>
          <w:tab w:val="num" w:pos="360"/>
        </w:tabs>
        <w:ind w:left="360" w:hanging="360"/>
      </w:pPr>
      <w:rPr>
        <w:rFonts w:ascii="Wingdings" w:hAnsi="Wingdings" w:hint="default"/>
      </w:rPr>
    </w:lvl>
  </w:abstractNum>
  <w:abstractNum w:abstractNumId="1">
    <w:nsid w:val="21805366"/>
    <w:multiLevelType w:val="hybridMultilevel"/>
    <w:tmpl w:val="CD96AA72"/>
    <w:lvl w:ilvl="0" w:tplc="5B36B4E2">
      <w:start w:val="1"/>
      <w:numFmt w:val="decimal"/>
      <w:pStyle w:val="Numbered"/>
      <w:lvlText w:val="%1."/>
      <w:lvlJc w:val="left"/>
      <w:pPr>
        <w:tabs>
          <w:tab w:val="num" w:pos="567"/>
        </w:tabs>
        <w:ind w:left="567" w:hanging="567"/>
      </w:pPr>
      <w:rPr>
        <w:rFonts w:hint="default"/>
      </w:rPr>
    </w:lvl>
    <w:lvl w:ilvl="1" w:tplc="0C090019">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
    <w:nsid w:val="26042DE1"/>
    <w:multiLevelType w:val="hybridMultilevel"/>
    <w:tmpl w:val="03B69560"/>
    <w:lvl w:ilvl="0" w:tplc="FCF4C462">
      <w:start w:val="1"/>
      <w:numFmt w:val="lowerLetter"/>
      <w:pStyle w:val="ABCList"/>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nsid w:val="329237AE"/>
    <w:multiLevelType w:val="hybridMultilevel"/>
    <w:tmpl w:val="76E8FFB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
    <w:nsid w:val="42CA085C"/>
    <w:multiLevelType w:val="singleLevel"/>
    <w:tmpl w:val="BF74712C"/>
    <w:lvl w:ilvl="0">
      <w:start w:val="1"/>
      <w:numFmt w:val="bullet"/>
      <w:pStyle w:val="ListBullet"/>
      <w:lvlText w:val=""/>
      <w:lvlJc w:val="left"/>
      <w:pPr>
        <w:tabs>
          <w:tab w:val="num" w:pos="360"/>
        </w:tabs>
        <w:ind w:left="360" w:hanging="360"/>
      </w:pPr>
      <w:rPr>
        <w:rFonts w:ascii="Wingdings" w:hAnsi="Wingdings" w:hint="default"/>
        <w:sz w:val="28"/>
      </w:rPr>
    </w:lvl>
  </w:abstractNum>
  <w:abstractNum w:abstractNumId="5">
    <w:nsid w:val="433056AA"/>
    <w:multiLevelType w:val="singleLevel"/>
    <w:tmpl w:val="7A3837B0"/>
    <w:lvl w:ilvl="0">
      <w:numFmt w:val="bullet"/>
      <w:pStyle w:val="ListBullet3"/>
      <w:lvlText w:val="—"/>
      <w:lvlJc w:val="left"/>
      <w:pPr>
        <w:tabs>
          <w:tab w:val="num" w:pos="360"/>
        </w:tabs>
        <w:ind w:left="360" w:hanging="360"/>
      </w:pPr>
      <w:rPr>
        <w:rFonts w:ascii="Times New Roman" w:hAnsi="Times New Roman" w:hint="default"/>
      </w:rPr>
    </w:lvl>
  </w:abstractNum>
  <w:abstractNum w:abstractNumId="6">
    <w:nsid w:val="43D17458"/>
    <w:multiLevelType w:val="hybridMultilevel"/>
    <w:tmpl w:val="36C2FAB4"/>
    <w:lvl w:ilvl="0" w:tplc="0C090001">
      <w:start w:val="1"/>
      <w:numFmt w:val="bullet"/>
      <w:lvlText w:val=""/>
      <w:lvlJc w:val="left"/>
      <w:pPr>
        <w:tabs>
          <w:tab w:val="num" w:pos="862"/>
        </w:tabs>
        <w:ind w:left="862" w:hanging="360"/>
      </w:pPr>
      <w:rPr>
        <w:rFonts w:ascii="Symbol" w:hAnsi="Symbol" w:hint="default"/>
        <w:sz w:val="22"/>
        <w:szCs w:val="22"/>
      </w:rPr>
    </w:lvl>
    <w:lvl w:ilvl="1" w:tplc="FFFFFFFF">
      <w:start w:val="1"/>
      <w:numFmt w:val="decimal"/>
      <w:lvlText w:val="%2."/>
      <w:lvlJc w:val="left"/>
      <w:pPr>
        <w:tabs>
          <w:tab w:val="num" w:pos="862"/>
        </w:tabs>
        <w:ind w:left="862" w:hanging="360"/>
      </w:pPr>
    </w:lvl>
    <w:lvl w:ilvl="2" w:tplc="0C090005">
      <w:start w:val="1"/>
      <w:numFmt w:val="bullet"/>
      <w:lvlText w:val=""/>
      <w:lvlJc w:val="left"/>
      <w:pPr>
        <w:tabs>
          <w:tab w:val="num" w:pos="862"/>
        </w:tabs>
        <w:ind w:left="862" w:hanging="360"/>
      </w:pPr>
      <w:rPr>
        <w:rFonts w:ascii="Wingdings" w:hAnsi="Wingdings" w:hint="default"/>
        <w:b/>
        <w:sz w:val="22"/>
        <w:szCs w:val="22"/>
      </w:rPr>
    </w:lvl>
    <w:lvl w:ilvl="3" w:tplc="0C090003">
      <w:start w:val="1"/>
      <w:numFmt w:val="bullet"/>
      <w:lvlText w:val="o"/>
      <w:lvlJc w:val="left"/>
      <w:pPr>
        <w:tabs>
          <w:tab w:val="num" w:pos="3240"/>
        </w:tabs>
        <w:ind w:left="3240" w:hanging="360"/>
      </w:pPr>
      <w:rPr>
        <w:rFonts w:ascii="Courier New" w:hAnsi="Courier New" w:cs="Courier New" w:hint="default"/>
        <w:sz w:val="22"/>
        <w:szCs w:val="22"/>
      </w:r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7">
    <w:nsid w:val="44E305FB"/>
    <w:multiLevelType w:val="multilevel"/>
    <w:tmpl w:val="70668E4C"/>
    <w:lvl w:ilvl="0">
      <w:start w:val="1"/>
      <w:numFmt w:val="decimal"/>
      <w:pStyle w:val="NormalParagraph"/>
      <w:lvlText w:val="%1."/>
      <w:lvlJc w:val="left"/>
      <w:pPr>
        <w:tabs>
          <w:tab w:val="num" w:pos="360"/>
        </w:tabs>
        <w:ind w:left="360" w:hanging="360"/>
      </w:pPr>
      <w:rPr>
        <w:rFonts w:hint="default"/>
        <w:sz w:val="24"/>
      </w:rPr>
    </w:lvl>
    <w:lvl w:ilvl="1">
      <w:start w:val="1"/>
      <w:numFmt w:val="bullet"/>
      <w:lvlText w:val=""/>
      <w:lvlJc w:val="left"/>
      <w:pPr>
        <w:tabs>
          <w:tab w:val="num" w:pos="720"/>
        </w:tabs>
        <w:ind w:left="720" w:hanging="360"/>
      </w:pPr>
      <w:rPr>
        <w:rFonts w:ascii="Wingdings" w:hAnsi="Wingdings" w:hint="default"/>
        <w:sz w:val="22"/>
        <w:szCs w:val="22"/>
      </w:rPr>
    </w:lvl>
    <w:lvl w:ilvl="2">
      <w:start w:val="1"/>
      <w:numFmt w:val="bullet"/>
      <w:lvlText w:val="–"/>
      <w:lvlJc w:val="left"/>
      <w:pPr>
        <w:tabs>
          <w:tab w:val="num" w:pos="1080"/>
        </w:tabs>
        <w:ind w:left="1080" w:hanging="360"/>
      </w:pPr>
      <w:rPr>
        <w:rFonts w:ascii="Times New Roman" w:hAnsi="Times New Roman" w:hint="default"/>
        <w:sz w:val="24"/>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
    <w:nsid w:val="4A3F0692"/>
    <w:multiLevelType w:val="multilevel"/>
    <w:tmpl w:val="7BC83B62"/>
    <w:lvl w:ilvl="0">
      <w:start w:val="1"/>
      <w:numFmt w:val="decimal"/>
      <w:lvlText w:val="%1."/>
      <w:lvlJc w:val="left"/>
      <w:pPr>
        <w:tabs>
          <w:tab w:val="num" w:pos="360"/>
        </w:tabs>
        <w:ind w:left="360" w:hanging="360"/>
      </w:pPr>
      <w:rPr>
        <w:rFonts w:hint="default"/>
        <w:sz w:val="24"/>
      </w:rPr>
    </w:lvl>
    <w:lvl w:ilvl="1">
      <w:start w:val="1"/>
      <w:numFmt w:val="bullet"/>
      <w:lvlText w:val=""/>
      <w:lvlJc w:val="left"/>
      <w:pPr>
        <w:tabs>
          <w:tab w:val="num" w:pos="720"/>
        </w:tabs>
        <w:ind w:left="720" w:hanging="360"/>
      </w:pPr>
      <w:rPr>
        <w:rFonts w:ascii="Wingdings" w:hAnsi="Wingdings" w:hint="default"/>
        <w:b/>
        <w:sz w:val="22"/>
        <w:szCs w:val="22"/>
      </w:rPr>
    </w:lvl>
    <w:lvl w:ilvl="2">
      <w:start w:val="1"/>
      <w:numFmt w:val="bullet"/>
      <w:lvlText w:val="–"/>
      <w:lvlJc w:val="left"/>
      <w:pPr>
        <w:tabs>
          <w:tab w:val="num" w:pos="1080"/>
        </w:tabs>
        <w:ind w:left="1080" w:hanging="360"/>
      </w:pPr>
      <w:rPr>
        <w:rFonts w:ascii="Times New Roman" w:hAnsi="Times New Roman" w:hint="default"/>
        <w:sz w:val="24"/>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9">
    <w:nsid w:val="4FFE7720"/>
    <w:multiLevelType w:val="hybridMultilevel"/>
    <w:tmpl w:val="3822CF6A"/>
    <w:lvl w:ilvl="0" w:tplc="0C090005">
      <w:start w:val="1"/>
      <w:numFmt w:val="bullet"/>
      <w:lvlText w:val=""/>
      <w:lvlJc w:val="left"/>
      <w:pPr>
        <w:ind w:left="720" w:hanging="360"/>
      </w:pPr>
      <w:rPr>
        <w:rFonts w:ascii="Wingdings" w:hAnsi="Wingdings" w:hint="default"/>
        <w:b/>
        <w:sz w:val="22"/>
        <w:szCs w:val="22"/>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0">
    <w:nsid w:val="52CE7D9C"/>
    <w:multiLevelType w:val="multilevel"/>
    <w:tmpl w:val="C968366A"/>
    <w:lvl w:ilvl="0">
      <w:start w:val="1"/>
      <w:numFmt w:val="decimal"/>
      <w:pStyle w:val="HeadNumb"/>
      <w:lvlText w:val="%1."/>
      <w:lvlJc w:val="left"/>
      <w:pPr>
        <w:tabs>
          <w:tab w:val="num" w:pos="397"/>
        </w:tabs>
        <w:ind w:left="397" w:hanging="397"/>
      </w:pPr>
      <w:rPr>
        <w:rFonts w:ascii="Arial Bold" w:hAnsi="Arial Bold" w:hint="default"/>
        <w:b/>
        <w:i w:val="0"/>
        <w:caps w:val="0"/>
        <w:strike w:val="0"/>
        <w:dstrike w:val="0"/>
        <w:outline w:val="0"/>
        <w:shadow w:val="0"/>
        <w:emboss w:val="0"/>
        <w:imprint w:val="0"/>
        <w:vanish w:val="0"/>
        <w:sz w:val="18"/>
        <w:szCs w:val="18"/>
        <w:vertAlign w:val="baseline"/>
      </w:rPr>
    </w:lvl>
    <w:lvl w:ilvl="1">
      <w:start w:val="1"/>
      <w:numFmt w:val="decimal"/>
      <w:pStyle w:val="SecondlevelNumb"/>
      <w:lvlText w:val="%1.%2"/>
      <w:lvlJc w:val="left"/>
      <w:pPr>
        <w:tabs>
          <w:tab w:val="num" w:pos="567"/>
        </w:tabs>
        <w:ind w:left="964" w:hanging="397"/>
      </w:pPr>
      <w:rPr>
        <w:rFonts w:ascii="Arial" w:hAnsi="Arial" w:hint="default"/>
        <w:b w:val="0"/>
        <w:i w:val="0"/>
        <w:caps w:val="0"/>
        <w:strike w:val="0"/>
        <w:dstrike w:val="0"/>
        <w:outline w:val="0"/>
        <w:shadow w:val="0"/>
        <w:emboss w:val="0"/>
        <w:imprint w:val="0"/>
        <w:vanish w:val="0"/>
        <w:sz w:val="22"/>
        <w:szCs w:val="22"/>
        <w:vertAlign w:val="baseline"/>
      </w:rPr>
    </w:lvl>
    <w:lvl w:ilvl="2">
      <w:start w:val="1"/>
      <w:numFmt w:val="lowerLetter"/>
      <w:lvlText w:val="(%3)"/>
      <w:lvlJc w:val="left"/>
      <w:pPr>
        <w:tabs>
          <w:tab w:val="num" w:pos="1440"/>
        </w:tabs>
        <w:ind w:left="1440" w:hanging="720"/>
      </w:pPr>
      <w:rPr>
        <w:rFonts w:ascii="Tahoma" w:hAnsi="Tahoma" w:hint="default"/>
        <w:b w:val="0"/>
        <w:i w:val="0"/>
        <w:caps w:val="0"/>
        <w:strike w:val="0"/>
        <w:dstrike w:val="0"/>
        <w:outline w:val="0"/>
        <w:shadow w:val="0"/>
        <w:emboss w:val="0"/>
        <w:imprint w:val="0"/>
        <w:vanish w:val="0"/>
        <w:sz w:val="24"/>
        <w:vertAlign w:val="baseline"/>
      </w:rPr>
    </w:lvl>
    <w:lvl w:ilvl="3">
      <w:start w:val="1"/>
      <w:numFmt w:val="lowerRoman"/>
      <w:lvlText w:val="(%4)"/>
      <w:lvlJc w:val="left"/>
      <w:pPr>
        <w:tabs>
          <w:tab w:val="num" w:pos="2160"/>
        </w:tabs>
        <w:ind w:left="2160" w:hanging="720"/>
      </w:pPr>
      <w:rPr>
        <w:rFonts w:ascii="Palatino" w:hAnsi="Palatino" w:hint="default"/>
        <w:b w:val="0"/>
        <w:i w:val="0"/>
        <w:caps w:val="0"/>
        <w:strike w:val="0"/>
        <w:dstrike w:val="0"/>
        <w:outline w:val="0"/>
        <w:shadow w:val="0"/>
        <w:emboss w:val="0"/>
        <w:imprint w:val="0"/>
        <w:vanish w:val="0"/>
        <w:sz w:val="24"/>
        <w:vertAlign w:val="baseline"/>
      </w:rPr>
    </w:lvl>
    <w:lvl w:ilvl="4">
      <w:start w:val="1"/>
      <w:numFmt w:val="upperLetter"/>
      <w:lvlText w:val="(%5)"/>
      <w:lvlJc w:val="left"/>
      <w:pPr>
        <w:tabs>
          <w:tab w:val="num" w:pos="2880"/>
        </w:tabs>
        <w:ind w:left="2880" w:hanging="720"/>
      </w:pPr>
      <w:rPr>
        <w:rFonts w:ascii="Palatino" w:hAnsi="Palatino" w:hint="default"/>
        <w:b w:val="0"/>
        <w:i w:val="0"/>
        <w:caps w:val="0"/>
        <w:strike w:val="0"/>
        <w:dstrike w:val="0"/>
        <w:outline w:val="0"/>
        <w:shadow w:val="0"/>
        <w:emboss w:val="0"/>
        <w:imprint w:val="0"/>
        <w:vanish w:val="0"/>
        <w:color w:val="auto"/>
        <w:sz w:val="24"/>
        <w:vertAlign w:val="baseline"/>
      </w:rPr>
    </w:lvl>
    <w:lvl w:ilvl="5">
      <w:start w:val="1"/>
      <w:numFmt w:val="upperRoman"/>
      <w:lvlText w:val="(%6)"/>
      <w:lvlJc w:val="left"/>
      <w:pPr>
        <w:tabs>
          <w:tab w:val="num" w:pos="3600"/>
        </w:tabs>
        <w:ind w:left="3600" w:hanging="720"/>
      </w:pPr>
      <w:rPr>
        <w:rFonts w:ascii="Palatino" w:hAnsi="Palatino" w:hint="default"/>
        <w:b w:val="0"/>
        <w:i w:val="0"/>
        <w:caps w:val="0"/>
        <w:strike w:val="0"/>
        <w:dstrike w:val="0"/>
        <w:outline w:val="0"/>
        <w:shadow w:val="0"/>
        <w:emboss w:val="0"/>
        <w:imprint w:val="0"/>
        <w:vanish w:val="0"/>
        <w:sz w:val="24"/>
        <w:vertAlign w:val="baseline"/>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
    <w:nsid w:val="59821838"/>
    <w:multiLevelType w:val="hybridMultilevel"/>
    <w:tmpl w:val="B5C26382"/>
    <w:lvl w:ilvl="0" w:tplc="0C090005">
      <w:start w:val="1"/>
      <w:numFmt w:val="bullet"/>
      <w:lvlText w:val=""/>
      <w:lvlJc w:val="left"/>
      <w:pPr>
        <w:ind w:left="1440" w:hanging="360"/>
      </w:pPr>
      <w:rPr>
        <w:rFonts w:ascii="Wingdings" w:hAnsi="Wingdings" w:hint="default"/>
        <w:b/>
        <w:sz w:val="22"/>
        <w:szCs w:val="22"/>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2">
    <w:nsid w:val="5A6D4B26"/>
    <w:multiLevelType w:val="hybridMultilevel"/>
    <w:tmpl w:val="A06A7F8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5B290947"/>
    <w:multiLevelType w:val="hybridMultilevel"/>
    <w:tmpl w:val="72B85B7C"/>
    <w:lvl w:ilvl="0" w:tplc="0C09000F">
      <w:start w:val="1"/>
      <w:numFmt w:val="decimal"/>
      <w:lvlText w:val="%1."/>
      <w:lvlJc w:val="left"/>
      <w:pPr>
        <w:ind w:left="644" w:hanging="360"/>
      </w:pPr>
    </w:lvl>
    <w:lvl w:ilvl="1" w:tplc="0C090001">
      <w:start w:val="1"/>
      <w:numFmt w:val="bullet"/>
      <w:lvlText w:val=""/>
      <w:lvlJc w:val="left"/>
      <w:pPr>
        <w:ind w:left="1440" w:hanging="360"/>
      </w:pPr>
      <w:rPr>
        <w:rFonts w:ascii="Symbol" w:hAnsi="Symbol" w:cs="Symbol" w:hint="default"/>
      </w:r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6DBC0D61"/>
    <w:multiLevelType w:val="hybridMultilevel"/>
    <w:tmpl w:val="0E7CF282"/>
    <w:lvl w:ilvl="0" w:tplc="F6523AE6">
      <w:start w:val="1"/>
      <w:numFmt w:val="decimal"/>
      <w:lvlText w:val="%1."/>
      <w:lvlJc w:val="left"/>
      <w:pPr>
        <w:tabs>
          <w:tab w:val="num" w:pos="360"/>
        </w:tabs>
        <w:ind w:left="360" w:hanging="360"/>
      </w:pPr>
      <w:rPr>
        <w:rFonts w:ascii="Arial" w:hAnsi="Arial" w:cs="Arial" w:hint="default"/>
        <w:i w:val="0"/>
        <w:color w:val="auto"/>
        <w:sz w:val="22"/>
        <w:szCs w:val="22"/>
      </w:rPr>
    </w:lvl>
    <w:lvl w:ilvl="1" w:tplc="0C090005">
      <w:start w:val="1"/>
      <w:numFmt w:val="bullet"/>
      <w:lvlText w:val=""/>
      <w:lvlJc w:val="left"/>
      <w:pPr>
        <w:tabs>
          <w:tab w:val="num" w:pos="1080"/>
        </w:tabs>
        <w:ind w:left="1080" w:hanging="360"/>
      </w:pPr>
      <w:rPr>
        <w:rFonts w:ascii="Wingdings" w:hAnsi="Wingdings" w:hint="default"/>
        <w:b/>
        <w:sz w:val="22"/>
        <w:szCs w:val="22"/>
      </w:rPr>
    </w:lvl>
    <w:lvl w:ilvl="2" w:tplc="0C090001">
      <w:start w:val="1"/>
      <w:numFmt w:val="bullet"/>
      <w:lvlText w:val=""/>
      <w:lvlJc w:val="left"/>
      <w:pPr>
        <w:tabs>
          <w:tab w:val="num" w:pos="1800"/>
        </w:tabs>
        <w:ind w:left="1800" w:hanging="360"/>
      </w:pPr>
      <w:rPr>
        <w:rFonts w:ascii="Symbol" w:hAnsi="Symbol" w:hint="default"/>
      </w:rPr>
    </w:lvl>
    <w:lvl w:ilvl="3" w:tplc="FEB63544">
      <w:start w:val="1"/>
      <w:numFmt w:val="decimal"/>
      <w:lvlText w:val="%4."/>
      <w:lvlJc w:val="left"/>
      <w:pPr>
        <w:ind w:left="2520" w:hanging="360"/>
      </w:pPr>
      <w:rPr>
        <w:rFonts w:hint="default"/>
      </w:rPr>
    </w:lvl>
    <w:lvl w:ilvl="4" w:tplc="18BE7D3E">
      <w:start w:val="5"/>
      <w:numFmt w:val="bullet"/>
      <w:lvlText w:val="-"/>
      <w:lvlJc w:val="left"/>
      <w:pPr>
        <w:ind w:left="3240" w:hanging="360"/>
      </w:pPr>
      <w:rPr>
        <w:rFonts w:ascii="Times New Roman" w:eastAsia="Times New Roman" w:hAnsi="Times New Roman" w:cs="Times New Roman"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num w:numId="1">
    <w:abstractNumId w:val="7"/>
  </w:num>
  <w:num w:numId="2">
    <w:abstractNumId w:val="5"/>
  </w:num>
  <w:num w:numId="3">
    <w:abstractNumId w:val="0"/>
  </w:num>
  <w:num w:numId="4">
    <w:abstractNumId w:val="4"/>
  </w:num>
  <w:num w:numId="5">
    <w:abstractNumId w:val="2"/>
  </w:num>
  <w:num w:numId="6">
    <w:abstractNumId w:val="1"/>
  </w:num>
  <w:num w:numId="7">
    <w:abstractNumId w:val="10"/>
  </w:num>
  <w:num w:numId="8">
    <w:abstractNumId w:val="14"/>
  </w:num>
  <w:num w:numId="9">
    <w:abstractNumId w:val="13"/>
  </w:num>
  <w:num w:numId="10">
    <w:abstractNumId w:val="9"/>
  </w:num>
  <w:num w:numId="11">
    <w:abstractNumId w:val="3"/>
  </w:num>
  <w:num w:numId="12">
    <w:abstractNumId w:val="6"/>
  </w:num>
  <w:num w:numId="13">
    <w:abstractNumId w:val="11"/>
  </w:num>
  <w:num w:numId="14">
    <w:abstractNumId w:val="12"/>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num>
  <w:num w:numId="17">
    <w:abstractNumId w:val="4"/>
  </w:num>
  <w:num w:numId="18">
    <w:abstractNumId w:val="4"/>
  </w:num>
  <w:num w:numId="19">
    <w:abstractNumId w:val="8"/>
  </w:num>
  <w:num w:numId="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
  </w:num>
  <w:num w:numId="22">
    <w:abstractNumId w:val="7"/>
    <w:lvlOverride w:ilvl="0">
      <w:startOverride w:val="1"/>
    </w:lvlOverride>
    <w:lvlOverride w:ilvl="1"/>
    <w:lvlOverride w:ilvl="2"/>
    <w:lvlOverride w:ilvl="3"/>
    <w:lvlOverride w:ilvl="4"/>
    <w:lvlOverride w:ilvl="5"/>
    <w:lvlOverride w:ilvl="6"/>
    <w:lvlOverride w:ilvl="7"/>
    <w:lvlOverride w:ilv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28673"/>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urrentname" w:val="\\cdchnas-evs02\home$\aglla\Desktop\CSR Boral - Public Competition Assessment - 12 March 2015.docx"/>
  </w:docVars>
  <w:rsids>
    <w:rsidRoot w:val="00906C64"/>
    <w:rsid w:val="000002BE"/>
    <w:rsid w:val="00002E51"/>
    <w:rsid w:val="00012FFF"/>
    <w:rsid w:val="000159FF"/>
    <w:rsid w:val="00037C38"/>
    <w:rsid w:val="00053096"/>
    <w:rsid w:val="000840E0"/>
    <w:rsid w:val="000943CA"/>
    <w:rsid w:val="000B02B5"/>
    <w:rsid w:val="000C2333"/>
    <w:rsid w:val="000D14A1"/>
    <w:rsid w:val="000E147B"/>
    <w:rsid w:val="000E3CA6"/>
    <w:rsid w:val="00101078"/>
    <w:rsid w:val="00104007"/>
    <w:rsid w:val="00113306"/>
    <w:rsid w:val="00154A05"/>
    <w:rsid w:val="00172534"/>
    <w:rsid w:val="001734E4"/>
    <w:rsid w:val="00182A2B"/>
    <w:rsid w:val="001A0EA9"/>
    <w:rsid w:val="001A3FD2"/>
    <w:rsid w:val="001B0AD5"/>
    <w:rsid w:val="001D4DCB"/>
    <w:rsid w:val="001D52AC"/>
    <w:rsid w:val="001D5EC8"/>
    <w:rsid w:val="001E2914"/>
    <w:rsid w:val="002037CD"/>
    <w:rsid w:val="00203A5B"/>
    <w:rsid w:val="002108CC"/>
    <w:rsid w:val="0023387E"/>
    <w:rsid w:val="00247A10"/>
    <w:rsid w:val="002530FE"/>
    <w:rsid w:val="00261058"/>
    <w:rsid w:val="002660F0"/>
    <w:rsid w:val="0027627F"/>
    <w:rsid w:val="002803CE"/>
    <w:rsid w:val="00287D03"/>
    <w:rsid w:val="00294606"/>
    <w:rsid w:val="002B614D"/>
    <w:rsid w:val="002E2333"/>
    <w:rsid w:val="002E2430"/>
    <w:rsid w:val="002E30A0"/>
    <w:rsid w:val="002F52A6"/>
    <w:rsid w:val="003006EB"/>
    <w:rsid w:val="003074F2"/>
    <w:rsid w:val="00307640"/>
    <w:rsid w:val="00313B40"/>
    <w:rsid w:val="00355143"/>
    <w:rsid w:val="00356B11"/>
    <w:rsid w:val="00360C0D"/>
    <w:rsid w:val="00397481"/>
    <w:rsid w:val="003A7E7A"/>
    <w:rsid w:val="003C0550"/>
    <w:rsid w:val="003D07D2"/>
    <w:rsid w:val="003D45B6"/>
    <w:rsid w:val="003D7370"/>
    <w:rsid w:val="003E7CE3"/>
    <w:rsid w:val="0040634A"/>
    <w:rsid w:val="00411C3D"/>
    <w:rsid w:val="00412076"/>
    <w:rsid w:val="004533C0"/>
    <w:rsid w:val="00454ED5"/>
    <w:rsid w:val="00461E8B"/>
    <w:rsid w:val="004705D1"/>
    <w:rsid w:val="0047289C"/>
    <w:rsid w:val="00482579"/>
    <w:rsid w:val="00487CF4"/>
    <w:rsid w:val="004961A4"/>
    <w:rsid w:val="004A23B2"/>
    <w:rsid w:val="004A3640"/>
    <w:rsid w:val="004A4AA2"/>
    <w:rsid w:val="004C434A"/>
    <w:rsid w:val="004E1B62"/>
    <w:rsid w:val="004E3A84"/>
    <w:rsid w:val="004E5ED0"/>
    <w:rsid w:val="00504E50"/>
    <w:rsid w:val="00505D6D"/>
    <w:rsid w:val="0050709C"/>
    <w:rsid w:val="00512557"/>
    <w:rsid w:val="00523A37"/>
    <w:rsid w:val="00544FF9"/>
    <w:rsid w:val="00547439"/>
    <w:rsid w:val="00582F74"/>
    <w:rsid w:val="0059285B"/>
    <w:rsid w:val="00594532"/>
    <w:rsid w:val="0059643D"/>
    <w:rsid w:val="005A33E8"/>
    <w:rsid w:val="005D7C33"/>
    <w:rsid w:val="005E2A4F"/>
    <w:rsid w:val="005E537F"/>
    <w:rsid w:val="005F2C4B"/>
    <w:rsid w:val="00601232"/>
    <w:rsid w:val="006025DF"/>
    <w:rsid w:val="00603A21"/>
    <w:rsid w:val="006277C9"/>
    <w:rsid w:val="00641537"/>
    <w:rsid w:val="006436E3"/>
    <w:rsid w:val="006439EF"/>
    <w:rsid w:val="00646279"/>
    <w:rsid w:val="006531C0"/>
    <w:rsid w:val="0065501B"/>
    <w:rsid w:val="006649BA"/>
    <w:rsid w:val="00670789"/>
    <w:rsid w:val="0068014F"/>
    <w:rsid w:val="00686A92"/>
    <w:rsid w:val="00694D04"/>
    <w:rsid w:val="006A1D8A"/>
    <w:rsid w:val="006A3250"/>
    <w:rsid w:val="006A7FE8"/>
    <w:rsid w:val="006B1713"/>
    <w:rsid w:val="006B6B3F"/>
    <w:rsid w:val="006B6C78"/>
    <w:rsid w:val="006D547D"/>
    <w:rsid w:val="006E05A8"/>
    <w:rsid w:val="00725106"/>
    <w:rsid w:val="0073125F"/>
    <w:rsid w:val="00747CC6"/>
    <w:rsid w:val="00762CDA"/>
    <w:rsid w:val="007814E0"/>
    <w:rsid w:val="007815AB"/>
    <w:rsid w:val="00790564"/>
    <w:rsid w:val="00794965"/>
    <w:rsid w:val="00796F28"/>
    <w:rsid w:val="007A2A00"/>
    <w:rsid w:val="007C790D"/>
    <w:rsid w:val="007D0A33"/>
    <w:rsid w:val="007F34BF"/>
    <w:rsid w:val="008502BA"/>
    <w:rsid w:val="008551B0"/>
    <w:rsid w:val="008741FA"/>
    <w:rsid w:val="008844B7"/>
    <w:rsid w:val="008910F3"/>
    <w:rsid w:val="008C13FC"/>
    <w:rsid w:val="008C5378"/>
    <w:rsid w:val="008E4E5E"/>
    <w:rsid w:val="008F4EFF"/>
    <w:rsid w:val="008F5E61"/>
    <w:rsid w:val="008F79E2"/>
    <w:rsid w:val="00902883"/>
    <w:rsid w:val="00906C64"/>
    <w:rsid w:val="009220AA"/>
    <w:rsid w:val="00932F11"/>
    <w:rsid w:val="009433E4"/>
    <w:rsid w:val="00950B1E"/>
    <w:rsid w:val="00977366"/>
    <w:rsid w:val="00977B66"/>
    <w:rsid w:val="00985991"/>
    <w:rsid w:val="009B2A85"/>
    <w:rsid w:val="009E61B7"/>
    <w:rsid w:val="009F1D67"/>
    <w:rsid w:val="00A10BE5"/>
    <w:rsid w:val="00A318D6"/>
    <w:rsid w:val="00A36B2F"/>
    <w:rsid w:val="00A4598A"/>
    <w:rsid w:val="00A53505"/>
    <w:rsid w:val="00A56771"/>
    <w:rsid w:val="00A57788"/>
    <w:rsid w:val="00A85F66"/>
    <w:rsid w:val="00A95668"/>
    <w:rsid w:val="00AC1261"/>
    <w:rsid w:val="00AC4A2E"/>
    <w:rsid w:val="00AC5198"/>
    <w:rsid w:val="00AC7BC4"/>
    <w:rsid w:val="00AF1C87"/>
    <w:rsid w:val="00AF2397"/>
    <w:rsid w:val="00AF40FA"/>
    <w:rsid w:val="00B16B12"/>
    <w:rsid w:val="00B23FF3"/>
    <w:rsid w:val="00B32F62"/>
    <w:rsid w:val="00B571B2"/>
    <w:rsid w:val="00B842B5"/>
    <w:rsid w:val="00B91440"/>
    <w:rsid w:val="00B93EA5"/>
    <w:rsid w:val="00BB0306"/>
    <w:rsid w:val="00BC2A89"/>
    <w:rsid w:val="00BC3FEC"/>
    <w:rsid w:val="00BC6932"/>
    <w:rsid w:val="00BC72D9"/>
    <w:rsid w:val="00BD066B"/>
    <w:rsid w:val="00BD3D02"/>
    <w:rsid w:val="00BF2370"/>
    <w:rsid w:val="00C0523F"/>
    <w:rsid w:val="00C12A07"/>
    <w:rsid w:val="00C145ED"/>
    <w:rsid w:val="00C324FB"/>
    <w:rsid w:val="00C4726A"/>
    <w:rsid w:val="00C717A5"/>
    <w:rsid w:val="00C73E7D"/>
    <w:rsid w:val="00C77FD3"/>
    <w:rsid w:val="00C87A3D"/>
    <w:rsid w:val="00C91650"/>
    <w:rsid w:val="00CA2D58"/>
    <w:rsid w:val="00CB0699"/>
    <w:rsid w:val="00CB149B"/>
    <w:rsid w:val="00CF6855"/>
    <w:rsid w:val="00D0008F"/>
    <w:rsid w:val="00D04501"/>
    <w:rsid w:val="00D11F62"/>
    <w:rsid w:val="00D2156E"/>
    <w:rsid w:val="00D256AB"/>
    <w:rsid w:val="00D308B7"/>
    <w:rsid w:val="00D3095B"/>
    <w:rsid w:val="00D33A1F"/>
    <w:rsid w:val="00D63FEE"/>
    <w:rsid w:val="00D64ECA"/>
    <w:rsid w:val="00DB708C"/>
    <w:rsid w:val="00DC0CB1"/>
    <w:rsid w:val="00DC11ED"/>
    <w:rsid w:val="00DC754F"/>
    <w:rsid w:val="00DE0C30"/>
    <w:rsid w:val="00DF30F9"/>
    <w:rsid w:val="00E0145C"/>
    <w:rsid w:val="00E266DA"/>
    <w:rsid w:val="00E37EC8"/>
    <w:rsid w:val="00E62F59"/>
    <w:rsid w:val="00E707DB"/>
    <w:rsid w:val="00E83A00"/>
    <w:rsid w:val="00E845AB"/>
    <w:rsid w:val="00E91F41"/>
    <w:rsid w:val="00E96436"/>
    <w:rsid w:val="00E96E5E"/>
    <w:rsid w:val="00EA37DF"/>
    <w:rsid w:val="00ED2F16"/>
    <w:rsid w:val="00ED6489"/>
    <w:rsid w:val="00EF0DD8"/>
    <w:rsid w:val="00EF2E41"/>
    <w:rsid w:val="00F02581"/>
    <w:rsid w:val="00F13942"/>
    <w:rsid w:val="00F156C3"/>
    <w:rsid w:val="00F36008"/>
    <w:rsid w:val="00F80A7E"/>
    <w:rsid w:val="00F85E5C"/>
    <w:rsid w:val="00FB349B"/>
    <w:rsid w:val="00FC4B2C"/>
    <w:rsid w:val="00FE4B62"/>
    <w:rsid w:val="00FE5D1D"/>
    <w:rsid w:val="00FE785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867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heading 1" w:qFormat="1"/>
    <w:lsdException w:name="heading 2" w:qFormat="1"/>
    <w:lsdException w:name="heading 3" w:qFormat="1"/>
    <w:lsdException w:name="heading 4"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footnote reference" w:uiPriority="99"/>
    <w:lsdException w:name="List Bullet" w:uiPriority="99"/>
    <w:lsdException w:name="Hyperlink" w:uiPriority="99"/>
    <w:lsdException w:name="Balloon Text" w:uiPriority="99"/>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rPr>
      <w:sz w:val="24"/>
      <w:szCs w:val="24"/>
    </w:rPr>
  </w:style>
  <w:style w:type="paragraph" w:styleId="Heading1">
    <w:name w:val="heading 1"/>
    <w:basedOn w:val="Normal"/>
    <w:next w:val="Normal"/>
    <w:qFormat/>
    <w:rsid w:val="00A53505"/>
    <w:pPr>
      <w:keepNext/>
      <w:tabs>
        <w:tab w:val="left" w:pos="360"/>
      </w:tabs>
      <w:spacing w:after="480"/>
      <w:ind w:left="357" w:hanging="357"/>
      <w:jc w:val="right"/>
      <w:outlineLvl w:val="0"/>
    </w:pPr>
    <w:rPr>
      <w:rFonts w:ascii="Arial" w:hAnsi="Arial"/>
      <w:b/>
      <w:sz w:val="36"/>
    </w:rPr>
  </w:style>
  <w:style w:type="paragraph" w:styleId="Heading2">
    <w:name w:val="heading 2"/>
    <w:basedOn w:val="Normal"/>
    <w:next w:val="Normal"/>
    <w:qFormat/>
    <w:rsid w:val="00A53505"/>
    <w:pPr>
      <w:keepNext/>
      <w:pBdr>
        <w:bottom w:val="single" w:sz="4" w:space="1" w:color="auto"/>
      </w:pBdr>
      <w:spacing w:before="240"/>
      <w:jc w:val="right"/>
      <w:outlineLvl w:val="1"/>
    </w:pPr>
    <w:rPr>
      <w:rFonts w:ascii="Arial" w:hAnsi="Arial"/>
      <w:b/>
      <w:sz w:val="30"/>
    </w:rPr>
  </w:style>
  <w:style w:type="paragraph" w:styleId="Heading3">
    <w:name w:val="heading 3"/>
    <w:basedOn w:val="Normal"/>
    <w:next w:val="Normal"/>
    <w:qFormat/>
    <w:rsid w:val="006A7FE8"/>
    <w:pPr>
      <w:keepNext/>
      <w:spacing w:before="120" w:after="120"/>
      <w:outlineLvl w:val="2"/>
    </w:pPr>
    <w:rPr>
      <w:rFonts w:ascii="Arial" w:hAnsi="Arial"/>
      <w:b/>
      <w:sz w:val="30"/>
      <w:szCs w:val="30"/>
    </w:rPr>
  </w:style>
  <w:style w:type="paragraph" w:styleId="Heading4">
    <w:name w:val="heading 4"/>
    <w:basedOn w:val="Normal"/>
    <w:next w:val="Normal"/>
    <w:qFormat/>
    <w:rsid w:val="006A7FE8"/>
    <w:pPr>
      <w:keepNext/>
      <w:spacing w:after="120"/>
      <w:outlineLvl w:val="3"/>
    </w:pPr>
    <w:rPr>
      <w:rFonts w:ascii="Arial" w:hAnsi="Arial"/>
      <w:sz w:val="26"/>
      <w:szCs w:val="26"/>
    </w:rPr>
  </w:style>
  <w:style w:type="paragraph" w:styleId="Heading5">
    <w:name w:val="heading 5"/>
    <w:basedOn w:val="Normal"/>
    <w:next w:val="Normal"/>
    <w:pPr>
      <w:spacing w:after="120"/>
      <w:outlineLvl w:val="4"/>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153"/>
        <w:tab w:val="right" w:pos="8306"/>
      </w:tabs>
    </w:pPr>
  </w:style>
  <w:style w:type="paragraph" w:styleId="Caption">
    <w:name w:val="caption"/>
    <w:basedOn w:val="Normal"/>
    <w:next w:val="Normal"/>
    <w:pPr>
      <w:spacing w:before="120" w:after="120"/>
    </w:pPr>
    <w:rPr>
      <w:b/>
    </w:rPr>
  </w:style>
  <w:style w:type="paragraph" w:customStyle="1" w:styleId="paragraphtext">
    <w:name w:val="paragraph text"/>
    <w:basedOn w:val="Normal"/>
    <w:pPr>
      <w:spacing w:before="120" w:after="120"/>
    </w:pPr>
    <w:rPr>
      <w:szCs w:val="20"/>
    </w:rPr>
  </w:style>
  <w:style w:type="character" w:styleId="CommentReference">
    <w:name w:val="annotation reference"/>
    <w:semiHidden/>
    <w:rPr>
      <w:sz w:val="16"/>
      <w:szCs w:val="16"/>
    </w:rPr>
  </w:style>
  <w:style w:type="paragraph" w:customStyle="1" w:styleId="Quotes">
    <w:name w:val="Quotes"/>
    <w:basedOn w:val="Normal"/>
    <w:pPr>
      <w:ind w:left="397" w:right="397"/>
    </w:pPr>
    <w:rPr>
      <w:sz w:val="20"/>
    </w:rPr>
  </w:style>
  <w:style w:type="paragraph" w:styleId="TOC1">
    <w:name w:val="toc 1"/>
    <w:basedOn w:val="Normal"/>
    <w:next w:val="Normal"/>
    <w:semiHidden/>
    <w:pPr>
      <w:tabs>
        <w:tab w:val="left" w:pos="360"/>
        <w:tab w:val="right" w:leader="dot" w:pos="8453"/>
      </w:tabs>
      <w:spacing w:before="240" w:after="120"/>
      <w:ind w:left="360" w:hanging="360"/>
    </w:pPr>
    <w:rPr>
      <w:b/>
    </w:rPr>
  </w:style>
  <w:style w:type="paragraph" w:styleId="TOC2">
    <w:name w:val="toc 2"/>
    <w:basedOn w:val="Normal"/>
    <w:next w:val="Normal"/>
    <w:semiHidden/>
    <w:pPr>
      <w:tabs>
        <w:tab w:val="right" w:leader="dot" w:pos="8453"/>
      </w:tabs>
    </w:pPr>
  </w:style>
  <w:style w:type="paragraph" w:styleId="TOC3">
    <w:name w:val="toc 3"/>
    <w:basedOn w:val="Normal"/>
    <w:next w:val="Normal"/>
    <w:semiHidden/>
    <w:pPr>
      <w:tabs>
        <w:tab w:val="right" w:leader="dot" w:pos="8453"/>
      </w:tabs>
      <w:ind w:left="360"/>
    </w:pPr>
  </w:style>
  <w:style w:type="paragraph" w:styleId="TOC4">
    <w:name w:val="toc 4"/>
    <w:basedOn w:val="Normal"/>
    <w:next w:val="Normal"/>
    <w:semiHidden/>
    <w:pPr>
      <w:tabs>
        <w:tab w:val="right" w:leader="dot" w:pos="8453"/>
      </w:tabs>
      <w:ind w:left="720"/>
    </w:pPr>
  </w:style>
  <w:style w:type="character" w:styleId="PageNumber">
    <w:name w:val="page number"/>
    <w:basedOn w:val="DefaultParagraphFont"/>
  </w:style>
  <w:style w:type="paragraph" w:styleId="Header">
    <w:name w:val="header"/>
    <w:basedOn w:val="Normal"/>
    <w:pPr>
      <w:tabs>
        <w:tab w:val="center" w:pos="4153"/>
        <w:tab w:val="right" w:pos="8306"/>
      </w:tabs>
    </w:pPr>
  </w:style>
  <w:style w:type="paragraph" w:styleId="ListBullet">
    <w:name w:val="List Bullet"/>
    <w:basedOn w:val="Normal"/>
    <w:link w:val="ListBulletChar"/>
    <w:uiPriority w:val="99"/>
    <w:pPr>
      <w:numPr>
        <w:numId w:val="4"/>
      </w:numPr>
    </w:pPr>
  </w:style>
  <w:style w:type="character" w:styleId="FootnoteReference">
    <w:name w:val="footnote reference"/>
    <w:uiPriority w:val="99"/>
    <w:rPr>
      <w:rFonts w:ascii="Times New Roman" w:hAnsi="Times New Roman"/>
      <w:sz w:val="18"/>
      <w:vertAlign w:val="superscript"/>
    </w:rPr>
  </w:style>
  <w:style w:type="paragraph" w:styleId="FootnoteText">
    <w:name w:val="footnote text"/>
    <w:basedOn w:val="Normal"/>
    <w:link w:val="FootnoteTextChar"/>
    <w:uiPriority w:val="99"/>
    <w:pPr>
      <w:ind w:left="360" w:hanging="360"/>
    </w:pPr>
    <w:rPr>
      <w:sz w:val="20"/>
    </w:rPr>
  </w:style>
  <w:style w:type="paragraph" w:styleId="ListBullet2">
    <w:name w:val="List Bullet 2"/>
    <w:basedOn w:val="Normal"/>
    <w:pPr>
      <w:numPr>
        <w:numId w:val="3"/>
      </w:numPr>
      <w:tabs>
        <w:tab w:val="clear" w:pos="360"/>
      </w:tabs>
      <w:ind w:left="714" w:hanging="357"/>
    </w:pPr>
  </w:style>
  <w:style w:type="paragraph" w:styleId="ListBullet3">
    <w:name w:val="List Bullet 3"/>
    <w:basedOn w:val="Normal"/>
    <w:pPr>
      <w:numPr>
        <w:numId w:val="2"/>
      </w:numPr>
      <w:tabs>
        <w:tab w:val="clear" w:pos="360"/>
      </w:tabs>
      <w:ind w:left="1071" w:hanging="357"/>
    </w:p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styleId="BalloonText">
    <w:name w:val="Balloon Text"/>
    <w:basedOn w:val="Normal"/>
    <w:link w:val="BalloonTextChar"/>
    <w:uiPriority w:val="99"/>
    <w:semiHidden/>
    <w:rPr>
      <w:rFonts w:ascii="Tahoma" w:hAnsi="Tahoma" w:cs="Tahoma"/>
      <w:sz w:val="16"/>
      <w:szCs w:val="16"/>
    </w:rPr>
  </w:style>
  <w:style w:type="paragraph" w:customStyle="1" w:styleId="paragraph">
    <w:name w:val="paragraph"/>
    <w:basedOn w:val="Normal"/>
    <w:pPr>
      <w:spacing w:after="240"/>
    </w:pPr>
    <w:rPr>
      <w:szCs w:val="20"/>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ate1">
    <w:name w:val="Date1"/>
    <w:basedOn w:val="Heading2"/>
    <w:qFormat/>
    <w:rsid w:val="00A53505"/>
    <w:pPr>
      <w:pBdr>
        <w:bottom w:val="none" w:sz="0" w:space="0" w:color="auto"/>
      </w:pBdr>
    </w:pPr>
    <w:rPr>
      <w:sz w:val="28"/>
    </w:rPr>
  </w:style>
  <w:style w:type="paragraph" w:customStyle="1" w:styleId="NormalParagraph">
    <w:name w:val="Normal Paragraph"/>
    <w:basedOn w:val="paragraph"/>
    <w:qFormat/>
    <w:rsid w:val="00A4598A"/>
    <w:pPr>
      <w:numPr>
        <w:numId w:val="1"/>
      </w:numPr>
      <w:spacing w:before="120" w:after="120"/>
    </w:pPr>
    <w:rPr>
      <w:rFonts w:ascii="Arial" w:hAnsi="Arial"/>
      <w:sz w:val="22"/>
      <w:szCs w:val="22"/>
    </w:rPr>
  </w:style>
  <w:style w:type="paragraph" w:styleId="ListParagraph">
    <w:name w:val="List Paragraph"/>
    <w:basedOn w:val="ListBullet"/>
    <w:uiPriority w:val="34"/>
    <w:qFormat/>
    <w:rsid w:val="00F80A7E"/>
    <w:pPr>
      <w:keepLines/>
      <w:spacing w:after="120"/>
    </w:pPr>
    <w:rPr>
      <w:rFonts w:ascii="Arial" w:hAnsi="Arial" w:cs="Arial"/>
      <w:sz w:val="22"/>
      <w:szCs w:val="22"/>
    </w:rPr>
  </w:style>
  <w:style w:type="character" w:customStyle="1" w:styleId="FooterChar">
    <w:name w:val="Footer Char"/>
    <w:link w:val="Footer"/>
    <w:uiPriority w:val="99"/>
    <w:rsid w:val="000D14A1"/>
    <w:rPr>
      <w:sz w:val="24"/>
      <w:szCs w:val="24"/>
    </w:rPr>
  </w:style>
  <w:style w:type="paragraph" w:customStyle="1" w:styleId="commentbox">
    <w:name w:val="comment box"/>
    <w:basedOn w:val="NormalParagraph"/>
    <w:qFormat/>
    <w:rsid w:val="00504E50"/>
    <w:pPr>
      <w:numPr>
        <w:numId w:val="0"/>
      </w:numPr>
      <w:shd w:val="clear" w:color="auto" w:fill="D9D9D9"/>
    </w:pPr>
  </w:style>
  <w:style w:type="paragraph" w:customStyle="1" w:styleId="ABCList">
    <w:name w:val="ABC List"/>
    <w:qFormat/>
    <w:rsid w:val="00504E50"/>
    <w:pPr>
      <w:numPr>
        <w:numId w:val="5"/>
      </w:numPr>
      <w:spacing w:after="120"/>
      <w:ind w:left="992" w:hanging="425"/>
    </w:pPr>
    <w:rPr>
      <w:rFonts w:ascii="Arial" w:hAnsi="Arial" w:cs="Arial"/>
      <w:sz w:val="22"/>
      <w:szCs w:val="22"/>
    </w:rPr>
  </w:style>
  <w:style w:type="paragraph" w:customStyle="1" w:styleId="Numbered">
    <w:name w:val="Numbered"/>
    <w:basedOn w:val="Normal"/>
    <w:autoRedefine/>
    <w:uiPriority w:val="99"/>
    <w:rsid w:val="00A56771"/>
    <w:pPr>
      <w:numPr>
        <w:numId w:val="6"/>
      </w:numPr>
      <w:spacing w:after="240"/>
    </w:pPr>
    <w:rPr>
      <w:rFonts w:ascii="Arial" w:hAnsi="Arial" w:cs="Arial"/>
      <w:sz w:val="22"/>
      <w:szCs w:val="22"/>
      <w:lang w:eastAsia="en-US"/>
    </w:rPr>
  </w:style>
  <w:style w:type="character" w:customStyle="1" w:styleId="ListBulletChar">
    <w:name w:val="List Bullet Char"/>
    <w:link w:val="ListBullet"/>
    <w:rsid w:val="00A56771"/>
    <w:rPr>
      <w:sz w:val="24"/>
      <w:szCs w:val="24"/>
    </w:rPr>
  </w:style>
  <w:style w:type="paragraph" w:customStyle="1" w:styleId="HeadNumb">
    <w:name w:val="Head Numb"/>
    <w:basedOn w:val="Normal"/>
    <w:rsid w:val="003E7CE3"/>
    <w:pPr>
      <w:numPr>
        <w:numId w:val="7"/>
      </w:numPr>
      <w:shd w:val="clear" w:color="auto" w:fill="D9D9D9"/>
      <w:tabs>
        <w:tab w:val="clear" w:pos="397"/>
        <w:tab w:val="num" w:pos="360"/>
      </w:tabs>
      <w:ind w:left="360" w:hanging="360"/>
    </w:pPr>
    <w:rPr>
      <w:rFonts w:ascii="Arial" w:eastAsia="Calibri" w:hAnsi="Arial"/>
      <w:b/>
      <w:sz w:val="18"/>
      <w:szCs w:val="18"/>
    </w:rPr>
  </w:style>
  <w:style w:type="paragraph" w:customStyle="1" w:styleId="SecondlevelNumb">
    <w:name w:val="Second level Numb"/>
    <w:basedOn w:val="Normal"/>
    <w:rsid w:val="003E7CE3"/>
    <w:pPr>
      <w:numPr>
        <w:ilvl w:val="1"/>
        <w:numId w:val="7"/>
      </w:numPr>
      <w:tabs>
        <w:tab w:val="clear" w:pos="567"/>
        <w:tab w:val="num" w:pos="720"/>
      </w:tabs>
      <w:spacing w:line="360" w:lineRule="auto"/>
      <w:ind w:left="720" w:hanging="360"/>
    </w:pPr>
    <w:rPr>
      <w:rFonts w:eastAsia="Calibri"/>
      <w:sz w:val="22"/>
      <w:szCs w:val="22"/>
    </w:rPr>
  </w:style>
  <w:style w:type="character" w:customStyle="1" w:styleId="BalloonTextChar">
    <w:name w:val="Balloon Text Char"/>
    <w:link w:val="BalloonText"/>
    <w:uiPriority w:val="99"/>
    <w:semiHidden/>
    <w:rsid w:val="003E7CE3"/>
    <w:rPr>
      <w:rFonts w:ascii="Tahoma" w:hAnsi="Tahoma" w:cs="Tahoma"/>
      <w:sz w:val="16"/>
      <w:szCs w:val="16"/>
    </w:rPr>
  </w:style>
  <w:style w:type="character" w:customStyle="1" w:styleId="FootnoteTextChar">
    <w:name w:val="Footnote Text Char"/>
    <w:link w:val="FootnoteText"/>
    <w:uiPriority w:val="99"/>
    <w:rsid w:val="003E7CE3"/>
    <w:rPr>
      <w:szCs w:val="24"/>
    </w:rPr>
  </w:style>
  <w:style w:type="character" w:styleId="Hyperlink">
    <w:name w:val="Hyperlink"/>
    <w:uiPriority w:val="99"/>
    <w:unhideWhenUsed/>
    <w:rsid w:val="003E7CE3"/>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982075">
      <w:bodyDiv w:val="1"/>
      <w:marLeft w:val="0"/>
      <w:marRight w:val="0"/>
      <w:marTop w:val="0"/>
      <w:marBottom w:val="0"/>
      <w:divBdr>
        <w:top w:val="none" w:sz="0" w:space="0" w:color="auto"/>
        <w:left w:val="none" w:sz="0" w:space="0" w:color="auto"/>
        <w:bottom w:val="none" w:sz="0" w:space="0" w:color="auto"/>
        <w:right w:val="none" w:sz="0" w:space="0" w:color="auto"/>
      </w:divBdr>
    </w:div>
    <w:div w:id="682824407">
      <w:bodyDiv w:val="1"/>
      <w:marLeft w:val="0"/>
      <w:marRight w:val="0"/>
      <w:marTop w:val="0"/>
      <w:marBottom w:val="0"/>
      <w:divBdr>
        <w:top w:val="none" w:sz="0" w:space="0" w:color="auto"/>
        <w:left w:val="none" w:sz="0" w:space="0" w:color="auto"/>
        <w:bottom w:val="none" w:sz="0" w:space="0" w:color="auto"/>
        <w:right w:val="none" w:sz="0" w:space="0" w:color="auto"/>
      </w:divBdr>
    </w:div>
    <w:div w:id="1121148655">
      <w:bodyDiv w:val="1"/>
      <w:marLeft w:val="0"/>
      <w:marRight w:val="0"/>
      <w:marTop w:val="0"/>
      <w:marBottom w:val="0"/>
      <w:divBdr>
        <w:top w:val="none" w:sz="0" w:space="0" w:color="auto"/>
        <w:left w:val="none" w:sz="0" w:space="0" w:color="auto"/>
        <w:bottom w:val="none" w:sz="0" w:space="0" w:color="auto"/>
        <w:right w:val="none" w:sz="0" w:space="0" w:color="auto"/>
      </w:divBdr>
    </w:div>
    <w:div w:id="1264918776">
      <w:bodyDiv w:val="1"/>
      <w:marLeft w:val="0"/>
      <w:marRight w:val="0"/>
      <w:marTop w:val="0"/>
      <w:marBottom w:val="0"/>
      <w:divBdr>
        <w:top w:val="none" w:sz="0" w:space="0" w:color="auto"/>
        <w:left w:val="none" w:sz="0" w:space="0" w:color="auto"/>
        <w:bottom w:val="none" w:sz="0" w:space="0" w:color="auto"/>
        <w:right w:val="none" w:sz="0" w:space="0" w:color="auto"/>
      </w:divBdr>
    </w:div>
    <w:div w:id="1418558862">
      <w:bodyDiv w:val="1"/>
      <w:marLeft w:val="0"/>
      <w:marRight w:val="0"/>
      <w:marTop w:val="0"/>
      <w:marBottom w:val="0"/>
      <w:divBdr>
        <w:top w:val="none" w:sz="0" w:space="0" w:color="auto"/>
        <w:left w:val="none" w:sz="0" w:space="0" w:color="auto"/>
        <w:bottom w:val="none" w:sz="0" w:space="0" w:color="auto"/>
        <w:right w:val="none" w:sz="0" w:space="0" w:color="auto"/>
      </w:divBdr>
    </w:div>
    <w:div w:id="1628243511">
      <w:bodyDiv w:val="1"/>
      <w:marLeft w:val="0"/>
      <w:marRight w:val="0"/>
      <w:marTop w:val="0"/>
      <w:marBottom w:val="0"/>
      <w:divBdr>
        <w:top w:val="none" w:sz="0" w:space="0" w:color="auto"/>
        <w:left w:val="none" w:sz="0" w:space="0" w:color="auto"/>
        <w:bottom w:val="none" w:sz="0" w:space="0" w:color="auto"/>
        <w:right w:val="none" w:sz="0" w:space="0" w:color="auto"/>
      </w:divBdr>
    </w:div>
    <w:div w:id="1702124520">
      <w:bodyDiv w:val="1"/>
      <w:marLeft w:val="0"/>
      <w:marRight w:val="0"/>
      <w:marTop w:val="0"/>
      <w:marBottom w:val="0"/>
      <w:divBdr>
        <w:top w:val="none" w:sz="0" w:space="0" w:color="auto"/>
        <w:left w:val="none" w:sz="0" w:space="0" w:color="auto"/>
        <w:bottom w:val="none" w:sz="0" w:space="0" w:color="auto"/>
        <w:right w:val="none" w:sz="0" w:space="0" w:color="auto"/>
      </w:divBdr>
    </w:div>
    <w:div w:id="1717504230">
      <w:bodyDiv w:val="1"/>
      <w:marLeft w:val="0"/>
      <w:marRight w:val="0"/>
      <w:marTop w:val="0"/>
      <w:marBottom w:val="0"/>
      <w:divBdr>
        <w:top w:val="none" w:sz="0" w:space="0" w:color="auto"/>
        <w:left w:val="none" w:sz="0" w:space="0" w:color="auto"/>
        <w:bottom w:val="none" w:sz="0" w:space="0" w:color="auto"/>
        <w:right w:val="none" w:sz="0" w:space="0" w:color="auto"/>
      </w:divBdr>
    </w:div>
    <w:div w:id="1864395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46D4152-4EA0-4AB9-ABB4-AD2A4CACE2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C9E88635</Template>
  <TotalTime>709</TotalTime>
  <Pages>9</Pages>
  <Words>3471</Words>
  <Characters>18458</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ACCC</Company>
  <LinksUpToDate>false</LinksUpToDate>
  <CharactersWithSpaces>21886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 Neilan</dc:creator>
  <cp:lastModifiedBy>Ron Neilan</cp:lastModifiedBy>
  <cp:revision>18</cp:revision>
  <cp:lastPrinted>2015-04-10T03:31:00Z</cp:lastPrinted>
  <dcterms:created xsi:type="dcterms:W3CDTF">2015-03-12T00:57:00Z</dcterms:created>
  <dcterms:modified xsi:type="dcterms:W3CDTF">2015-08-06T04:13:00Z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URI">
    <vt:lpwstr>8391995</vt:lpwstr>
  </property>
  <property fmtid="{D5CDD505-2E9C-101B-9397-08002B2CF9AE}" pid="4" name="currfile">
    <vt:lpwstr>\\cdchnas-evs02\home$\rneil\csr boral - public competition assessment - 18 june 2015 (MER2015-02392).docx</vt:lpwstr>
  </property>
</Properties>
</file>