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C87" w:rsidRPr="0016276A" w:rsidRDefault="00F126FE" w:rsidP="00A10BE5">
      <w:pPr>
        <w:pStyle w:val="Heading1"/>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3pt;height:90.7pt">
            <v:imagedata r:id="rId9" o:title="logo_48x23mm-300dpi-CMYK"/>
          </v:shape>
        </w:pict>
      </w:r>
    </w:p>
    <w:p w:rsidR="00AF1C87" w:rsidRPr="0016276A" w:rsidRDefault="00AF1C87" w:rsidP="00A53505">
      <w:pPr>
        <w:pStyle w:val="Heading1"/>
        <w:rPr>
          <w:sz w:val="32"/>
          <w:szCs w:val="32"/>
        </w:rPr>
      </w:pPr>
      <w:r w:rsidRPr="0016276A">
        <w:rPr>
          <w:sz w:val="32"/>
          <w:szCs w:val="32"/>
        </w:rPr>
        <w:t>Public Competition Assessment</w:t>
      </w:r>
    </w:p>
    <w:p w:rsidR="00AF1C87" w:rsidRPr="00FE66DC" w:rsidRDefault="0088684F" w:rsidP="00A53505">
      <w:pPr>
        <w:pStyle w:val="Date1"/>
        <w:rPr>
          <w:sz w:val="30"/>
          <w:szCs w:val="30"/>
        </w:rPr>
      </w:pPr>
      <w:r w:rsidRPr="00FE66DC">
        <w:rPr>
          <w:sz w:val="30"/>
          <w:szCs w:val="30"/>
        </w:rPr>
        <w:t>1</w:t>
      </w:r>
      <w:r w:rsidR="00CC4486">
        <w:rPr>
          <w:sz w:val="30"/>
          <w:szCs w:val="30"/>
        </w:rPr>
        <w:t>5</w:t>
      </w:r>
      <w:r w:rsidRPr="00FE66DC">
        <w:rPr>
          <w:sz w:val="30"/>
          <w:szCs w:val="30"/>
        </w:rPr>
        <w:t xml:space="preserve"> December 2014</w:t>
      </w:r>
    </w:p>
    <w:p w:rsidR="00AF1C87" w:rsidRPr="0016276A" w:rsidRDefault="00A17B17" w:rsidP="00A53505">
      <w:pPr>
        <w:pStyle w:val="Heading2"/>
      </w:pPr>
      <w:bookmarkStart w:id="1" w:name="Title"/>
      <w:bookmarkEnd w:id="1"/>
      <w:r w:rsidRPr="0016276A">
        <w:t>Peregrine Corporation - acquisition of 25 BP Australia petrol retail sites in South Australia</w:t>
      </w:r>
    </w:p>
    <w:p w:rsidR="00AF1C87" w:rsidRPr="0016276A" w:rsidRDefault="00AF1C87" w:rsidP="006A7FE8">
      <w:pPr>
        <w:pStyle w:val="Heading3"/>
      </w:pPr>
      <w:r w:rsidRPr="0016276A">
        <w:t>Introduction</w:t>
      </w:r>
    </w:p>
    <w:p w:rsidR="005E69F4" w:rsidRPr="0016276A" w:rsidRDefault="00AF1C87" w:rsidP="00CC0B2E">
      <w:pPr>
        <w:pStyle w:val="NormalParagraph"/>
        <w:ind w:hanging="502"/>
      </w:pPr>
      <w:r w:rsidRPr="0016276A">
        <w:t xml:space="preserve">On </w:t>
      </w:r>
      <w:r w:rsidR="004F65D6" w:rsidRPr="0016276A">
        <w:t>8 May 2014</w:t>
      </w:r>
      <w:r w:rsidRPr="0016276A">
        <w:t>, the Australian Competition and Consumer Commission (</w:t>
      </w:r>
      <w:r w:rsidRPr="0016276A">
        <w:rPr>
          <w:b/>
        </w:rPr>
        <w:t>ACCC</w:t>
      </w:r>
      <w:r w:rsidRPr="0016276A">
        <w:t>) announced its decision not to oppose</w:t>
      </w:r>
      <w:r w:rsidR="005E69F4" w:rsidRPr="0016276A">
        <w:t xml:space="preserve"> </w:t>
      </w:r>
      <w:r w:rsidR="005E69F4" w:rsidRPr="0016276A">
        <w:rPr>
          <w:rFonts w:cs="Arial"/>
        </w:rPr>
        <w:t>Peregrine Corporation’s (</w:t>
      </w:r>
      <w:r w:rsidR="005E69F4" w:rsidRPr="0016276A">
        <w:rPr>
          <w:rFonts w:cs="Arial"/>
          <w:b/>
        </w:rPr>
        <w:t>Peregrine</w:t>
      </w:r>
      <w:r w:rsidR="005E69F4" w:rsidRPr="0016276A">
        <w:rPr>
          <w:rFonts w:cs="Arial"/>
        </w:rPr>
        <w:t>)</w:t>
      </w:r>
      <w:r w:rsidR="005E5038" w:rsidRPr="0016276A">
        <w:rPr>
          <w:rStyle w:val="FootnoteReference"/>
          <w:rFonts w:cs="Arial"/>
        </w:rPr>
        <w:footnoteReference w:id="1"/>
      </w:r>
      <w:r w:rsidR="005E69F4" w:rsidRPr="0016276A">
        <w:rPr>
          <w:rFonts w:cs="Arial"/>
        </w:rPr>
        <w:t>:</w:t>
      </w:r>
    </w:p>
    <w:p w:rsidR="005E69F4" w:rsidRPr="0016276A" w:rsidRDefault="005E69F4" w:rsidP="005E69F4">
      <w:pPr>
        <w:pStyle w:val="ABCList"/>
        <w:rPr>
          <w:rFonts w:cs="Times New Roman"/>
        </w:rPr>
      </w:pPr>
      <w:r w:rsidRPr="0016276A">
        <w:t>proposed acquisition of 16 BP Australia (</w:t>
      </w:r>
      <w:r w:rsidRPr="0016276A">
        <w:rPr>
          <w:b/>
        </w:rPr>
        <w:t>BP</w:t>
      </w:r>
      <w:r w:rsidRPr="0016276A">
        <w:t>) petrol retail sites in metropolitan Adelaide</w:t>
      </w:r>
    </w:p>
    <w:p w:rsidR="005E69F4" w:rsidRPr="0016276A" w:rsidRDefault="005E69F4" w:rsidP="005E69F4">
      <w:pPr>
        <w:pStyle w:val="ABCList"/>
        <w:rPr>
          <w:rFonts w:cs="Times New Roman"/>
        </w:rPr>
      </w:pPr>
      <w:r w:rsidRPr="0016276A">
        <w:t>completed acquisition of nine BP sites in regional South Australia</w:t>
      </w:r>
      <w:r w:rsidR="001A5DEA" w:rsidRPr="0016276A">
        <w:t>,</w:t>
      </w:r>
    </w:p>
    <w:p w:rsidR="005E69F4" w:rsidRPr="0016276A" w:rsidRDefault="005E69F4" w:rsidP="00CC0B2E">
      <w:pPr>
        <w:pStyle w:val="NormalParagraph"/>
        <w:numPr>
          <w:ilvl w:val="0"/>
          <w:numId w:val="0"/>
        </w:numPr>
        <w:ind w:left="426"/>
      </w:pPr>
      <w:r w:rsidRPr="0016276A">
        <w:t xml:space="preserve">subject to </w:t>
      </w:r>
      <w:r w:rsidR="00831BCF" w:rsidRPr="0016276A">
        <w:t xml:space="preserve">a divestiture </w:t>
      </w:r>
      <w:r w:rsidRPr="0016276A">
        <w:t>undertaking accepted by the ACCC</w:t>
      </w:r>
      <w:r w:rsidR="007A7B70" w:rsidRPr="0016276A">
        <w:t xml:space="preserve"> pursuant to section 87B of the </w:t>
      </w:r>
      <w:r w:rsidR="007A7B70" w:rsidRPr="0016276A">
        <w:rPr>
          <w:i/>
        </w:rPr>
        <w:t>Competition and Consumer Act 2010</w:t>
      </w:r>
      <w:r w:rsidR="007A7B70" w:rsidRPr="0016276A">
        <w:t xml:space="preserve"> (the </w:t>
      </w:r>
      <w:r w:rsidR="007A7B70" w:rsidRPr="0016276A">
        <w:rPr>
          <w:b/>
        </w:rPr>
        <w:t>Act</w:t>
      </w:r>
      <w:r w:rsidR="007A7B70" w:rsidRPr="0016276A">
        <w:t>)</w:t>
      </w:r>
      <w:r w:rsidRPr="0016276A">
        <w:t xml:space="preserve"> </w:t>
      </w:r>
      <w:r w:rsidR="001655AA" w:rsidRPr="0016276A">
        <w:t xml:space="preserve">(the </w:t>
      </w:r>
      <w:r w:rsidR="001655AA" w:rsidRPr="0016276A">
        <w:rPr>
          <w:b/>
        </w:rPr>
        <w:t>undertaking</w:t>
      </w:r>
      <w:r w:rsidR="001655AA" w:rsidRPr="0016276A">
        <w:t>)</w:t>
      </w:r>
      <w:r w:rsidRPr="0016276A">
        <w:t>.</w:t>
      </w:r>
    </w:p>
    <w:p w:rsidR="00AF1C87" w:rsidRPr="0016276A" w:rsidRDefault="004B1FA4" w:rsidP="00CC0B2E">
      <w:pPr>
        <w:pStyle w:val="NormalParagraph"/>
        <w:ind w:hanging="502"/>
      </w:pPr>
      <w:r w:rsidRPr="0016276A">
        <w:t xml:space="preserve">The </w:t>
      </w:r>
      <w:r w:rsidR="00AF1C87" w:rsidRPr="0016276A">
        <w:t xml:space="preserve">ACCC </w:t>
      </w:r>
      <w:r w:rsidR="00F02581" w:rsidRPr="0016276A">
        <w:t xml:space="preserve">decided </w:t>
      </w:r>
      <w:r w:rsidR="00AF1C87" w:rsidRPr="0016276A">
        <w:t xml:space="preserve">that </w:t>
      </w:r>
      <w:r w:rsidR="007A7B70" w:rsidRPr="0016276A">
        <w:t>Peregrine’s acquisition of the 25 BP sites,</w:t>
      </w:r>
      <w:r w:rsidR="00AF1C87" w:rsidRPr="0016276A">
        <w:t xml:space="preserve"> </w:t>
      </w:r>
      <w:r w:rsidR="004548E1" w:rsidRPr="0016276A">
        <w:t>together with</w:t>
      </w:r>
      <w:r w:rsidRPr="0016276A">
        <w:t xml:space="preserve"> the undertaking </w:t>
      </w:r>
      <w:r w:rsidR="001867D4" w:rsidRPr="0016276A">
        <w:t xml:space="preserve">and also two ‘swap’ agreements with other retailers </w:t>
      </w:r>
      <w:r w:rsidRPr="0016276A">
        <w:t>(</w:t>
      </w:r>
      <w:r w:rsidR="001867D4" w:rsidRPr="0016276A">
        <w:t xml:space="preserve">together, </w:t>
      </w:r>
      <w:r w:rsidRPr="0016276A">
        <w:t xml:space="preserve">the </w:t>
      </w:r>
      <w:r w:rsidRPr="0016276A">
        <w:rPr>
          <w:b/>
        </w:rPr>
        <w:t>Acquisition</w:t>
      </w:r>
      <w:r w:rsidRPr="0016276A">
        <w:t xml:space="preserve">), </w:t>
      </w:r>
      <w:r w:rsidR="00AF1C87" w:rsidRPr="0016276A">
        <w:t xml:space="preserve">would </w:t>
      </w:r>
      <w:r w:rsidR="00656D0B" w:rsidRPr="0016276A">
        <w:t xml:space="preserve">not </w:t>
      </w:r>
      <w:r w:rsidR="00AF1C87" w:rsidRPr="0016276A">
        <w:t>be likely to have the effect of substantiall</w:t>
      </w:r>
      <w:r w:rsidR="006A7FE8" w:rsidRPr="0016276A">
        <w:t xml:space="preserve">y lessening competition in </w:t>
      </w:r>
      <w:r w:rsidR="00446727" w:rsidRPr="0016276A">
        <w:t xml:space="preserve">any relevant market </w:t>
      </w:r>
      <w:r w:rsidR="00AF1C87" w:rsidRPr="0016276A">
        <w:t>in contravention of section 50 of the</w:t>
      </w:r>
      <w:r w:rsidR="007A7B70" w:rsidRPr="0016276A">
        <w:t xml:space="preserve"> Act</w:t>
      </w:r>
      <w:r w:rsidR="00AF1C87" w:rsidRPr="0016276A">
        <w:t>.</w:t>
      </w:r>
    </w:p>
    <w:p w:rsidR="00682791" w:rsidRPr="0016276A" w:rsidRDefault="00A557FD" w:rsidP="00CC0B2E">
      <w:pPr>
        <w:pStyle w:val="NormalParagraph"/>
        <w:ind w:hanging="502"/>
      </w:pPr>
      <w:r w:rsidRPr="0016276A">
        <w:t xml:space="preserve">The </w:t>
      </w:r>
      <w:r w:rsidR="00682791" w:rsidRPr="0016276A">
        <w:t xml:space="preserve">ACCC also announced on 8 May 2014 that it would oppose the </w:t>
      </w:r>
      <w:r w:rsidR="002C5F0D" w:rsidRPr="0016276A">
        <w:t xml:space="preserve">related </w:t>
      </w:r>
      <w:r w:rsidR="00682791" w:rsidRPr="0016276A">
        <w:t>proposed acquisition by Peregrine of Caltex Australia’s retail petrol station site in the Adelaide suburb of Fullarton</w:t>
      </w:r>
      <w:r w:rsidR="00E21106" w:rsidRPr="0016276A">
        <w:t xml:space="preserve"> (the </w:t>
      </w:r>
      <w:r w:rsidR="00E21106" w:rsidRPr="0016276A">
        <w:rPr>
          <w:b/>
        </w:rPr>
        <w:t>Full</w:t>
      </w:r>
      <w:r w:rsidR="00B8520C" w:rsidRPr="0016276A">
        <w:rPr>
          <w:b/>
        </w:rPr>
        <w:t>a</w:t>
      </w:r>
      <w:r w:rsidR="00E21106" w:rsidRPr="0016276A">
        <w:rPr>
          <w:b/>
        </w:rPr>
        <w:t>rton Acquisition</w:t>
      </w:r>
      <w:r w:rsidR="00E21106" w:rsidRPr="0016276A">
        <w:t>)</w:t>
      </w:r>
      <w:r w:rsidR="00682791" w:rsidRPr="0016276A">
        <w:t>.</w:t>
      </w:r>
      <w:r w:rsidR="002C5F0D" w:rsidRPr="0016276A">
        <w:t xml:space="preserve"> The ACCC decided that the proposed acquisition by Peregrine of this site would have or be likely to have the effect of substantially lessening competition in the relevant local market in contravention of section 50 of the Act.</w:t>
      </w:r>
    </w:p>
    <w:p w:rsidR="00AF1C87" w:rsidRPr="0016276A" w:rsidRDefault="00AF1C87" w:rsidP="00CC0B2E">
      <w:pPr>
        <w:pStyle w:val="NormalParagraph"/>
        <w:ind w:hanging="502"/>
      </w:pPr>
      <w:r w:rsidRPr="0016276A">
        <w:t xml:space="preserve">The ACCC </w:t>
      </w:r>
      <w:r w:rsidR="00F02581" w:rsidRPr="0016276A">
        <w:t>made its decision</w:t>
      </w:r>
      <w:r w:rsidR="002C5F0D" w:rsidRPr="0016276A">
        <w:t>s</w:t>
      </w:r>
      <w:r w:rsidR="00F02581" w:rsidRPr="0016276A">
        <w:t xml:space="preserve"> </w:t>
      </w:r>
      <w:r w:rsidRPr="0016276A">
        <w:t>on the basis of information provided by the merger parties and information arising from its market inquiries. This Public Competition Assessment outlines the basis on which the ACCC reached its decision</w:t>
      </w:r>
      <w:r w:rsidR="002C5F0D" w:rsidRPr="0016276A">
        <w:t>s</w:t>
      </w:r>
      <w:r w:rsidRPr="0016276A">
        <w:t>, subject to confidentiality considerations.</w:t>
      </w:r>
    </w:p>
    <w:p w:rsidR="00F04C4D" w:rsidRPr="0016276A" w:rsidRDefault="00F04C4D" w:rsidP="00CC0B2E">
      <w:pPr>
        <w:pStyle w:val="NormalParagraph"/>
        <w:ind w:hanging="502"/>
      </w:pPr>
      <w:r w:rsidRPr="0016276A">
        <w:lastRenderedPageBreak/>
        <w:t xml:space="preserve">In this Public Competition Assessment, where relevant, the Acquisition as originally proposed by Peregrine (i.e. before the </w:t>
      </w:r>
      <w:r w:rsidR="00F06154" w:rsidRPr="0016276A">
        <w:t>undertaking</w:t>
      </w:r>
      <w:r w:rsidR="00036E47" w:rsidRPr="0016276A">
        <w:t xml:space="preserve"> and not including the sites Peregrine is acquiring in return for divesting some of the BP sites</w:t>
      </w:r>
      <w:r w:rsidRPr="0016276A">
        <w:t xml:space="preserve">) is referred to as the </w:t>
      </w:r>
      <w:r w:rsidRPr="0016276A">
        <w:rPr>
          <w:b/>
        </w:rPr>
        <w:t>Original Acquisition</w:t>
      </w:r>
      <w:r w:rsidRPr="0016276A">
        <w:t>.</w:t>
      </w:r>
      <w:r w:rsidR="00E21106" w:rsidRPr="0016276A">
        <w:t xml:space="preserve"> </w:t>
      </w:r>
    </w:p>
    <w:p w:rsidR="00AF1C87" w:rsidRPr="0016276A" w:rsidRDefault="00AF1C87" w:rsidP="006A7FE8">
      <w:pPr>
        <w:pStyle w:val="Heading3"/>
      </w:pPr>
      <w:r w:rsidRPr="0016276A">
        <w:t>Public Competition Assessment</w:t>
      </w:r>
    </w:p>
    <w:p w:rsidR="00AF1C87" w:rsidRPr="0016276A" w:rsidRDefault="00AF1C87" w:rsidP="00CC0B2E">
      <w:pPr>
        <w:pStyle w:val="NormalParagraph"/>
        <w:ind w:hanging="502"/>
      </w:pPr>
      <w:r w:rsidRPr="0016276A">
        <w:t>To provide an enhanced level of transparency and procedural fairness in its decision making process, the ACCC issues a Public Competition Assessment for all transaction proposals where:</w:t>
      </w:r>
    </w:p>
    <w:p w:rsidR="00AF1C87" w:rsidRPr="0016276A" w:rsidRDefault="00AF1C87" w:rsidP="0068571F">
      <w:pPr>
        <w:pStyle w:val="ABCList"/>
        <w:numPr>
          <w:ilvl w:val="0"/>
          <w:numId w:val="34"/>
        </w:numPr>
      </w:pPr>
      <w:r w:rsidRPr="0016276A">
        <w:t>a merger is opposed</w:t>
      </w:r>
    </w:p>
    <w:p w:rsidR="00AF1C87" w:rsidRPr="0016276A" w:rsidRDefault="00AF1C87" w:rsidP="00F76120">
      <w:pPr>
        <w:pStyle w:val="ABCList"/>
      </w:pPr>
      <w:r w:rsidRPr="0016276A">
        <w:t xml:space="preserve">a merger is subject to </w:t>
      </w:r>
      <w:r w:rsidR="00F06154" w:rsidRPr="0016276A">
        <w:t xml:space="preserve">an </w:t>
      </w:r>
      <w:r w:rsidRPr="0016276A">
        <w:t xml:space="preserve">enforceable </w:t>
      </w:r>
      <w:r w:rsidR="00F06154" w:rsidRPr="0016276A">
        <w:t>undertaking</w:t>
      </w:r>
    </w:p>
    <w:p w:rsidR="00AF1C87" w:rsidRPr="0016276A" w:rsidRDefault="00AF1C87" w:rsidP="00F76120">
      <w:pPr>
        <w:pStyle w:val="ABCList"/>
      </w:pPr>
      <w:r w:rsidRPr="0016276A">
        <w:t>the merger parties seek such disclosure</w:t>
      </w:r>
    </w:p>
    <w:p w:rsidR="00AF1C87" w:rsidRPr="0016276A" w:rsidRDefault="00AF1C87" w:rsidP="00F76120">
      <w:pPr>
        <w:pStyle w:val="ABCList"/>
      </w:pPr>
      <w:r w:rsidRPr="0016276A">
        <w:t>a merger is not opposed but raises important issues that the ACCC considers should be made public.</w:t>
      </w:r>
    </w:p>
    <w:p w:rsidR="00AF1C87" w:rsidRPr="0016276A" w:rsidRDefault="00AF1C87" w:rsidP="00CC0B2E">
      <w:pPr>
        <w:pStyle w:val="NormalParagraph"/>
        <w:ind w:hanging="502"/>
      </w:pPr>
      <w:r w:rsidRPr="0016276A">
        <w:t xml:space="preserve">This Public Competition Assessment has been issued because </w:t>
      </w:r>
      <w:bookmarkStart w:id="2" w:name="Acquirer2"/>
      <w:bookmarkEnd w:id="2"/>
      <w:r w:rsidR="00A17B17" w:rsidRPr="0016276A">
        <w:t>Peregrine Corporation</w:t>
      </w:r>
      <w:r w:rsidRPr="0016276A">
        <w:t xml:space="preserve">’s acquisition of </w:t>
      </w:r>
      <w:bookmarkStart w:id="3" w:name="Target2"/>
      <w:bookmarkEnd w:id="3"/>
      <w:r w:rsidR="00A17B17" w:rsidRPr="0016276A">
        <w:t>25 BP Australia petrol retail sites in South Australia</w:t>
      </w:r>
      <w:r w:rsidRPr="0016276A">
        <w:t xml:space="preserve"> is subject to </w:t>
      </w:r>
      <w:r w:rsidR="00F06154" w:rsidRPr="0016276A">
        <w:t xml:space="preserve">a </w:t>
      </w:r>
      <w:r w:rsidRPr="0016276A">
        <w:t xml:space="preserve">court enforceable </w:t>
      </w:r>
      <w:r w:rsidR="00F06154" w:rsidRPr="0016276A">
        <w:t>undertaking</w:t>
      </w:r>
      <w:r w:rsidR="002C5F0D" w:rsidRPr="0016276A">
        <w:t xml:space="preserve">, and the related Fullarton </w:t>
      </w:r>
      <w:r w:rsidR="004B1FA4" w:rsidRPr="0016276A">
        <w:t xml:space="preserve">Acquisition </w:t>
      </w:r>
      <w:r w:rsidR="002C5F0D" w:rsidRPr="0016276A">
        <w:t>was opposed by the ACCC</w:t>
      </w:r>
      <w:r w:rsidRPr="0016276A">
        <w:t>.</w:t>
      </w:r>
    </w:p>
    <w:p w:rsidR="00AF1C87" w:rsidRPr="0016276A" w:rsidRDefault="00AF1C87" w:rsidP="00CC0B2E">
      <w:pPr>
        <w:pStyle w:val="NormalParagraph"/>
        <w:ind w:hanging="502"/>
      </w:pPr>
      <w:r w:rsidRPr="0016276A">
        <w:t>By issuing Public Competition Assessments, the ACCC</w:t>
      </w:r>
      <w:r w:rsidRPr="0016276A" w:rsidDel="00E6344F">
        <w:t xml:space="preserve"> </w:t>
      </w:r>
      <w:r w:rsidRPr="0016276A">
        <w:t>aims to provide the public with a better understanding of the ACCC's analysis of various markets and the associated merger and competition issues.</w:t>
      </w:r>
    </w:p>
    <w:p w:rsidR="006531C0" w:rsidRPr="0016276A" w:rsidRDefault="00AF1C87" w:rsidP="00CC0B2E">
      <w:pPr>
        <w:pStyle w:val="NormalParagraph"/>
        <w:ind w:hanging="502"/>
      </w:pPr>
      <w:r w:rsidRPr="0016276A">
        <w:t>Each Public Competition Assessment is specific to the particular transaction under review by the ACCC. While some transaction proposals may involve the same or related markets, it should not be assumed that the analysis and decision outlined in one Public Competition Assessment will be conclusive of the ACCC’s view in respect of other</w:t>
      </w:r>
      <w:r w:rsidR="00656D0B" w:rsidRPr="0016276A">
        <w:t xml:space="preserve"> proposed acquisitions</w:t>
      </w:r>
      <w:r w:rsidRPr="0016276A">
        <w:t xml:space="preserve">, as each matter will be considered on </w:t>
      </w:r>
      <w:r w:rsidR="002E0ACF" w:rsidRPr="0016276A">
        <w:t>a case-by-case basis.</w:t>
      </w:r>
      <w:bookmarkStart w:id="4" w:name="OLE_LINK2"/>
      <w:bookmarkStart w:id="5" w:name="OLE_LINK1"/>
      <w:bookmarkEnd w:id="4"/>
    </w:p>
    <w:p w:rsidR="006531C0" w:rsidRPr="0016276A" w:rsidRDefault="006531C0" w:rsidP="00CC0B2E">
      <w:pPr>
        <w:pStyle w:val="NormalParagraph"/>
        <w:ind w:hanging="502"/>
      </w:pPr>
      <w:r w:rsidRPr="0016276A">
        <w:t>Public Competition Assessments outline the ACCC’s principal reasons for</w:t>
      </w:r>
      <w:bookmarkEnd w:id="5"/>
      <w:r w:rsidRPr="0016276A">
        <w:t xml:space="preserve"> forming views on a proposed acquisition at the time the decision was made. As such Public Competition Assessments may not definitively identify and explain all issues that the ACCC considers arise from a proposed acquisition. Further, the ACCC’s decisions generally involve consideration of both non-confidential and confidential information provided by the parties and market participants. In order to maintain confidentiality, Public Competition Assessments do not contain any confidential information or its sources.</w:t>
      </w:r>
    </w:p>
    <w:p w:rsidR="00AF1C87" w:rsidRPr="0016276A" w:rsidRDefault="00AF1C87" w:rsidP="006A7FE8">
      <w:pPr>
        <w:pStyle w:val="Heading3"/>
      </w:pPr>
      <w:r w:rsidRPr="0016276A">
        <w:t>The parties</w:t>
      </w:r>
    </w:p>
    <w:p w:rsidR="00AF1C87" w:rsidRPr="0016276A" w:rsidRDefault="00AF1C87" w:rsidP="006A7FE8">
      <w:pPr>
        <w:pStyle w:val="Heading4"/>
      </w:pPr>
      <w:r w:rsidRPr="0016276A">
        <w:t xml:space="preserve">The acquirer: </w:t>
      </w:r>
      <w:bookmarkStart w:id="6" w:name="Acquirer3"/>
      <w:bookmarkEnd w:id="6"/>
      <w:r w:rsidR="00A17B17" w:rsidRPr="0016276A">
        <w:t>Peregrine Corporation</w:t>
      </w:r>
    </w:p>
    <w:p w:rsidR="005E5038" w:rsidRPr="0016276A" w:rsidRDefault="004C768E" w:rsidP="00CC0B2E">
      <w:pPr>
        <w:pStyle w:val="NormalParagraph"/>
        <w:ind w:hanging="502"/>
      </w:pPr>
      <w:r w:rsidRPr="0016276A">
        <w:t xml:space="preserve">Peregrine is a South Australian convenience retailer. </w:t>
      </w:r>
      <w:r w:rsidR="0036759D" w:rsidRPr="0016276A">
        <w:t>It</w:t>
      </w:r>
      <w:r w:rsidR="00656D0B" w:rsidRPr="0016276A">
        <w:t>s</w:t>
      </w:r>
      <w:r w:rsidR="0036759D" w:rsidRPr="0016276A">
        <w:t xml:space="preserve"> operations include </w:t>
      </w:r>
      <w:r w:rsidR="00656D0B" w:rsidRPr="0016276A">
        <w:t xml:space="preserve">a </w:t>
      </w:r>
      <w:r w:rsidR="004828D7" w:rsidRPr="0016276A">
        <w:t>fuel</w:t>
      </w:r>
      <w:r w:rsidR="0036759D" w:rsidRPr="0016276A">
        <w:t xml:space="preserve"> retail</w:t>
      </w:r>
      <w:r w:rsidR="00656D0B" w:rsidRPr="0016276A">
        <w:t>ing business in South Australia operated</w:t>
      </w:r>
      <w:r w:rsidR="0036759D" w:rsidRPr="0016276A">
        <w:t xml:space="preserve"> under the </w:t>
      </w:r>
      <w:r w:rsidR="00656D0B" w:rsidRPr="0016276A">
        <w:t xml:space="preserve">business </w:t>
      </w:r>
      <w:r w:rsidR="0036759D" w:rsidRPr="0016276A">
        <w:t xml:space="preserve">name ‘On </w:t>
      </w:r>
      <w:r w:rsidR="008F53FF" w:rsidRPr="0016276A">
        <w:t>t</w:t>
      </w:r>
      <w:r w:rsidR="0036759D" w:rsidRPr="0016276A">
        <w:t>he Run’</w:t>
      </w:r>
      <w:r w:rsidR="0072605F" w:rsidRPr="0016276A">
        <w:t xml:space="preserve"> </w:t>
      </w:r>
      <w:r w:rsidR="00F600BB" w:rsidRPr="0016276A">
        <w:t xml:space="preserve">as well as other </w:t>
      </w:r>
      <w:r w:rsidR="00656D0B" w:rsidRPr="0016276A">
        <w:t xml:space="preserve">businesses </w:t>
      </w:r>
      <w:r w:rsidR="0072605F" w:rsidRPr="0016276A">
        <w:t xml:space="preserve">such as </w:t>
      </w:r>
      <w:r w:rsidR="00F600BB" w:rsidRPr="0016276A">
        <w:t>Smokemart</w:t>
      </w:r>
      <w:r w:rsidR="0072605F" w:rsidRPr="0016276A">
        <w:t xml:space="preserve"> and</w:t>
      </w:r>
      <w:r w:rsidR="00D45067" w:rsidRPr="0016276A">
        <w:t xml:space="preserve"> </w:t>
      </w:r>
      <w:r w:rsidR="00F600BB" w:rsidRPr="0016276A">
        <w:t>GiftBox.</w:t>
      </w:r>
      <w:r w:rsidR="00190D2E" w:rsidRPr="0016276A">
        <w:t xml:space="preserve"> Many </w:t>
      </w:r>
      <w:r w:rsidR="00656D0B" w:rsidRPr="0016276A">
        <w:t xml:space="preserve">On the Run service station </w:t>
      </w:r>
      <w:r w:rsidR="00190D2E" w:rsidRPr="0016276A">
        <w:t xml:space="preserve">sites also </w:t>
      </w:r>
      <w:r w:rsidR="00656D0B" w:rsidRPr="0016276A">
        <w:t xml:space="preserve">supply </w:t>
      </w:r>
      <w:r w:rsidR="00190D2E" w:rsidRPr="0016276A">
        <w:t xml:space="preserve">other </w:t>
      </w:r>
      <w:r w:rsidR="00656D0B" w:rsidRPr="0016276A">
        <w:t xml:space="preserve">goods and </w:t>
      </w:r>
      <w:r w:rsidR="00190D2E" w:rsidRPr="0016276A">
        <w:t xml:space="preserve">services such as takeaway food (including franchises such as Subway, Brumby's Bakeries and Oporto), car wash facilities, dog wash facilities and </w:t>
      </w:r>
      <w:r w:rsidR="00656D0B" w:rsidRPr="0016276A">
        <w:t xml:space="preserve">the sale of </w:t>
      </w:r>
      <w:r w:rsidR="00190D2E" w:rsidRPr="0016276A">
        <w:t>SA lotteries products.</w:t>
      </w:r>
    </w:p>
    <w:p w:rsidR="000C50E3" w:rsidRPr="0016276A" w:rsidRDefault="00584C91" w:rsidP="00CC0B2E">
      <w:pPr>
        <w:pStyle w:val="NormalParagraph"/>
        <w:ind w:hanging="502"/>
      </w:pPr>
      <w:r w:rsidRPr="0016276A">
        <w:lastRenderedPageBreak/>
        <w:t>At the time of the ACCC’s decision</w:t>
      </w:r>
      <w:r w:rsidR="00AF0E90" w:rsidRPr="0016276A">
        <w:t xml:space="preserve">, </w:t>
      </w:r>
      <w:r w:rsidR="000C50E3" w:rsidRPr="0016276A">
        <w:t>Peregrine operate</w:t>
      </w:r>
      <w:r w:rsidR="00AF0E90" w:rsidRPr="0016276A">
        <w:t>d</w:t>
      </w:r>
      <w:r w:rsidR="000C50E3" w:rsidRPr="0016276A">
        <w:t xml:space="preserve"> </w:t>
      </w:r>
      <w:r w:rsidR="0097127D" w:rsidRPr="0016276A">
        <w:t xml:space="preserve">94 </w:t>
      </w:r>
      <w:r w:rsidR="000C50E3" w:rsidRPr="0016276A">
        <w:t>service stations in South Australia</w:t>
      </w:r>
      <w:r w:rsidR="004C564B" w:rsidRPr="0016276A">
        <w:t xml:space="preserve"> (including nine </w:t>
      </w:r>
      <w:r w:rsidR="00E748C6" w:rsidRPr="0016276A">
        <w:t xml:space="preserve">regional </w:t>
      </w:r>
      <w:r w:rsidR="004C564B" w:rsidRPr="0016276A">
        <w:t xml:space="preserve">BP sites that Peregrine </w:t>
      </w:r>
      <w:r w:rsidR="00E748C6" w:rsidRPr="0016276A">
        <w:t xml:space="preserve">had already </w:t>
      </w:r>
      <w:r w:rsidR="004C564B" w:rsidRPr="0016276A">
        <w:t>acquired from BP</w:t>
      </w:r>
      <w:r w:rsidR="00E748C6" w:rsidRPr="0016276A">
        <w:t xml:space="preserve"> as part of the Acquisition</w:t>
      </w:r>
      <w:r w:rsidR="004C564B" w:rsidRPr="0016276A">
        <w:t xml:space="preserve">, as mentioned </w:t>
      </w:r>
      <w:r w:rsidR="00E748C6" w:rsidRPr="0016276A">
        <w:t xml:space="preserve">below </w:t>
      </w:r>
      <w:r w:rsidR="004C564B" w:rsidRPr="0016276A">
        <w:t xml:space="preserve">at paragraph </w:t>
      </w:r>
      <w:r w:rsidR="004C564B" w:rsidRPr="0016276A">
        <w:fldChar w:fldCharType="begin"/>
      </w:r>
      <w:r w:rsidR="004C564B" w:rsidRPr="0016276A">
        <w:instrText xml:space="preserve"> REF _Ref395015764 \r \h </w:instrText>
      </w:r>
      <w:r w:rsidR="0016276A">
        <w:instrText xml:space="preserve"> \* MERGEFORMAT </w:instrText>
      </w:r>
      <w:r w:rsidR="004C564B" w:rsidRPr="0016276A">
        <w:fldChar w:fldCharType="separate"/>
      </w:r>
      <w:r w:rsidR="00F126FE">
        <w:t>16</w:t>
      </w:r>
      <w:r w:rsidR="004C564B" w:rsidRPr="0016276A">
        <w:fldChar w:fldCharType="end"/>
      </w:r>
      <w:r w:rsidR="004C564B" w:rsidRPr="0016276A">
        <w:t>)</w:t>
      </w:r>
      <w:r w:rsidR="000C50E3" w:rsidRPr="0016276A">
        <w:t xml:space="preserve">, </w:t>
      </w:r>
      <w:r w:rsidRPr="0016276A">
        <w:t xml:space="preserve">78 </w:t>
      </w:r>
      <w:r w:rsidR="000C50E3" w:rsidRPr="0016276A">
        <w:t xml:space="preserve">of which </w:t>
      </w:r>
      <w:r w:rsidR="001655AA" w:rsidRPr="0016276A">
        <w:t xml:space="preserve">were </w:t>
      </w:r>
      <w:r w:rsidR="000C50E3" w:rsidRPr="0016276A">
        <w:t>in metropolitan Adelaide</w:t>
      </w:r>
      <w:r w:rsidR="00443C28" w:rsidRPr="0016276A">
        <w:t>.</w:t>
      </w:r>
      <w:r w:rsidR="00E748C6" w:rsidRPr="0016276A" w:rsidDel="00E748C6">
        <w:rPr>
          <w:rStyle w:val="FootnoteReference"/>
        </w:rPr>
        <w:t xml:space="preserve"> </w:t>
      </w:r>
      <w:r w:rsidR="00443C28" w:rsidRPr="0016276A">
        <w:t xml:space="preserve"> Of the</w:t>
      </w:r>
      <w:r w:rsidR="00581B75" w:rsidRPr="0016276A">
        <w:t xml:space="preserve"> 78 </w:t>
      </w:r>
      <w:r w:rsidR="00443C28" w:rsidRPr="0016276A">
        <w:t>service stations</w:t>
      </w:r>
      <w:r w:rsidR="00581B75" w:rsidRPr="0016276A">
        <w:t xml:space="preserve"> in Adelaide</w:t>
      </w:r>
      <w:r w:rsidR="00443C28" w:rsidRPr="0016276A">
        <w:t>:</w:t>
      </w:r>
    </w:p>
    <w:p w:rsidR="000C50E3" w:rsidRPr="0016276A" w:rsidRDefault="00443C28" w:rsidP="0068571F">
      <w:pPr>
        <w:pStyle w:val="ABCList"/>
        <w:numPr>
          <w:ilvl w:val="0"/>
          <w:numId w:val="8"/>
        </w:numPr>
      </w:pPr>
      <w:r w:rsidRPr="0016276A">
        <w:t>Mobil Oil Australia Pty Ltd (</w:t>
      </w:r>
      <w:r w:rsidRPr="0016276A">
        <w:rPr>
          <w:b/>
        </w:rPr>
        <w:t>Mobil</w:t>
      </w:r>
      <w:r w:rsidRPr="0016276A">
        <w:t>) supplied fuel to</w:t>
      </w:r>
      <w:r w:rsidR="000C50E3" w:rsidRPr="0016276A">
        <w:t xml:space="preserve"> </w:t>
      </w:r>
      <w:r w:rsidR="00D82CE3" w:rsidRPr="0016276A">
        <w:t>29</w:t>
      </w:r>
      <w:r w:rsidRPr="0016276A">
        <w:t>, which were</w:t>
      </w:r>
      <w:r w:rsidR="000C50E3" w:rsidRPr="0016276A">
        <w:t xml:space="preserve"> branded 'On the Run' for fuel and convenience stores </w:t>
      </w:r>
    </w:p>
    <w:p w:rsidR="000C50E3" w:rsidRPr="0016276A" w:rsidRDefault="00FB16E0" w:rsidP="00AF0E90">
      <w:pPr>
        <w:pStyle w:val="ABCList"/>
      </w:pPr>
      <w:r w:rsidRPr="0016276A">
        <w:t xml:space="preserve">BP supplied fuel to </w:t>
      </w:r>
      <w:r w:rsidR="000C50E3" w:rsidRPr="0016276A">
        <w:t xml:space="preserve">the remaining </w:t>
      </w:r>
      <w:r w:rsidR="00690B66" w:rsidRPr="0016276A">
        <w:t>49</w:t>
      </w:r>
      <w:r w:rsidRPr="0016276A">
        <w:t>, which</w:t>
      </w:r>
      <w:r w:rsidR="000C50E3" w:rsidRPr="0016276A">
        <w:t xml:space="preserve"> </w:t>
      </w:r>
      <w:r w:rsidR="00CB5AD7" w:rsidRPr="0016276A">
        <w:t>were</w:t>
      </w:r>
      <w:r w:rsidR="000C50E3" w:rsidRPr="0016276A">
        <w:t xml:space="preserve"> branded BP on the 'forecourt', with 'On the Run'</w:t>
      </w:r>
      <w:r w:rsidR="00C4657D" w:rsidRPr="0016276A">
        <w:t xml:space="preserve"> </w:t>
      </w:r>
      <w:r w:rsidR="000C50E3" w:rsidRPr="0016276A">
        <w:t>convenience stores on site.</w:t>
      </w:r>
    </w:p>
    <w:p w:rsidR="004828D7" w:rsidRPr="0016276A" w:rsidRDefault="004828D7" w:rsidP="00DB23C7">
      <w:pPr>
        <w:pStyle w:val="NormalParagraph"/>
        <w:ind w:hanging="502"/>
      </w:pPr>
      <w:r w:rsidRPr="0016276A">
        <w:t xml:space="preserve">Peregrine does not engage in the wholesale supply of fuel to any other retailers. </w:t>
      </w:r>
    </w:p>
    <w:p w:rsidR="00AF1C87" w:rsidRPr="0016276A" w:rsidRDefault="00AF1C87" w:rsidP="006A7FE8">
      <w:pPr>
        <w:pStyle w:val="Heading4"/>
      </w:pPr>
      <w:r w:rsidRPr="0016276A">
        <w:t xml:space="preserve">The </w:t>
      </w:r>
      <w:r w:rsidR="00BD4186" w:rsidRPr="0016276A">
        <w:t>vendor</w:t>
      </w:r>
      <w:r w:rsidRPr="0016276A">
        <w:t xml:space="preserve">: </w:t>
      </w:r>
      <w:bookmarkStart w:id="7" w:name="Target3"/>
      <w:bookmarkEnd w:id="7"/>
      <w:r w:rsidR="00BD4186" w:rsidRPr="0016276A">
        <w:t>BP Australia</w:t>
      </w:r>
    </w:p>
    <w:p w:rsidR="000C50E3" w:rsidRPr="0016276A" w:rsidRDefault="000C50E3" w:rsidP="00CC0B2E">
      <w:pPr>
        <w:pStyle w:val="NormalParagraph"/>
        <w:ind w:hanging="502"/>
      </w:pPr>
      <w:r w:rsidRPr="0016276A">
        <w:t xml:space="preserve">BP is a vertically integrated </w:t>
      </w:r>
      <w:r w:rsidR="00737860" w:rsidRPr="0016276A">
        <w:t xml:space="preserve">refiner-wholesaler </w:t>
      </w:r>
      <w:r w:rsidRPr="0016276A">
        <w:t>of petrol, diesel and automotive liquefied petroleum gas (</w:t>
      </w:r>
      <w:r w:rsidRPr="0016276A">
        <w:rPr>
          <w:b/>
        </w:rPr>
        <w:t>LPG</w:t>
      </w:r>
      <w:r w:rsidRPr="0016276A">
        <w:t>). It is engaged in the refining, transportation and marketing of petroleum and lubricant products.</w:t>
      </w:r>
      <w:r w:rsidR="00B228F0" w:rsidRPr="0016276A">
        <w:t xml:space="preserve"> BP refines crude oil at its Kwinana refinery in Western Australia. On 2 April 2014 BP announced that it intends to </w:t>
      </w:r>
      <w:r w:rsidR="00656D0B" w:rsidRPr="0016276A">
        <w:t xml:space="preserve">cease </w:t>
      </w:r>
      <w:r w:rsidR="00B228F0" w:rsidRPr="0016276A">
        <w:t>refining operations at its Bulwer Island refinery in Brisbane, Queensland by mid</w:t>
      </w:r>
      <w:r w:rsidR="0028783A" w:rsidRPr="0016276A">
        <w:noBreakHyphen/>
      </w:r>
      <w:r w:rsidR="00B228F0" w:rsidRPr="0016276A">
        <w:t>2015.</w:t>
      </w:r>
    </w:p>
    <w:p w:rsidR="000C50E3" w:rsidRPr="0016276A" w:rsidRDefault="00FF5D95" w:rsidP="00CC0B2E">
      <w:pPr>
        <w:pStyle w:val="NormalParagraph"/>
        <w:ind w:hanging="502"/>
      </w:pPr>
      <w:r w:rsidRPr="0016276A">
        <w:t xml:space="preserve">Prior to the </w:t>
      </w:r>
      <w:r w:rsidR="00A3169E" w:rsidRPr="0016276A">
        <w:t>ACCC’s review of the</w:t>
      </w:r>
      <w:r w:rsidR="00DA6245" w:rsidRPr="0016276A">
        <w:t xml:space="preserve"> </w:t>
      </w:r>
      <w:r w:rsidR="00A3169E" w:rsidRPr="0016276A">
        <w:t>Acquisition</w:t>
      </w:r>
      <w:r w:rsidRPr="0016276A">
        <w:t xml:space="preserve">, </w:t>
      </w:r>
      <w:r w:rsidR="000C50E3" w:rsidRPr="0016276A">
        <w:t>BP supplie</w:t>
      </w:r>
      <w:r w:rsidRPr="0016276A">
        <w:t>d</w:t>
      </w:r>
      <w:r w:rsidR="000C50E3" w:rsidRPr="0016276A">
        <w:t xml:space="preserve"> fuel to approximately 1,400 service stations around Australia</w:t>
      </w:r>
      <w:r w:rsidR="00831BCF" w:rsidRPr="0016276A">
        <w:t>. Of these</w:t>
      </w:r>
      <w:r w:rsidRPr="0016276A">
        <w:t>,</w:t>
      </w:r>
      <w:r w:rsidR="00831BCF" w:rsidRPr="0016276A">
        <w:t xml:space="preserve"> BP</w:t>
      </w:r>
      <w:r w:rsidRPr="0016276A">
        <w:t xml:space="preserve"> own</w:t>
      </w:r>
      <w:r w:rsidR="00831BCF" w:rsidRPr="0016276A">
        <w:t>ed</w:t>
      </w:r>
      <w:r w:rsidRPr="0016276A">
        <w:t xml:space="preserve"> and operat</w:t>
      </w:r>
      <w:r w:rsidR="00831BCF" w:rsidRPr="0016276A">
        <w:t>ed</w:t>
      </w:r>
      <w:r w:rsidRPr="0016276A">
        <w:t xml:space="preserve"> 225 sites</w:t>
      </w:r>
      <w:r w:rsidR="003C6ADA" w:rsidRPr="0016276A">
        <w:t xml:space="preserve"> in metropolitan areas</w:t>
      </w:r>
      <w:r w:rsidR="00831BCF" w:rsidRPr="0016276A">
        <w:t xml:space="preserve"> and </w:t>
      </w:r>
      <w:r w:rsidR="003C6ADA" w:rsidRPr="0016276A">
        <w:t>BP’s subsidiary – Reliance Petroleum (Centrel Pty Ltd) – operate</w:t>
      </w:r>
      <w:r w:rsidR="009229C6" w:rsidRPr="0016276A">
        <w:t>d (and continues to operate)</w:t>
      </w:r>
      <w:r w:rsidR="003C6ADA" w:rsidRPr="0016276A">
        <w:t xml:space="preserve"> approximately 250 sites in regional areas. </w:t>
      </w:r>
      <w:r w:rsidRPr="0016276A">
        <w:t xml:space="preserve">The remaining </w:t>
      </w:r>
      <w:r w:rsidR="00656D0B" w:rsidRPr="0016276A">
        <w:t>service stations supplied by BP</w:t>
      </w:r>
      <w:r w:rsidRPr="0016276A">
        <w:t xml:space="preserve"> </w:t>
      </w:r>
      <w:r w:rsidR="00FB16E0" w:rsidRPr="0016276A">
        <w:t xml:space="preserve">were (and remain) </w:t>
      </w:r>
      <w:r w:rsidRPr="0016276A">
        <w:t xml:space="preserve">independently owned and </w:t>
      </w:r>
      <w:r w:rsidR="009229C6" w:rsidRPr="0016276A">
        <w:t xml:space="preserve">typically </w:t>
      </w:r>
      <w:r w:rsidRPr="0016276A">
        <w:t>sell fuel under the BP brand.</w:t>
      </w:r>
    </w:p>
    <w:p w:rsidR="000C50E3" w:rsidRPr="0016276A" w:rsidRDefault="00581B75" w:rsidP="00CC0B2E">
      <w:pPr>
        <w:pStyle w:val="NormalParagraph"/>
        <w:ind w:hanging="502"/>
      </w:pPr>
      <w:bookmarkStart w:id="8" w:name="_Ref395015764"/>
      <w:r w:rsidRPr="0016276A">
        <w:t>At the time of the ACCC’s decision</w:t>
      </w:r>
      <w:r w:rsidR="00163C35" w:rsidRPr="0016276A">
        <w:t xml:space="preserve">, </w:t>
      </w:r>
      <w:r w:rsidR="000C50E3" w:rsidRPr="0016276A">
        <w:t xml:space="preserve">BP </w:t>
      </w:r>
      <w:r w:rsidR="00096458" w:rsidRPr="0016276A">
        <w:t>had</w:t>
      </w:r>
      <w:r w:rsidRPr="0016276A">
        <w:t xml:space="preserve"> </w:t>
      </w:r>
      <w:r w:rsidR="000C50E3" w:rsidRPr="0016276A">
        <w:t xml:space="preserve">16 company owned and company operated sites in metropolitan Adelaide (all of which </w:t>
      </w:r>
      <w:r w:rsidR="006F1623" w:rsidRPr="0016276A">
        <w:t>were to be</w:t>
      </w:r>
      <w:r w:rsidR="000C50E3" w:rsidRPr="0016276A">
        <w:t xml:space="preserve"> acquired by Peregrine as part of the </w:t>
      </w:r>
      <w:r w:rsidR="006F1623" w:rsidRPr="0016276A">
        <w:t>A</w:t>
      </w:r>
      <w:r w:rsidR="000C50E3" w:rsidRPr="0016276A">
        <w:t>cquisition)</w:t>
      </w:r>
      <w:r w:rsidRPr="0016276A">
        <w:t xml:space="preserve">. BP had also recently completed the sale to Peregrine of nine company owned and operated sites in regional South Australia as part of the Acquisition. </w:t>
      </w:r>
      <w:r w:rsidR="00A84814" w:rsidRPr="0016276A">
        <w:t xml:space="preserve">The ACCC’s decision considered the competitive impact of all aspects of the Acquisition - the </w:t>
      </w:r>
      <w:r w:rsidR="00435651" w:rsidRPr="0016276A">
        <w:t xml:space="preserve">proposed </w:t>
      </w:r>
      <w:r w:rsidR="00A84814" w:rsidRPr="0016276A">
        <w:t>acquisition of the 16 Adelaide sites, and the completed acquisition of the nine regional sites.</w:t>
      </w:r>
      <w:bookmarkEnd w:id="8"/>
    </w:p>
    <w:p w:rsidR="008E70B2" w:rsidRPr="0016276A" w:rsidRDefault="008E70B2" w:rsidP="00CC0B2E">
      <w:pPr>
        <w:pStyle w:val="NormalParagraph"/>
        <w:ind w:hanging="502"/>
      </w:pPr>
      <w:r w:rsidRPr="0016276A">
        <w:t xml:space="preserve">BP also </w:t>
      </w:r>
      <w:r w:rsidR="00096458" w:rsidRPr="0016276A">
        <w:t xml:space="preserve">owns and </w:t>
      </w:r>
      <w:r w:rsidRPr="0016276A">
        <w:t xml:space="preserve">operates three truck stop </w:t>
      </w:r>
      <w:r w:rsidR="00656D0B" w:rsidRPr="0016276A">
        <w:t xml:space="preserve">service stations </w:t>
      </w:r>
      <w:r w:rsidR="00CA5D49" w:rsidRPr="0016276A">
        <w:t>(dedicated facilities on major trucking routes)</w:t>
      </w:r>
      <w:r w:rsidR="005D68D4" w:rsidRPr="0016276A">
        <w:t xml:space="preserve"> in South Australia</w:t>
      </w:r>
      <w:r w:rsidRPr="0016276A">
        <w:t xml:space="preserve"> which </w:t>
      </w:r>
      <w:r w:rsidR="005045A6" w:rsidRPr="0016276A">
        <w:t>are</w:t>
      </w:r>
      <w:r w:rsidRPr="0016276A">
        <w:t xml:space="preserve"> not part of the Acquisition.</w:t>
      </w:r>
      <w:r w:rsidR="00D53945" w:rsidRPr="0016276A">
        <w:t xml:space="preserve"> Other than these truck stop sites, </w:t>
      </w:r>
      <w:r w:rsidR="00656D0B" w:rsidRPr="0016276A">
        <w:t xml:space="preserve">following the Acquisition </w:t>
      </w:r>
      <w:r w:rsidR="00D53945" w:rsidRPr="0016276A">
        <w:t xml:space="preserve">BP would have no company owned and </w:t>
      </w:r>
      <w:r w:rsidR="00846CD3" w:rsidRPr="0016276A">
        <w:t xml:space="preserve">operated </w:t>
      </w:r>
      <w:r w:rsidR="00D53945" w:rsidRPr="0016276A">
        <w:t>sites remaining within South Australia.</w:t>
      </w:r>
    </w:p>
    <w:p w:rsidR="000C50E3" w:rsidRPr="0016276A" w:rsidRDefault="000C50E3" w:rsidP="00CC0B2E">
      <w:pPr>
        <w:pStyle w:val="NormalParagraph"/>
        <w:ind w:hanging="502"/>
      </w:pPr>
      <w:r w:rsidRPr="0016276A">
        <w:t>BP also supplies</w:t>
      </w:r>
      <w:r w:rsidR="00632B57" w:rsidRPr="0016276A">
        <w:t xml:space="preserve"> fuel on a wholesale basis to</w:t>
      </w:r>
      <w:r w:rsidRPr="0016276A">
        <w:t xml:space="preserve"> four independent dealers (other than Peregrine) in metropolitan Adelaide. One of these dealers operate</w:t>
      </w:r>
      <w:r w:rsidR="00F43616" w:rsidRPr="0016276A">
        <w:t>d</w:t>
      </w:r>
      <w:r w:rsidRPr="0016276A">
        <w:t xml:space="preserve"> </w:t>
      </w:r>
      <w:r w:rsidR="00F14B53" w:rsidRPr="0016276A">
        <w:t xml:space="preserve">nine </w:t>
      </w:r>
      <w:r w:rsidRPr="0016276A">
        <w:t>BP-branded sites</w:t>
      </w:r>
      <w:r w:rsidR="00F14B53" w:rsidRPr="0016276A">
        <w:t xml:space="preserve"> in Adelaide</w:t>
      </w:r>
      <w:r w:rsidR="003B4081" w:rsidRPr="0016276A">
        <w:t xml:space="preserve"> </w:t>
      </w:r>
      <w:r w:rsidR="00A84814" w:rsidRPr="0016276A">
        <w:t>at the time of the ACCC’s decision</w:t>
      </w:r>
      <w:r w:rsidR="00810787" w:rsidRPr="0016276A">
        <w:t xml:space="preserve"> (see </w:t>
      </w:r>
      <w:r w:rsidR="00C1039B" w:rsidRPr="0016276A">
        <w:t xml:space="preserve">paragraph </w:t>
      </w:r>
      <w:r w:rsidR="00810787" w:rsidRPr="0016276A">
        <w:fldChar w:fldCharType="begin"/>
      </w:r>
      <w:r w:rsidR="00810787" w:rsidRPr="0016276A">
        <w:instrText xml:space="preserve"> REF _Ref380741568 \r \h </w:instrText>
      </w:r>
      <w:r w:rsidR="0016276A">
        <w:instrText xml:space="preserve"> \* MERGEFORMAT </w:instrText>
      </w:r>
      <w:r w:rsidR="00810787" w:rsidRPr="0016276A">
        <w:fldChar w:fldCharType="separate"/>
      </w:r>
      <w:r w:rsidR="00F126FE">
        <w:t>48</w:t>
      </w:r>
      <w:r w:rsidR="00810787" w:rsidRPr="0016276A">
        <w:fldChar w:fldCharType="end"/>
      </w:r>
      <w:r w:rsidR="00810787" w:rsidRPr="0016276A">
        <w:t xml:space="preserve"> </w:t>
      </w:r>
      <w:r w:rsidR="00810787" w:rsidRPr="0016276A">
        <w:fldChar w:fldCharType="begin"/>
      </w:r>
      <w:r w:rsidR="00810787" w:rsidRPr="0016276A">
        <w:instrText xml:space="preserve"> REF _Ref380741568 \p \h </w:instrText>
      </w:r>
      <w:r w:rsidR="0016276A">
        <w:instrText xml:space="preserve"> \* MERGEFORMAT </w:instrText>
      </w:r>
      <w:r w:rsidR="00810787" w:rsidRPr="0016276A">
        <w:fldChar w:fldCharType="separate"/>
      </w:r>
      <w:r w:rsidR="00F126FE">
        <w:t>below</w:t>
      </w:r>
      <w:r w:rsidR="00810787" w:rsidRPr="0016276A">
        <w:fldChar w:fldCharType="end"/>
      </w:r>
      <w:r w:rsidR="00810787" w:rsidRPr="0016276A">
        <w:t>)</w:t>
      </w:r>
      <w:r w:rsidRPr="0016276A">
        <w:t>, and the other three operate</w:t>
      </w:r>
      <w:r w:rsidR="00F43616" w:rsidRPr="0016276A">
        <w:t>d</w:t>
      </w:r>
      <w:r w:rsidRPr="0016276A">
        <w:t xml:space="preserve"> a single site each. Supply to these independent dealers </w:t>
      </w:r>
      <w:r w:rsidR="00E04058" w:rsidRPr="0016276A">
        <w:t xml:space="preserve">was not </w:t>
      </w:r>
      <w:r w:rsidRPr="0016276A">
        <w:t xml:space="preserve">affected by </w:t>
      </w:r>
      <w:r w:rsidR="004721B6" w:rsidRPr="0016276A">
        <w:t xml:space="preserve">the </w:t>
      </w:r>
      <w:r w:rsidR="00E04058" w:rsidRPr="0016276A">
        <w:t>A</w:t>
      </w:r>
      <w:r w:rsidRPr="0016276A">
        <w:t>cquisition.</w:t>
      </w:r>
    </w:p>
    <w:p w:rsidR="009950A9" w:rsidRPr="0016276A" w:rsidRDefault="009950A9" w:rsidP="00737860">
      <w:pPr>
        <w:pStyle w:val="Heading4"/>
      </w:pPr>
      <w:r w:rsidRPr="0016276A">
        <w:t>Caltex Australia</w:t>
      </w:r>
    </w:p>
    <w:p w:rsidR="00821EC1" w:rsidRPr="0016276A" w:rsidRDefault="0034156F" w:rsidP="00DB23C7">
      <w:pPr>
        <w:pStyle w:val="NormalParagraph"/>
        <w:ind w:hanging="502"/>
      </w:pPr>
      <w:r w:rsidRPr="0016276A">
        <w:t>Caltex Australia Petroleum Ltd (together</w:t>
      </w:r>
      <w:r w:rsidR="00B22B7C" w:rsidRPr="0016276A">
        <w:t xml:space="preserve"> with its related bodies corporate</w:t>
      </w:r>
      <w:r w:rsidRPr="0016276A">
        <w:t xml:space="preserve">, </w:t>
      </w:r>
      <w:r w:rsidRPr="0016276A">
        <w:rPr>
          <w:b/>
        </w:rPr>
        <w:t>Caltex</w:t>
      </w:r>
      <w:r w:rsidRPr="0016276A">
        <w:t xml:space="preserve">) </w:t>
      </w:r>
      <w:r w:rsidR="00B22B7C" w:rsidRPr="0016276A">
        <w:t>is a vertically integrated refiner-</w:t>
      </w:r>
      <w:r w:rsidR="00737860" w:rsidRPr="0016276A">
        <w:t>wholesaler</w:t>
      </w:r>
      <w:r w:rsidR="00B22B7C" w:rsidRPr="0016276A">
        <w:t xml:space="preserve"> of petrol, diesel and LPG.</w:t>
      </w:r>
      <w:r w:rsidR="00A05F87" w:rsidRPr="0016276A">
        <w:t xml:space="preserve"> </w:t>
      </w:r>
      <w:r w:rsidR="00821EC1" w:rsidRPr="0016276A">
        <w:t xml:space="preserve">It owns the </w:t>
      </w:r>
      <w:r w:rsidR="00821EC1" w:rsidRPr="0016276A">
        <w:lastRenderedPageBreak/>
        <w:t>Kurnell refinery</w:t>
      </w:r>
      <w:r w:rsidR="00821EC1" w:rsidRPr="0016276A">
        <w:rPr>
          <w:rStyle w:val="FootnoteReference"/>
          <w:sz w:val="22"/>
        </w:rPr>
        <w:footnoteReference w:id="2"/>
      </w:r>
      <w:r w:rsidR="00821EC1" w:rsidRPr="0016276A">
        <w:t xml:space="preserve"> in Sydney and the Lytton refinery in Brisbane, and owns or operates 15 fuel </w:t>
      </w:r>
      <w:r w:rsidR="00821EC1" w:rsidRPr="0016276A">
        <w:rPr>
          <w:sz w:val="23"/>
          <w:szCs w:val="23"/>
        </w:rPr>
        <w:t>t</w:t>
      </w:r>
      <w:r w:rsidR="00821EC1" w:rsidRPr="0016276A">
        <w:t>erminals located across Australia.</w:t>
      </w:r>
    </w:p>
    <w:p w:rsidR="002D3786" w:rsidRPr="0016276A" w:rsidRDefault="00821EC1" w:rsidP="00DB23C7">
      <w:pPr>
        <w:pStyle w:val="NormalParagraph"/>
        <w:ind w:hanging="502"/>
      </w:pPr>
      <w:r w:rsidRPr="0016276A">
        <w:t xml:space="preserve">Caltex </w:t>
      </w:r>
      <w:r w:rsidR="004C1CE0" w:rsidRPr="0016276A">
        <w:t xml:space="preserve">supplies </w:t>
      </w:r>
      <w:r w:rsidRPr="0016276A">
        <w:t>petrol, diesel and LPG on a wholesale basis to customers including its own retail sites</w:t>
      </w:r>
      <w:r w:rsidR="00D83B2D" w:rsidRPr="0016276A">
        <w:t>, Woolworths,</w:t>
      </w:r>
      <w:r w:rsidRPr="0016276A">
        <w:t xml:space="preserve"> </w:t>
      </w:r>
      <w:r w:rsidRPr="0016276A">
        <w:rPr>
          <w:rFonts w:cs="Arial"/>
          <w:color w:val="000000"/>
        </w:rPr>
        <w:t>and</w:t>
      </w:r>
      <w:r w:rsidRPr="0016276A">
        <w:t xml:space="preserve"> independent fuel retailers. </w:t>
      </w:r>
      <w:r w:rsidR="00A05F87" w:rsidRPr="0016276A">
        <w:t xml:space="preserve">Caltex has a national network of </w:t>
      </w:r>
      <w:r w:rsidR="008834A8" w:rsidRPr="0016276A">
        <w:t xml:space="preserve">approximately 1900 </w:t>
      </w:r>
      <w:r w:rsidR="00A05F87" w:rsidRPr="0016276A">
        <w:t>branded or co-branded retail service station sites</w:t>
      </w:r>
      <w:r w:rsidR="008834A8" w:rsidRPr="0016276A">
        <w:t>, including 631 sites that are co-branded with Woolworths</w:t>
      </w:r>
      <w:r w:rsidR="00C739DA" w:rsidRPr="0016276A">
        <w:t>.</w:t>
      </w:r>
    </w:p>
    <w:p w:rsidR="0066376F" w:rsidRPr="0016276A" w:rsidRDefault="00581B75" w:rsidP="00DB23C7">
      <w:pPr>
        <w:pStyle w:val="NormalParagraph"/>
        <w:ind w:hanging="502"/>
      </w:pPr>
      <w:r w:rsidRPr="0016276A">
        <w:t>At the time of the ACCC’s decision</w:t>
      </w:r>
      <w:r w:rsidR="0066376F" w:rsidRPr="0016276A">
        <w:t xml:space="preserve">, </w:t>
      </w:r>
      <w:r w:rsidR="00D83B2D" w:rsidRPr="0016276A">
        <w:t xml:space="preserve">Caltex set the prices at </w:t>
      </w:r>
      <w:r w:rsidR="0066376F" w:rsidRPr="0016276A">
        <w:t>21</w:t>
      </w:r>
      <w:r w:rsidR="00D83B2D" w:rsidRPr="0016276A">
        <w:t xml:space="preserve"> fuel retail sites in metropolitan Adelaide. These sites were operated (and prices at these sites were set) independently of the 33 Caltex/Woolworths sites in Adelaide, </w:t>
      </w:r>
      <w:r w:rsidR="00656D0B" w:rsidRPr="0016276A">
        <w:t xml:space="preserve">which are </w:t>
      </w:r>
      <w:r w:rsidR="00D83B2D" w:rsidRPr="0016276A">
        <w:t>operated by Woolworths.</w:t>
      </w:r>
    </w:p>
    <w:p w:rsidR="00215B32" w:rsidRPr="0016276A" w:rsidRDefault="00215B32" w:rsidP="00215B32">
      <w:pPr>
        <w:pStyle w:val="Heading3"/>
      </w:pPr>
      <w:r w:rsidRPr="0016276A">
        <w:t>Industry background</w:t>
      </w:r>
    </w:p>
    <w:p w:rsidR="008F53FF" w:rsidRPr="0016276A" w:rsidRDefault="00D17BC2" w:rsidP="00CC0B2E">
      <w:pPr>
        <w:pStyle w:val="NormalParagraph"/>
        <w:ind w:hanging="502"/>
      </w:pPr>
      <w:bookmarkStart w:id="9" w:name="_Ref392159535"/>
      <w:r w:rsidRPr="0016276A">
        <w:t xml:space="preserve">As described above, Peregrine is a retailer of fuel in South Australia, while BP is both a retailer and wholesaler of fuel in South Australia. </w:t>
      </w:r>
    </w:p>
    <w:bookmarkEnd w:id="9"/>
    <w:p w:rsidR="004C22C5" w:rsidRPr="0016276A" w:rsidRDefault="00D17BC2" w:rsidP="00CC0B2E">
      <w:pPr>
        <w:pStyle w:val="NormalParagraph"/>
        <w:ind w:hanging="502"/>
      </w:pPr>
      <w:r w:rsidRPr="0016276A">
        <w:t xml:space="preserve">This section provides background information about the wholesale and retail </w:t>
      </w:r>
      <w:r w:rsidR="00002C1A" w:rsidRPr="0016276A">
        <w:t>aspects</w:t>
      </w:r>
      <w:r w:rsidRPr="0016276A">
        <w:t xml:space="preserve"> of Australia’s petrol industry.</w:t>
      </w:r>
      <w:r w:rsidR="004C22C5" w:rsidRPr="0016276A">
        <w:t xml:space="preserve"> </w:t>
      </w:r>
      <w:r w:rsidR="00175990" w:rsidRPr="0016276A">
        <w:t>While other automotive fuel products (diesel, LPG) are sold in South Australia, the ACCC’s review focused primarily on the retailing of petrol. This is discussed further under ‘market definition’ (paragraph </w:t>
      </w:r>
      <w:r w:rsidR="00175990" w:rsidRPr="0016276A">
        <w:fldChar w:fldCharType="begin"/>
      </w:r>
      <w:r w:rsidR="00175990" w:rsidRPr="0016276A">
        <w:instrText xml:space="preserve"> REF _Ref392168318 \r \p \h </w:instrText>
      </w:r>
      <w:r w:rsidR="0016276A">
        <w:instrText xml:space="preserve"> \* MERGEFORMAT </w:instrText>
      </w:r>
      <w:r w:rsidR="00175990" w:rsidRPr="0016276A">
        <w:fldChar w:fldCharType="separate"/>
      </w:r>
      <w:r w:rsidR="00F126FE">
        <w:t>79 below</w:t>
      </w:r>
      <w:r w:rsidR="00175990" w:rsidRPr="0016276A">
        <w:fldChar w:fldCharType="end"/>
      </w:r>
      <w:r w:rsidR="00175990" w:rsidRPr="0016276A">
        <w:t>).</w:t>
      </w:r>
    </w:p>
    <w:p w:rsidR="00D17BC2" w:rsidRPr="0016276A" w:rsidRDefault="007E7F1F" w:rsidP="00002C1A">
      <w:pPr>
        <w:pStyle w:val="Heading4"/>
        <w:keepLines/>
      </w:pPr>
      <w:r w:rsidRPr="0016276A">
        <w:t xml:space="preserve">Petrol </w:t>
      </w:r>
      <w:r w:rsidR="00810787" w:rsidRPr="0016276A">
        <w:t>w</w:t>
      </w:r>
      <w:r w:rsidR="00D17BC2" w:rsidRPr="0016276A">
        <w:t>holesale</w:t>
      </w:r>
    </w:p>
    <w:p w:rsidR="006F126A" w:rsidRPr="0016276A" w:rsidRDefault="00A128F5" w:rsidP="00CC0B2E">
      <w:pPr>
        <w:pStyle w:val="NormalParagraph"/>
        <w:ind w:hanging="502"/>
      </w:pPr>
      <w:r w:rsidRPr="0016276A">
        <w:t>W</w:t>
      </w:r>
      <w:r w:rsidR="006F126A" w:rsidRPr="0016276A">
        <w:t xml:space="preserve">holesale </w:t>
      </w:r>
      <w:r w:rsidRPr="0016276A">
        <w:t xml:space="preserve">supply </w:t>
      </w:r>
      <w:r w:rsidR="00656D0B" w:rsidRPr="0016276A">
        <w:t xml:space="preserve">of </w:t>
      </w:r>
      <w:r w:rsidR="005B0CA8" w:rsidRPr="0016276A">
        <w:t xml:space="preserve">petrol </w:t>
      </w:r>
      <w:r w:rsidRPr="0016276A">
        <w:t xml:space="preserve">is sourced </w:t>
      </w:r>
      <w:r w:rsidR="006F126A" w:rsidRPr="0016276A">
        <w:t xml:space="preserve">from either domestic refineries or from product imported </w:t>
      </w:r>
      <w:r w:rsidR="00381635" w:rsidRPr="0016276A">
        <w:t xml:space="preserve">via </w:t>
      </w:r>
      <w:r w:rsidR="006F126A" w:rsidRPr="0016276A">
        <w:t xml:space="preserve">port terminals. The </w:t>
      </w:r>
      <w:r w:rsidR="00543EF7" w:rsidRPr="0016276A">
        <w:t xml:space="preserve">two </w:t>
      </w:r>
      <w:r w:rsidR="006F126A" w:rsidRPr="0016276A">
        <w:t xml:space="preserve">broad categories of wholesale </w:t>
      </w:r>
      <w:r w:rsidR="00381635" w:rsidRPr="0016276A">
        <w:t xml:space="preserve">market </w:t>
      </w:r>
      <w:r w:rsidR="006F126A" w:rsidRPr="0016276A">
        <w:t>participant</w:t>
      </w:r>
      <w:r w:rsidR="00381635" w:rsidRPr="0016276A">
        <w:t>s</w:t>
      </w:r>
      <w:r w:rsidR="006F126A" w:rsidRPr="0016276A">
        <w:t xml:space="preserve"> are:</w:t>
      </w:r>
    </w:p>
    <w:p w:rsidR="006F126A" w:rsidRPr="0016276A" w:rsidRDefault="006F126A" w:rsidP="0068571F">
      <w:pPr>
        <w:pStyle w:val="ABCList"/>
        <w:numPr>
          <w:ilvl w:val="0"/>
          <w:numId w:val="13"/>
        </w:numPr>
      </w:pPr>
      <w:r w:rsidRPr="0016276A">
        <w:t xml:space="preserve">Refiner-wholesalers: BP, Caltex, Mobil and </w:t>
      </w:r>
      <w:r w:rsidR="00CD4897" w:rsidRPr="0016276A">
        <w:t xml:space="preserve">the </w:t>
      </w:r>
      <w:r w:rsidRPr="0016276A">
        <w:t>Shell</w:t>
      </w:r>
      <w:r w:rsidR="00CD4897" w:rsidRPr="0016276A">
        <w:t xml:space="preserve"> Company of Australia Ltd (</w:t>
      </w:r>
      <w:r w:rsidR="00CD4897" w:rsidRPr="0016276A">
        <w:rPr>
          <w:b/>
        </w:rPr>
        <w:t>Shell</w:t>
      </w:r>
      <w:r w:rsidR="00CD4897" w:rsidRPr="0016276A">
        <w:t>)</w:t>
      </w:r>
      <w:r w:rsidRPr="0016276A">
        <w:t xml:space="preserve">. These companies supply petrol which has been produced in domestic refineries, bought from other refiner-wholesalers through ‘buy-sell’ transactions, </w:t>
      </w:r>
      <w:r w:rsidR="00810787" w:rsidRPr="0016276A">
        <w:t xml:space="preserve">or </w:t>
      </w:r>
      <w:r w:rsidRPr="0016276A">
        <w:t>imported.</w:t>
      </w:r>
    </w:p>
    <w:p w:rsidR="006F126A" w:rsidRPr="0016276A" w:rsidRDefault="006F126A" w:rsidP="007C40E8">
      <w:pPr>
        <w:pStyle w:val="ABCList"/>
      </w:pPr>
      <w:r w:rsidRPr="0016276A">
        <w:t>Independent wholesalers: including Neumann, Ausfuel (now both owned by Puma Energy), United</w:t>
      </w:r>
      <w:r w:rsidR="00922D74" w:rsidRPr="0016276A">
        <w:t xml:space="preserve"> Petroleum (</w:t>
      </w:r>
      <w:r w:rsidR="00922D74" w:rsidRPr="0016276A">
        <w:rPr>
          <w:b/>
        </w:rPr>
        <w:t>United</w:t>
      </w:r>
      <w:r w:rsidR="00922D74" w:rsidRPr="0016276A">
        <w:t>)</w:t>
      </w:r>
      <w:r w:rsidRPr="0016276A">
        <w:t xml:space="preserve"> and Liberty. These companies source petrol from Australian refiner-wholesalers and in some cases from overseas refineries.</w:t>
      </w:r>
    </w:p>
    <w:p w:rsidR="006F126A" w:rsidRPr="0016276A" w:rsidRDefault="006F126A" w:rsidP="00CC0B2E">
      <w:pPr>
        <w:pStyle w:val="NormalParagraph"/>
        <w:ind w:hanging="502"/>
      </w:pPr>
      <w:r w:rsidRPr="0016276A">
        <w:t>Refiner-wholesalers and independent wholesalers are the main distributors of petrol in the wholesale sector to a number of other companies including:</w:t>
      </w:r>
    </w:p>
    <w:p w:rsidR="006F126A" w:rsidRPr="0016276A" w:rsidRDefault="006F126A" w:rsidP="0068571F">
      <w:pPr>
        <w:pStyle w:val="ABCList"/>
        <w:numPr>
          <w:ilvl w:val="0"/>
          <w:numId w:val="14"/>
        </w:numPr>
      </w:pPr>
      <w:r w:rsidRPr="0016276A">
        <w:t>their company owned and operated retail sites, franchisees and commission agents</w:t>
      </w:r>
    </w:p>
    <w:p w:rsidR="006F126A" w:rsidRPr="0016276A" w:rsidRDefault="006F126A" w:rsidP="007C40E8">
      <w:pPr>
        <w:pStyle w:val="ABCList"/>
      </w:pPr>
      <w:r w:rsidRPr="0016276A">
        <w:t>independent retailers</w:t>
      </w:r>
      <w:r w:rsidR="00626FAD" w:rsidRPr="0016276A">
        <w:t xml:space="preserve"> (such as Peregrine)</w:t>
      </w:r>
      <w:r w:rsidRPr="0016276A">
        <w:t>, both branded and unbranded</w:t>
      </w:r>
    </w:p>
    <w:p w:rsidR="006F126A" w:rsidRPr="0016276A" w:rsidRDefault="006F126A" w:rsidP="007C40E8">
      <w:pPr>
        <w:pStyle w:val="ABCList"/>
      </w:pPr>
      <w:r w:rsidRPr="0016276A">
        <w:t>independent wholesalers</w:t>
      </w:r>
    </w:p>
    <w:p w:rsidR="006F126A" w:rsidRPr="0016276A" w:rsidRDefault="006F126A" w:rsidP="007C40E8">
      <w:pPr>
        <w:pStyle w:val="ABCList"/>
      </w:pPr>
      <w:r w:rsidRPr="0016276A">
        <w:t>independent distributors and/or end-users such as mines and large commercial entities.</w:t>
      </w:r>
    </w:p>
    <w:p w:rsidR="00215B32" w:rsidRPr="0016276A" w:rsidRDefault="007E7F1F" w:rsidP="00D17BC2">
      <w:pPr>
        <w:pStyle w:val="Heading4"/>
      </w:pPr>
      <w:r w:rsidRPr="0016276A">
        <w:lastRenderedPageBreak/>
        <w:t xml:space="preserve">Petrol </w:t>
      </w:r>
      <w:r w:rsidR="00215B32" w:rsidRPr="0016276A">
        <w:t>retail</w:t>
      </w:r>
    </w:p>
    <w:p w:rsidR="00215B32" w:rsidRPr="0016276A" w:rsidRDefault="00215B32" w:rsidP="00CC0B2E">
      <w:pPr>
        <w:pStyle w:val="NormalParagraph"/>
        <w:ind w:hanging="502"/>
      </w:pPr>
      <w:r w:rsidRPr="0016276A">
        <w:t xml:space="preserve">Service station sites supply </w:t>
      </w:r>
      <w:r w:rsidR="00163DC0" w:rsidRPr="0016276A">
        <w:t xml:space="preserve">fuel </w:t>
      </w:r>
      <w:r w:rsidRPr="0016276A">
        <w:t>to retail customers (individuals and businesses). There are a range of different ownership structures of service stations broadly falling into the following categories:</w:t>
      </w:r>
    </w:p>
    <w:p w:rsidR="00215B32" w:rsidRPr="0016276A" w:rsidRDefault="00215B32" w:rsidP="0068571F">
      <w:pPr>
        <w:pStyle w:val="ABCList"/>
        <w:numPr>
          <w:ilvl w:val="0"/>
          <w:numId w:val="15"/>
        </w:numPr>
      </w:pPr>
      <w:r w:rsidRPr="0016276A">
        <w:t>supermarket-operated sites (Coles Express and Woolworths)</w:t>
      </w:r>
    </w:p>
    <w:p w:rsidR="00215B32" w:rsidRPr="0016276A" w:rsidRDefault="00215B32" w:rsidP="00923D36">
      <w:pPr>
        <w:pStyle w:val="ABCList"/>
      </w:pPr>
      <w:r w:rsidRPr="0016276A">
        <w:t>refiner-</w:t>
      </w:r>
      <w:r w:rsidR="00137730" w:rsidRPr="0016276A">
        <w:t>wholesaler</w:t>
      </w:r>
      <w:r w:rsidRPr="0016276A">
        <w:t xml:space="preserve"> company owned </w:t>
      </w:r>
      <w:r w:rsidR="00496F35" w:rsidRPr="0016276A">
        <w:t xml:space="preserve">and operated </w:t>
      </w:r>
      <w:r w:rsidRPr="0016276A">
        <w:t>sites</w:t>
      </w:r>
      <w:r w:rsidR="00101C5E" w:rsidRPr="0016276A">
        <w:t xml:space="preserve"> (BP</w:t>
      </w:r>
      <w:r w:rsidR="00EC20F4" w:rsidRPr="0016276A">
        <w:t xml:space="preserve"> and</w:t>
      </w:r>
      <w:r w:rsidR="00101C5E" w:rsidRPr="0016276A">
        <w:t xml:space="preserve"> Caltex)</w:t>
      </w:r>
    </w:p>
    <w:p w:rsidR="00215B32" w:rsidRPr="0016276A" w:rsidRDefault="00215B32" w:rsidP="00923D36">
      <w:pPr>
        <w:pStyle w:val="ABCList"/>
      </w:pPr>
      <w:r w:rsidRPr="0016276A">
        <w:t>refiner-</w:t>
      </w:r>
      <w:r w:rsidR="00137730" w:rsidRPr="0016276A">
        <w:t>wholesaler</w:t>
      </w:r>
      <w:r w:rsidRPr="0016276A">
        <w:t xml:space="preserve"> franchisee </w:t>
      </w:r>
      <w:r w:rsidR="00CB57A2" w:rsidRPr="0016276A">
        <w:t xml:space="preserve">and commission agent </w:t>
      </w:r>
      <w:r w:rsidRPr="0016276A">
        <w:t xml:space="preserve">sites </w:t>
      </w:r>
      <w:r w:rsidR="008B387C" w:rsidRPr="0016276A">
        <w:t>(</w:t>
      </w:r>
      <w:r w:rsidR="00EC20F4" w:rsidRPr="0016276A">
        <w:t xml:space="preserve">BP and </w:t>
      </w:r>
      <w:r w:rsidR="008B387C" w:rsidRPr="0016276A">
        <w:t>Caltex)</w:t>
      </w:r>
    </w:p>
    <w:p w:rsidR="00215B32" w:rsidRPr="0016276A" w:rsidRDefault="00215B32" w:rsidP="00923D36">
      <w:pPr>
        <w:pStyle w:val="ABCList"/>
      </w:pPr>
      <w:r w:rsidRPr="0016276A">
        <w:t>refiner-</w:t>
      </w:r>
      <w:r w:rsidR="00137730" w:rsidRPr="0016276A">
        <w:t>wholesaler</w:t>
      </w:r>
      <w:r w:rsidRPr="0016276A">
        <w:t xml:space="preserve"> branded but independently operated sites </w:t>
      </w:r>
    </w:p>
    <w:p w:rsidR="00215B32" w:rsidRPr="0016276A" w:rsidRDefault="00215B32" w:rsidP="00923D36">
      <w:pPr>
        <w:pStyle w:val="ABCList"/>
      </w:pPr>
      <w:r w:rsidRPr="0016276A">
        <w:t xml:space="preserve">independently owned and/or operated sites </w:t>
      </w:r>
      <w:r w:rsidR="00474D0F" w:rsidRPr="0016276A">
        <w:t xml:space="preserve">(not refiner-wholesaler branded) </w:t>
      </w:r>
      <w:r w:rsidR="00163DC0" w:rsidRPr="0016276A">
        <w:t xml:space="preserve"> - </w:t>
      </w:r>
      <w:r w:rsidRPr="0016276A">
        <w:t>from large independent chains (e.g. United, Neumann) to single-site operations.</w:t>
      </w:r>
    </w:p>
    <w:p w:rsidR="00215B32" w:rsidRPr="0016276A" w:rsidRDefault="00215B32" w:rsidP="00CC0B2E">
      <w:pPr>
        <w:pStyle w:val="NormalParagraph"/>
        <w:ind w:hanging="502"/>
      </w:pPr>
      <w:r w:rsidRPr="0016276A">
        <w:t>Each refiner-</w:t>
      </w:r>
      <w:r w:rsidR="00616590" w:rsidRPr="0016276A">
        <w:t>wholesaler</w:t>
      </w:r>
      <w:r w:rsidRPr="0016276A">
        <w:t xml:space="preserve"> has direct control over the board price at its company owned</w:t>
      </w:r>
      <w:r w:rsidR="00496F35" w:rsidRPr="0016276A">
        <w:t xml:space="preserve"> and operated</w:t>
      </w:r>
      <w:r w:rsidRPr="0016276A">
        <w:t xml:space="preserve"> sites. </w:t>
      </w:r>
      <w:r w:rsidR="001971C7" w:rsidRPr="0016276A">
        <w:t xml:space="preserve">Caltex sets the board price of petrol and diesel at its commission agent sites and also </w:t>
      </w:r>
      <w:r w:rsidR="008D6E4C" w:rsidRPr="0016276A">
        <w:t>has the ability to</w:t>
      </w:r>
      <w:r w:rsidR="001971C7" w:rsidRPr="0016276A">
        <w:t xml:space="preserve"> exert a substantial</w:t>
      </w:r>
      <w:r w:rsidR="008D6E4C" w:rsidRPr="0016276A">
        <w:t xml:space="preserve"> degree of</w:t>
      </w:r>
      <w:r w:rsidR="001971C7" w:rsidRPr="0016276A">
        <w:t xml:space="preserve"> influence over the board price of petrol and diesel at some Caltex branded sites through the provision of price support.</w:t>
      </w:r>
    </w:p>
    <w:p w:rsidR="00215B32" w:rsidRPr="0016276A" w:rsidRDefault="00215B32" w:rsidP="00CC0B2E">
      <w:pPr>
        <w:pStyle w:val="NormalParagraph"/>
        <w:ind w:hanging="502"/>
      </w:pPr>
      <w:r w:rsidRPr="0016276A">
        <w:t>At independent sites (including refiner-</w:t>
      </w:r>
      <w:r w:rsidR="00273ACF" w:rsidRPr="0016276A">
        <w:t xml:space="preserve">wholesaler </w:t>
      </w:r>
      <w:r w:rsidRPr="0016276A">
        <w:t>branded but independently owned and operated sites), the site owner/operator is responsible for setting the board price of petrol and diesel</w:t>
      </w:r>
      <w:r w:rsidR="00163DC0" w:rsidRPr="0016276A">
        <w:t>, not the refiner-</w:t>
      </w:r>
      <w:r w:rsidR="00273ACF" w:rsidRPr="0016276A">
        <w:t>wholesaler</w:t>
      </w:r>
      <w:r w:rsidRPr="0016276A">
        <w:t xml:space="preserve">. </w:t>
      </w:r>
    </w:p>
    <w:p w:rsidR="00215B32" w:rsidRPr="0016276A" w:rsidRDefault="00215B32" w:rsidP="00EF20AF">
      <w:pPr>
        <w:pStyle w:val="Heading4"/>
      </w:pPr>
      <w:r w:rsidRPr="0016276A">
        <w:t>Price Cycles</w:t>
      </w:r>
    </w:p>
    <w:p w:rsidR="00215B32" w:rsidRPr="0016276A" w:rsidRDefault="00215B32" w:rsidP="00CC0B2E">
      <w:pPr>
        <w:pStyle w:val="NormalParagraph"/>
        <w:ind w:hanging="502"/>
      </w:pPr>
      <w:r w:rsidRPr="0016276A">
        <w:t xml:space="preserve">Price cycles are a prominent feature of retail petrol prices in Australia’s largest cities. </w:t>
      </w:r>
      <w:r w:rsidRPr="0016276A">
        <w:rPr>
          <w:rFonts w:cs="Arial"/>
          <w:color w:val="000000"/>
        </w:rPr>
        <w:t xml:space="preserve">They are the outcome of the pricing policies of the </w:t>
      </w:r>
      <w:r w:rsidR="002F3245" w:rsidRPr="0016276A">
        <w:rPr>
          <w:rFonts w:cs="Arial"/>
          <w:color w:val="000000"/>
        </w:rPr>
        <w:t xml:space="preserve">petrol </w:t>
      </w:r>
      <w:r w:rsidRPr="0016276A">
        <w:rPr>
          <w:rFonts w:cs="Arial"/>
          <w:color w:val="000000"/>
        </w:rPr>
        <w:t>retailers.</w:t>
      </w:r>
    </w:p>
    <w:p w:rsidR="00215B32" w:rsidRPr="0016276A" w:rsidRDefault="00215B32" w:rsidP="00CC0B2E">
      <w:pPr>
        <w:pStyle w:val="NormalParagraph"/>
        <w:ind w:hanging="502"/>
      </w:pPr>
      <w:r w:rsidRPr="0016276A">
        <w:t>The price cycle has two distinct phases:</w:t>
      </w:r>
    </w:p>
    <w:p w:rsidR="00215B32" w:rsidRPr="0016276A" w:rsidRDefault="00215B32" w:rsidP="0068571F">
      <w:pPr>
        <w:pStyle w:val="ABCList"/>
        <w:numPr>
          <w:ilvl w:val="0"/>
          <w:numId w:val="16"/>
        </w:numPr>
      </w:pPr>
      <w:r w:rsidRPr="0016276A">
        <w:t xml:space="preserve">a relatively sharp increase in prices, generally over one </w:t>
      </w:r>
      <w:r w:rsidR="00D82603" w:rsidRPr="0016276A">
        <w:t xml:space="preserve">to three </w:t>
      </w:r>
      <w:r w:rsidRPr="0016276A">
        <w:t>days (the restoration phase)</w:t>
      </w:r>
    </w:p>
    <w:p w:rsidR="00215B32" w:rsidRPr="0016276A" w:rsidRDefault="00215B32" w:rsidP="0068571F">
      <w:pPr>
        <w:pStyle w:val="ABCList"/>
        <w:numPr>
          <w:ilvl w:val="0"/>
          <w:numId w:val="16"/>
        </w:numPr>
      </w:pPr>
      <w:r w:rsidRPr="0016276A">
        <w:t>a more prolonged phase of decreasing prices over the rest of the cycle (the discounting phase)</w:t>
      </w:r>
      <w:r w:rsidR="00C85A1B" w:rsidRPr="0016276A">
        <w:rPr>
          <w:rStyle w:val="FootnoteReference"/>
        </w:rPr>
        <w:footnoteReference w:id="3"/>
      </w:r>
      <w:r w:rsidRPr="0016276A">
        <w:t>.</w:t>
      </w:r>
    </w:p>
    <w:p w:rsidR="00215B32" w:rsidRPr="0016276A" w:rsidRDefault="00474D0F" w:rsidP="00CC0B2E">
      <w:pPr>
        <w:pStyle w:val="NormalParagraph"/>
        <w:ind w:hanging="502"/>
      </w:pPr>
      <w:r w:rsidRPr="0016276A">
        <w:t>I</w:t>
      </w:r>
      <w:r w:rsidR="000E57E4" w:rsidRPr="0016276A">
        <w:rPr>
          <w:rFonts w:cs="Arial"/>
          <w:color w:val="000000"/>
        </w:rPr>
        <w:t xml:space="preserve">n </w:t>
      </w:r>
      <w:r w:rsidR="000E57E4" w:rsidRPr="0016276A">
        <w:t>2012</w:t>
      </w:r>
      <w:r w:rsidR="000E57E4" w:rsidRPr="0016276A">
        <w:rPr>
          <w:rFonts w:cs="Arial"/>
          <w:color w:val="000000"/>
        </w:rPr>
        <w:t xml:space="preserve"> and 2013</w:t>
      </w:r>
      <w:r w:rsidRPr="0016276A">
        <w:rPr>
          <w:rFonts w:cs="Arial"/>
          <w:color w:val="000000"/>
        </w:rPr>
        <w:t>,</w:t>
      </w:r>
      <w:r w:rsidR="000E57E4" w:rsidRPr="0016276A">
        <w:rPr>
          <w:rFonts w:cs="Arial"/>
          <w:color w:val="000000"/>
        </w:rPr>
        <w:t xml:space="preserve"> price cycles in each Australian city generally moved independently of each other.</w:t>
      </w:r>
      <w:r w:rsidRPr="0016276A">
        <w:t xml:space="preserve"> This pattern is illustrated in </w:t>
      </w:r>
      <w:r w:rsidRPr="0016276A">
        <w:fldChar w:fldCharType="begin"/>
      </w:r>
      <w:r w:rsidRPr="0016276A">
        <w:instrText xml:space="preserve"> REF _Ref380070983 \h  \* MERGEFORMAT </w:instrText>
      </w:r>
      <w:r w:rsidRPr="0016276A">
        <w:fldChar w:fldCharType="separate"/>
      </w:r>
      <w:r w:rsidR="00F126FE" w:rsidRPr="0016276A">
        <w:t xml:space="preserve">Figure </w:t>
      </w:r>
      <w:r w:rsidR="00F126FE">
        <w:t>1</w:t>
      </w:r>
      <w:r w:rsidRPr="0016276A">
        <w:fldChar w:fldCharType="end"/>
      </w:r>
      <w:r w:rsidRPr="0016276A">
        <w:t>.</w:t>
      </w:r>
    </w:p>
    <w:p w:rsidR="000E57E4" w:rsidRPr="0016276A" w:rsidRDefault="000E57E4" w:rsidP="00626FAD">
      <w:pPr>
        <w:pStyle w:val="Caption"/>
      </w:pPr>
      <w:bookmarkStart w:id="10" w:name="_Ref380070983"/>
      <w:r w:rsidRPr="0016276A">
        <w:lastRenderedPageBreak/>
        <w:t xml:space="preserve">Figure </w:t>
      </w:r>
      <w:fldSimple w:instr=" SEQ Figure \* ARABIC ">
        <w:r w:rsidR="00F126FE">
          <w:rPr>
            <w:noProof/>
          </w:rPr>
          <w:t>1</w:t>
        </w:r>
      </w:fldSimple>
      <w:bookmarkEnd w:id="10"/>
      <w:r w:rsidRPr="0016276A">
        <w:t xml:space="preserve">: Illustration of price cycle: daily average retail </w:t>
      </w:r>
      <w:r w:rsidR="00101C5E" w:rsidRPr="0016276A">
        <w:t xml:space="preserve">regular unleaded </w:t>
      </w:r>
      <w:r w:rsidRPr="0016276A">
        <w:t>petrol prices in the five largest Australian cities: June 2013</w:t>
      </w:r>
      <w:r w:rsidRPr="0016276A">
        <w:rPr>
          <w:rStyle w:val="FootnoteReference"/>
          <w:b w:val="0"/>
        </w:rPr>
        <w:footnoteReference w:id="4"/>
      </w:r>
    </w:p>
    <w:p w:rsidR="000E57E4" w:rsidRPr="0016276A" w:rsidRDefault="00F126FE" w:rsidP="00626FAD">
      <w:pPr>
        <w:pStyle w:val="NormalParagraph"/>
        <w:numPr>
          <w:ilvl w:val="0"/>
          <w:numId w:val="0"/>
        </w:numPr>
        <w:ind w:left="360"/>
      </w:pPr>
      <w:r>
        <w:pict>
          <v:shape id="_x0000_i1026" type="#_x0000_t75" style="width:359.05pt;height:190.75pt">
            <v:imagedata r:id="rId10" o:title=""/>
          </v:shape>
        </w:pict>
      </w:r>
    </w:p>
    <w:p w:rsidR="00C61790" w:rsidRPr="0016276A" w:rsidRDefault="00C61790" w:rsidP="00C61790">
      <w:pPr>
        <w:pStyle w:val="Heading5"/>
        <w:rPr>
          <w:rFonts w:cs="Times New Roman"/>
        </w:rPr>
      </w:pPr>
      <w:r w:rsidRPr="0016276A">
        <w:t>Restoration phase behaviour</w:t>
      </w:r>
    </w:p>
    <w:p w:rsidR="007C2B78" w:rsidRPr="0016276A" w:rsidRDefault="00215B32" w:rsidP="00CC0B2E">
      <w:pPr>
        <w:pStyle w:val="NormalParagraph"/>
        <w:ind w:hanging="502"/>
      </w:pPr>
      <w:bookmarkStart w:id="11" w:name="_Ref380585631"/>
      <w:r w:rsidRPr="0016276A">
        <w:t xml:space="preserve">The </w:t>
      </w:r>
      <w:r w:rsidR="007C2B78" w:rsidRPr="0016276A">
        <w:t xml:space="preserve">restoration phase is generally initiated by </w:t>
      </w:r>
      <w:r w:rsidRPr="0016276A">
        <w:t>one or two of the major retailers substantially rais</w:t>
      </w:r>
      <w:r w:rsidR="007C2B78" w:rsidRPr="0016276A">
        <w:t xml:space="preserve">ing </w:t>
      </w:r>
      <w:r w:rsidRPr="0016276A">
        <w:t>prices at several retail sites</w:t>
      </w:r>
      <w:r w:rsidR="00496F35" w:rsidRPr="0016276A">
        <w:t xml:space="preserve"> in a city</w:t>
      </w:r>
      <w:r w:rsidR="00885669" w:rsidRPr="0016276A">
        <w:t xml:space="preserve"> (or in some cases all of their retail sites</w:t>
      </w:r>
      <w:r w:rsidR="00D91C23" w:rsidRPr="0016276A">
        <w:t xml:space="preserve"> in that city</w:t>
      </w:r>
      <w:r w:rsidR="00885669" w:rsidRPr="0016276A">
        <w:t>)</w:t>
      </w:r>
      <w:r w:rsidRPr="0016276A">
        <w:t xml:space="preserve"> and wait</w:t>
      </w:r>
      <w:r w:rsidR="007C2B78" w:rsidRPr="0016276A">
        <w:t>ing</w:t>
      </w:r>
      <w:r w:rsidRPr="0016276A">
        <w:t xml:space="preserve"> for</w:t>
      </w:r>
      <w:r w:rsidR="00802CAF" w:rsidRPr="0016276A">
        <w:t xml:space="preserve"> other </w:t>
      </w:r>
      <w:r w:rsidR="007C2B78" w:rsidRPr="0016276A">
        <w:t>r</w:t>
      </w:r>
      <w:r w:rsidR="00802CAF" w:rsidRPr="0016276A">
        <w:t xml:space="preserve">etailers </w:t>
      </w:r>
      <w:r w:rsidRPr="0016276A">
        <w:t xml:space="preserve">to respond. If other retailers respond to this move with similar increases, then the increased price </w:t>
      </w:r>
      <w:r w:rsidR="00CE13C7" w:rsidRPr="0016276A">
        <w:t xml:space="preserve">usually </w:t>
      </w:r>
      <w:r w:rsidRPr="0016276A">
        <w:t>spreads across the retail network</w:t>
      </w:r>
      <w:r w:rsidR="00F63EA1" w:rsidRPr="0016276A">
        <w:t>s within a city.</w:t>
      </w:r>
      <w:bookmarkEnd w:id="11"/>
    </w:p>
    <w:p w:rsidR="005E14A6" w:rsidRPr="0016276A" w:rsidRDefault="00215B32" w:rsidP="00CC0B2E">
      <w:pPr>
        <w:pStyle w:val="NormalParagraph"/>
        <w:ind w:hanging="502"/>
      </w:pPr>
      <w:r w:rsidRPr="0016276A">
        <w:rPr>
          <w:rFonts w:cs="Arial"/>
          <w:color w:val="000000"/>
        </w:rPr>
        <w:t xml:space="preserve"> </w:t>
      </w:r>
      <w:r w:rsidRPr="0016276A">
        <w:t xml:space="preserve">Some retailers follow shortly after the leader (or ‘first mover’) raises prices; others ‘lag’ further behind. </w:t>
      </w:r>
      <w:r w:rsidR="003E1DF8" w:rsidRPr="0016276A">
        <w:t xml:space="preserve">This is because there is a (short-term) incentive for individual retailers to delay their price response during the restoration phase of the price cycle, thereby gaining a temporary price advantage and temporarily increased sales. The risk from delaying is that </w:t>
      </w:r>
      <w:r w:rsidR="00621F26" w:rsidRPr="0016276A">
        <w:t>the first movers</w:t>
      </w:r>
      <w:r w:rsidR="005E14A6" w:rsidRPr="0016276A">
        <w:t xml:space="preserve"> </w:t>
      </w:r>
      <w:r w:rsidR="003E1DF8" w:rsidRPr="0016276A">
        <w:t xml:space="preserve">will </w:t>
      </w:r>
      <w:r w:rsidR="00885669" w:rsidRPr="0016276A">
        <w:rPr>
          <w:rFonts w:cs="Arial"/>
          <w:color w:val="000000"/>
        </w:rPr>
        <w:t>abandon their attempt to increase prices</w:t>
      </w:r>
      <w:r w:rsidR="00626FAD" w:rsidRPr="0016276A">
        <w:rPr>
          <w:rFonts w:cs="Arial"/>
          <w:color w:val="000000"/>
        </w:rPr>
        <w:t>,</w:t>
      </w:r>
      <w:r w:rsidR="00885669" w:rsidRPr="0016276A">
        <w:rPr>
          <w:rFonts w:cs="Arial"/>
          <w:color w:val="000000"/>
        </w:rPr>
        <w:t xml:space="preserve"> and return to pre</w:t>
      </w:r>
      <w:r w:rsidR="00F63EA1" w:rsidRPr="0016276A">
        <w:rPr>
          <w:rFonts w:cs="Arial"/>
          <w:color w:val="000000"/>
        </w:rPr>
        <w:noBreakHyphen/>
      </w:r>
      <w:r w:rsidR="00885669" w:rsidRPr="0016276A">
        <w:rPr>
          <w:rFonts w:cs="Arial"/>
          <w:color w:val="000000"/>
        </w:rPr>
        <w:t>restoration discounted prices.</w:t>
      </w:r>
      <w:r w:rsidR="003E08B9" w:rsidRPr="0016276A">
        <w:rPr>
          <w:rFonts w:cs="Arial"/>
          <w:color w:val="000000"/>
        </w:rPr>
        <w:t xml:space="preserve"> </w:t>
      </w:r>
      <w:r w:rsidR="005E14A6" w:rsidRPr="0016276A">
        <w:rPr>
          <w:rFonts w:cs="Arial"/>
          <w:color w:val="000000"/>
        </w:rPr>
        <w:t>The longer the delay in other retailers following an attempted restoration, the greater the risk that th</w:t>
      </w:r>
      <w:r w:rsidR="00E21AAA" w:rsidRPr="0016276A">
        <w:rPr>
          <w:rFonts w:cs="Arial"/>
          <w:color w:val="000000"/>
        </w:rPr>
        <w:t>ose first movers will abandon their attempt.</w:t>
      </w:r>
      <w:r w:rsidR="00944936" w:rsidRPr="0016276A">
        <w:rPr>
          <w:rFonts w:cs="Arial"/>
          <w:color w:val="000000"/>
        </w:rPr>
        <w:t xml:space="preserve"> The ACCC refers to an abandoned attempt at a restoration</w:t>
      </w:r>
      <w:r w:rsidR="00FA4C22" w:rsidRPr="0016276A">
        <w:rPr>
          <w:rFonts w:cs="Arial"/>
          <w:color w:val="000000"/>
        </w:rPr>
        <w:t>,</w:t>
      </w:r>
      <w:r w:rsidR="00944936" w:rsidRPr="0016276A">
        <w:rPr>
          <w:rFonts w:cs="Arial"/>
          <w:color w:val="000000"/>
        </w:rPr>
        <w:t xml:space="preserve"> where prices revert to the pre-restoration attempt levels</w:t>
      </w:r>
      <w:r w:rsidR="00FA4C22" w:rsidRPr="0016276A">
        <w:rPr>
          <w:rFonts w:cs="Arial"/>
          <w:color w:val="000000"/>
        </w:rPr>
        <w:t>,</w:t>
      </w:r>
      <w:r w:rsidR="00944936" w:rsidRPr="0016276A">
        <w:rPr>
          <w:rFonts w:cs="Arial"/>
          <w:color w:val="000000"/>
        </w:rPr>
        <w:t xml:space="preserve"> as a ‘failed restoration’. </w:t>
      </w:r>
    </w:p>
    <w:p w:rsidR="00885669" w:rsidRPr="0016276A" w:rsidRDefault="00885669" w:rsidP="00CC0B2E">
      <w:pPr>
        <w:pStyle w:val="NormalParagraph"/>
        <w:ind w:hanging="502"/>
      </w:pPr>
      <w:bookmarkStart w:id="12" w:name="_Ref380677514"/>
      <w:bookmarkStart w:id="13" w:name="_Ref391544787"/>
      <w:r w:rsidRPr="0016276A">
        <w:t xml:space="preserve">During the restoration phase, retailers tend to adjust prices across a broad number of sites within a city </w:t>
      </w:r>
      <w:r w:rsidR="006C5D65" w:rsidRPr="0016276A">
        <w:t>within a short space of time</w:t>
      </w:r>
      <w:r w:rsidRPr="0016276A">
        <w:t xml:space="preserve">. In the vast majority of cases, prices </w:t>
      </w:r>
      <w:r w:rsidR="00334D19" w:rsidRPr="0016276A">
        <w:t>tend</w:t>
      </w:r>
      <w:r w:rsidR="00334D19" w:rsidRPr="0016276A">
        <w:rPr>
          <w:rFonts w:cs="Arial"/>
          <w:color w:val="000000"/>
        </w:rPr>
        <w:t xml:space="preserve"> to be restored to the same</w:t>
      </w:r>
      <w:r w:rsidR="00AD7BE1" w:rsidRPr="0016276A">
        <w:rPr>
          <w:rFonts w:cs="Arial"/>
          <w:color w:val="000000"/>
        </w:rPr>
        <w:t xml:space="preserve"> or a similar</w:t>
      </w:r>
      <w:r w:rsidR="00334D19" w:rsidRPr="0016276A">
        <w:rPr>
          <w:rFonts w:cs="Arial"/>
          <w:color w:val="000000"/>
        </w:rPr>
        <w:t xml:space="preserve"> </w:t>
      </w:r>
      <w:r w:rsidR="006C5D65" w:rsidRPr="0016276A">
        <w:rPr>
          <w:rFonts w:cs="Arial"/>
          <w:color w:val="000000"/>
        </w:rPr>
        <w:t>price point</w:t>
      </w:r>
      <w:r w:rsidR="00334D19" w:rsidRPr="0016276A">
        <w:rPr>
          <w:rFonts w:cs="Arial"/>
          <w:color w:val="000000"/>
        </w:rPr>
        <w:t xml:space="preserve"> across competitors and across different local areas within a city.</w:t>
      </w:r>
      <w:bookmarkEnd w:id="12"/>
      <w:bookmarkEnd w:id="13"/>
    </w:p>
    <w:p w:rsidR="00C61790" w:rsidRPr="0016276A" w:rsidRDefault="00C61790" w:rsidP="0018439C">
      <w:pPr>
        <w:pStyle w:val="Heading5"/>
        <w:keepNext/>
        <w:rPr>
          <w:rFonts w:cs="Times New Roman"/>
        </w:rPr>
      </w:pPr>
      <w:r w:rsidRPr="0016276A">
        <w:t>Discounting phase behaviour</w:t>
      </w:r>
    </w:p>
    <w:p w:rsidR="00334D19" w:rsidRPr="0016276A" w:rsidRDefault="00CD443B" w:rsidP="00CC0B2E">
      <w:pPr>
        <w:pStyle w:val="NormalParagraph"/>
        <w:ind w:hanging="502"/>
      </w:pPr>
      <w:r w:rsidRPr="0016276A">
        <w:t xml:space="preserve">In contrast, the </w:t>
      </w:r>
      <w:r w:rsidR="00334D19" w:rsidRPr="0016276A">
        <w:t>discount</w:t>
      </w:r>
      <w:r w:rsidR="00FA4C22" w:rsidRPr="0016276A">
        <w:t>ing</w:t>
      </w:r>
      <w:r w:rsidR="00334D19" w:rsidRPr="0016276A">
        <w:t xml:space="preserve"> phase involves a slower process of </w:t>
      </w:r>
      <w:r w:rsidR="006C5D65" w:rsidRPr="0016276A">
        <w:t>competitors undercutting and matching each other’s prices</w:t>
      </w:r>
      <w:r w:rsidR="00772C1E" w:rsidRPr="0016276A">
        <w:t>.</w:t>
      </w:r>
    </w:p>
    <w:p w:rsidR="00CD443B" w:rsidRPr="0016276A" w:rsidRDefault="00CF09EE" w:rsidP="00CC0B2E">
      <w:pPr>
        <w:pStyle w:val="NormalParagraph"/>
        <w:ind w:hanging="502"/>
        <w:rPr>
          <w:color w:val="000000"/>
        </w:rPr>
      </w:pPr>
      <w:bookmarkStart w:id="14" w:name="_Ref380678142"/>
      <w:r w:rsidRPr="0016276A">
        <w:rPr>
          <w:color w:val="000000"/>
        </w:rPr>
        <w:t>D</w:t>
      </w:r>
      <w:r w:rsidR="00CD443B" w:rsidRPr="0016276A">
        <w:rPr>
          <w:color w:val="000000"/>
        </w:rPr>
        <w:t>uring the discounting phase,</w:t>
      </w:r>
      <w:r w:rsidR="00334D19" w:rsidRPr="0016276A">
        <w:rPr>
          <w:color w:val="000000"/>
        </w:rPr>
        <w:t xml:space="preserve"> </w:t>
      </w:r>
      <w:r w:rsidR="00334D19" w:rsidRPr="0016276A">
        <w:t xml:space="preserve">the rate at which retailers reduce their prices from the restoration price tends to vary on a site-by-site basis depending on factors that include the </w:t>
      </w:r>
      <w:r w:rsidR="00621F26" w:rsidRPr="0016276A">
        <w:t>prices of nearby competitor sites</w:t>
      </w:r>
      <w:r w:rsidR="00334D19" w:rsidRPr="0016276A">
        <w:t xml:space="preserve">. </w:t>
      </w:r>
      <w:r w:rsidR="00C61790" w:rsidRPr="0016276A">
        <w:rPr>
          <w:color w:val="000000"/>
        </w:rPr>
        <w:t xml:space="preserve">This has the </w:t>
      </w:r>
      <w:r w:rsidR="001D3429" w:rsidRPr="0016276A">
        <w:rPr>
          <w:color w:val="000000"/>
        </w:rPr>
        <w:t xml:space="preserve">result </w:t>
      </w:r>
      <w:r w:rsidR="00F06797" w:rsidRPr="0016276A">
        <w:rPr>
          <w:color w:val="000000"/>
        </w:rPr>
        <w:t xml:space="preserve">that </w:t>
      </w:r>
      <w:r w:rsidR="00334D19" w:rsidRPr="0016276A">
        <w:rPr>
          <w:color w:val="000000"/>
        </w:rPr>
        <w:t xml:space="preserve">during the </w:t>
      </w:r>
      <w:r w:rsidR="00334D19" w:rsidRPr="0016276A">
        <w:rPr>
          <w:color w:val="000000"/>
        </w:rPr>
        <w:lastRenderedPageBreak/>
        <w:t xml:space="preserve">discounting phase </w:t>
      </w:r>
      <w:r w:rsidR="001D3429" w:rsidRPr="0016276A">
        <w:rPr>
          <w:color w:val="000000"/>
        </w:rPr>
        <w:t xml:space="preserve">a retailer will </w:t>
      </w:r>
      <w:r w:rsidR="00163DC0" w:rsidRPr="0016276A">
        <w:rPr>
          <w:color w:val="000000"/>
        </w:rPr>
        <w:t xml:space="preserve">often </w:t>
      </w:r>
      <w:r w:rsidR="001D3429" w:rsidRPr="0016276A">
        <w:rPr>
          <w:color w:val="000000"/>
        </w:rPr>
        <w:t>have different prices at its different sites across a city.</w:t>
      </w:r>
      <w:bookmarkEnd w:id="14"/>
    </w:p>
    <w:p w:rsidR="00334D19" w:rsidRPr="0016276A" w:rsidRDefault="00334D19" w:rsidP="00334D19">
      <w:pPr>
        <w:pStyle w:val="Heading5"/>
        <w:rPr>
          <w:rFonts w:cs="Times New Roman"/>
        </w:rPr>
      </w:pPr>
      <w:r w:rsidRPr="0016276A">
        <w:t>Transparency of retail prices</w:t>
      </w:r>
    </w:p>
    <w:p w:rsidR="00A46A2C" w:rsidRPr="0016276A" w:rsidRDefault="00A2311D" w:rsidP="001E0DAC">
      <w:pPr>
        <w:pStyle w:val="NormalParagraph"/>
        <w:ind w:hanging="502"/>
        <w:rPr>
          <w:sz w:val="12"/>
          <w:szCs w:val="12"/>
        </w:rPr>
      </w:pPr>
      <w:r w:rsidRPr="0016276A">
        <w:t xml:space="preserve">Site-level petrol prices are highly transparent </w:t>
      </w:r>
      <w:r w:rsidR="00D422CE" w:rsidRPr="0016276A">
        <w:t xml:space="preserve">amongst retailers. </w:t>
      </w:r>
      <w:r w:rsidR="00DE332B" w:rsidRPr="0016276A">
        <w:t>As well a</w:t>
      </w:r>
      <w:r w:rsidR="00B476BA" w:rsidRPr="0016276A">
        <w:t xml:space="preserve">s </w:t>
      </w:r>
      <w:r w:rsidR="00436AD7" w:rsidRPr="0016276A">
        <w:t>prices</w:t>
      </w:r>
      <w:r w:rsidR="000E4E73" w:rsidRPr="0016276A">
        <w:t xml:space="preserve"> </w:t>
      </w:r>
      <w:r w:rsidR="00B476BA" w:rsidRPr="0016276A">
        <w:t>being visible</w:t>
      </w:r>
      <w:r w:rsidR="0017513A" w:rsidRPr="0016276A">
        <w:t xml:space="preserve"> to observers</w:t>
      </w:r>
      <w:r w:rsidR="00A21CA8" w:rsidRPr="0016276A">
        <w:t xml:space="preserve"> </w:t>
      </w:r>
      <w:r w:rsidR="00B476BA" w:rsidRPr="0016276A">
        <w:t>at each site</w:t>
      </w:r>
      <w:r w:rsidR="00822268" w:rsidRPr="0016276A">
        <w:t>’s physical location</w:t>
      </w:r>
      <w:r w:rsidR="00DE332B" w:rsidRPr="0016276A">
        <w:t>,</w:t>
      </w:r>
      <w:r w:rsidR="00D422CE" w:rsidRPr="0016276A">
        <w:t xml:space="preserve"> </w:t>
      </w:r>
      <w:r w:rsidR="008E7263" w:rsidRPr="0016276A">
        <w:t>many</w:t>
      </w:r>
      <w:r w:rsidR="00D422CE" w:rsidRPr="0016276A">
        <w:t xml:space="preserve"> retailers</w:t>
      </w:r>
      <w:r w:rsidR="00B80D71" w:rsidRPr="0016276A">
        <w:t xml:space="preserve"> also</w:t>
      </w:r>
      <w:r w:rsidR="00D422CE" w:rsidRPr="0016276A">
        <w:t xml:space="preserve"> receive </w:t>
      </w:r>
      <w:r w:rsidR="006A07B1" w:rsidRPr="0016276A">
        <w:t xml:space="preserve">regular </w:t>
      </w:r>
      <w:r w:rsidR="00D422CE" w:rsidRPr="0016276A">
        <w:t>information about</w:t>
      </w:r>
      <w:r w:rsidR="00072233" w:rsidRPr="0016276A">
        <w:t xml:space="preserve"> </w:t>
      </w:r>
      <w:r w:rsidR="002C631F" w:rsidRPr="0016276A">
        <w:t>their</w:t>
      </w:r>
      <w:r w:rsidR="00D422CE" w:rsidRPr="0016276A">
        <w:t xml:space="preserve"> competitors’ </w:t>
      </w:r>
      <w:r w:rsidR="00FE2B7B" w:rsidRPr="0016276A">
        <w:t>prices</w:t>
      </w:r>
      <w:r w:rsidR="00D422CE" w:rsidRPr="0016276A">
        <w:t xml:space="preserve"> </w:t>
      </w:r>
      <w:r w:rsidR="00B37B55" w:rsidRPr="0016276A">
        <w:t>via</w:t>
      </w:r>
      <w:r w:rsidR="00A85A9F" w:rsidRPr="0016276A">
        <w:t xml:space="preserve"> </w:t>
      </w:r>
      <w:r w:rsidR="001E0DAC" w:rsidRPr="0016276A">
        <w:t xml:space="preserve">the Informed Sources Oil Pricewatch </w:t>
      </w:r>
      <w:r w:rsidR="00DB3378" w:rsidRPr="0016276A">
        <w:t>service</w:t>
      </w:r>
      <w:r w:rsidR="00B964FA" w:rsidRPr="0016276A">
        <w:t>.</w:t>
      </w:r>
      <w:r w:rsidR="001E0DAC" w:rsidRPr="0016276A">
        <w:t xml:space="preserve"> </w:t>
      </w:r>
      <w:bookmarkStart w:id="15" w:name="_Ref380682258"/>
      <w:bookmarkStart w:id="16" w:name="_Ref380682266"/>
      <w:r w:rsidR="00A46A2C" w:rsidRPr="0016276A">
        <w:t>This service involves subscribers submitting their own prices and in return receiving information on competitors’ prices as frequently as every 15 minutes.</w:t>
      </w:r>
      <w:bookmarkEnd w:id="15"/>
    </w:p>
    <w:p w:rsidR="00215B32" w:rsidRPr="0016276A" w:rsidRDefault="00215B32" w:rsidP="00CC0B2E">
      <w:pPr>
        <w:pStyle w:val="NormalParagraph"/>
        <w:ind w:hanging="502"/>
      </w:pPr>
      <w:r w:rsidRPr="0016276A">
        <w:t>Most of the major petrol retailers in Adelaide</w:t>
      </w:r>
      <w:r w:rsidR="00163DC0" w:rsidRPr="0016276A">
        <w:t>, including BP, Peregrine and Caltex,</w:t>
      </w:r>
      <w:r w:rsidRPr="0016276A">
        <w:t xml:space="preserve"> </w:t>
      </w:r>
      <w:r w:rsidR="00A368E7" w:rsidRPr="0016276A">
        <w:t xml:space="preserve">are </w:t>
      </w:r>
      <w:r w:rsidRPr="0016276A">
        <w:t>subscribers to the Informed Sources service. Other petrol retailers who do not subscribe to Informed Sources monitor prices by physically observing the board prices of their competitors.</w:t>
      </w:r>
      <w:bookmarkEnd w:id="16"/>
      <w:r w:rsidRPr="0016276A">
        <w:t xml:space="preserve"> </w:t>
      </w:r>
    </w:p>
    <w:p w:rsidR="00020FE3" w:rsidRPr="0016276A" w:rsidRDefault="00020FE3" w:rsidP="00CC0B2E">
      <w:pPr>
        <w:pStyle w:val="NormalParagraph"/>
        <w:ind w:hanging="502"/>
      </w:pPr>
      <w:r w:rsidRPr="0016276A">
        <w:t>The ACCC has instituted court proceedings against Informed Sources and five petrol retailers alleging that they contravened section 45 of the Act. The ACCC alleges that the information sharing arrangements between Informed Sources and petrol retailers, through the service provided by Informed Sources, allows those retailers to communicate with each other about their prices, and that these arrangements had the effect or likely effect of substantially lessening competition in markets for the sale of petrol in Melbourne. The ACCC alleges that the arrangements increased or were likely to increase retail petrol price coordination and cooperation, and decreased or were likely to decrease competitive rivalry.</w:t>
      </w:r>
    </w:p>
    <w:p w:rsidR="00215B32" w:rsidRPr="0016276A" w:rsidRDefault="00215B32">
      <w:pPr>
        <w:pStyle w:val="Heading4"/>
      </w:pPr>
      <w:r w:rsidRPr="0016276A">
        <w:t>Other industry participants</w:t>
      </w:r>
    </w:p>
    <w:p w:rsidR="00215B32" w:rsidRPr="0016276A" w:rsidRDefault="00215B32" w:rsidP="00F76120">
      <w:pPr>
        <w:pStyle w:val="Heading5"/>
        <w:keepNext/>
      </w:pPr>
      <w:r w:rsidRPr="0016276A">
        <w:t>Woolworths</w:t>
      </w:r>
    </w:p>
    <w:p w:rsidR="00215B32" w:rsidRPr="0016276A" w:rsidRDefault="00215B32" w:rsidP="00CC0B2E">
      <w:pPr>
        <w:pStyle w:val="NormalParagraph"/>
        <w:ind w:hanging="502"/>
      </w:pPr>
      <w:r w:rsidRPr="0016276A">
        <w:rPr>
          <w:rFonts w:cs="Arial"/>
          <w:color w:val="000000"/>
        </w:rPr>
        <w:t>Woolworths</w:t>
      </w:r>
      <w:r w:rsidRPr="0016276A">
        <w:t xml:space="preserve"> operates a diverse range of business interests, including supermarkets, liquor retail outlets and retail fuel sites. All Woolworths</w:t>
      </w:r>
      <w:r w:rsidR="008520D2" w:rsidRPr="0016276A">
        <w:noBreakHyphen/>
      </w:r>
      <w:r w:rsidRPr="0016276A">
        <w:t xml:space="preserve">owned retail fuel sites are co-branded as Caltex/Woolworths or Caltex/Safeway. </w:t>
      </w:r>
      <w:r w:rsidR="00A368E7" w:rsidRPr="0016276A">
        <w:t xml:space="preserve">As at </w:t>
      </w:r>
      <w:r w:rsidR="00137377" w:rsidRPr="0016276A">
        <w:t>April 2014</w:t>
      </w:r>
      <w:r w:rsidRPr="0016276A">
        <w:t xml:space="preserve">, there were </w:t>
      </w:r>
      <w:r w:rsidR="00137377" w:rsidRPr="0016276A">
        <w:t>631</w:t>
      </w:r>
      <w:r w:rsidR="0035329E" w:rsidRPr="0016276A">
        <w:t xml:space="preserve"> </w:t>
      </w:r>
      <w:r w:rsidR="003B1339" w:rsidRPr="0016276A">
        <w:t xml:space="preserve">co-branded </w:t>
      </w:r>
      <w:r w:rsidRPr="0016276A">
        <w:t>sites in Australia</w:t>
      </w:r>
      <w:r w:rsidR="003B1339" w:rsidRPr="0016276A">
        <w:t xml:space="preserve">, of which Woolworths owned </w:t>
      </w:r>
      <w:r w:rsidR="00137377" w:rsidRPr="0016276A">
        <w:t>500</w:t>
      </w:r>
      <w:r w:rsidR="00E176EE" w:rsidRPr="0016276A">
        <w:t xml:space="preserve"> </w:t>
      </w:r>
      <w:r w:rsidR="00535130" w:rsidRPr="0016276A">
        <w:t xml:space="preserve">and </w:t>
      </w:r>
      <w:r w:rsidR="00E176EE" w:rsidRPr="0016276A">
        <w:t xml:space="preserve">Caltex owned the </w:t>
      </w:r>
      <w:r w:rsidR="00535130" w:rsidRPr="0016276A">
        <w:t>remainder</w:t>
      </w:r>
      <w:r w:rsidRPr="0016276A">
        <w:t>.</w:t>
      </w:r>
      <w:r w:rsidRPr="0016276A">
        <w:rPr>
          <w:rStyle w:val="FootnoteReference"/>
        </w:rPr>
        <w:t xml:space="preserve"> </w:t>
      </w:r>
      <w:r w:rsidRPr="0016276A">
        <w:t>Woolworths controls the pricing at all Caltex/Woolworths</w:t>
      </w:r>
      <w:r w:rsidR="002503B3" w:rsidRPr="0016276A">
        <w:t xml:space="preserve"> and Caltex/Safeway</w:t>
      </w:r>
      <w:r w:rsidRPr="0016276A">
        <w:t xml:space="preserve"> branded sites. Caltex is the exclusive wholesale fuel supplier to all Caltex/Woolworths </w:t>
      </w:r>
      <w:r w:rsidR="00922D74" w:rsidRPr="0016276A">
        <w:t xml:space="preserve">and Caltex/Safeway </w:t>
      </w:r>
      <w:r w:rsidRPr="0016276A">
        <w:t>branded sites.</w:t>
      </w:r>
    </w:p>
    <w:p w:rsidR="00215B32" w:rsidRPr="0016276A" w:rsidRDefault="00215B32" w:rsidP="00CC0B2E">
      <w:pPr>
        <w:pStyle w:val="NormalParagraph"/>
        <w:ind w:hanging="502"/>
      </w:pPr>
      <w:r w:rsidRPr="0016276A">
        <w:t xml:space="preserve">Caltex/Woolworths retail fuel sites accept discount </w:t>
      </w:r>
      <w:r w:rsidR="00163DC0" w:rsidRPr="0016276A">
        <w:t>fuel shopper docket</w:t>
      </w:r>
      <w:r w:rsidR="009D4511" w:rsidRPr="0016276A">
        <w:t xml:space="preserve">s </w:t>
      </w:r>
      <w:r w:rsidRPr="0016276A">
        <w:t>received by consumers when they shop at a Woolworths supermarket.</w:t>
      </w:r>
    </w:p>
    <w:p w:rsidR="00215B32" w:rsidRPr="0016276A" w:rsidRDefault="00215B32" w:rsidP="00CC0B2E">
      <w:pPr>
        <w:pStyle w:val="NormalParagraph"/>
        <w:ind w:hanging="502"/>
      </w:pPr>
      <w:r w:rsidRPr="0016276A">
        <w:t>A</w:t>
      </w:r>
      <w:r w:rsidR="0045471A" w:rsidRPr="0016276A">
        <w:t>t the time of the ACCC’s decision</w:t>
      </w:r>
      <w:r w:rsidRPr="0016276A">
        <w:t>, Woolworths operated 3</w:t>
      </w:r>
      <w:r w:rsidR="002503B3" w:rsidRPr="0016276A">
        <w:t>3</w:t>
      </w:r>
      <w:r w:rsidRPr="0016276A">
        <w:t xml:space="preserve"> </w:t>
      </w:r>
      <w:r w:rsidR="00621F26" w:rsidRPr="0016276A">
        <w:t xml:space="preserve">retail fuel </w:t>
      </w:r>
      <w:r w:rsidRPr="0016276A">
        <w:t>sites in Adelaide, all branded Caltex/Woolworths.</w:t>
      </w:r>
    </w:p>
    <w:p w:rsidR="00215B32" w:rsidRPr="0016276A" w:rsidRDefault="00215B32" w:rsidP="0006749D">
      <w:pPr>
        <w:pStyle w:val="Heading5"/>
      </w:pPr>
      <w:r w:rsidRPr="0016276A">
        <w:t>Coles</w:t>
      </w:r>
      <w:r w:rsidR="00621F26" w:rsidRPr="0016276A">
        <w:t xml:space="preserve"> and Shell</w:t>
      </w:r>
    </w:p>
    <w:p w:rsidR="00A126BF" w:rsidRPr="0016276A" w:rsidRDefault="000B7186" w:rsidP="00CC0B2E">
      <w:pPr>
        <w:pStyle w:val="NormalParagraph"/>
        <w:ind w:hanging="502"/>
      </w:pPr>
      <w:r w:rsidRPr="0016276A">
        <w:t xml:space="preserve">In 2003 Coles and Shell entered into an alliance agreement under which Coles </w:t>
      </w:r>
      <w:r w:rsidR="00A126BF" w:rsidRPr="0016276A">
        <w:t xml:space="preserve">leased a number of service stations from Shell and operated them under ‘Coles Express’ branding. </w:t>
      </w:r>
    </w:p>
    <w:p w:rsidR="00A126BF" w:rsidRPr="0016276A" w:rsidRDefault="00CD4897" w:rsidP="00CC0B2E">
      <w:pPr>
        <w:pStyle w:val="NormalParagraph"/>
        <w:ind w:hanging="502"/>
      </w:pPr>
      <w:r w:rsidRPr="0016276A">
        <w:t>On 21 February 2014, Shell announced the sale of its Geelong refinery and its retail service stations to Swiss oil company Vitol</w:t>
      </w:r>
      <w:r w:rsidR="00C82A36" w:rsidRPr="0016276A">
        <w:t xml:space="preserve"> S.A.</w:t>
      </w:r>
      <w:r w:rsidR="00A126BF" w:rsidRPr="0016276A">
        <w:t xml:space="preserve"> As a result of the sale, Coles now leases its ‘Coles Express’ branded service stations from Vitol S.A.</w:t>
      </w:r>
    </w:p>
    <w:p w:rsidR="00CD4897" w:rsidRPr="0016276A" w:rsidRDefault="00A126BF" w:rsidP="00CC0B2E">
      <w:pPr>
        <w:pStyle w:val="NormalParagraph"/>
        <w:ind w:hanging="502"/>
      </w:pPr>
      <w:r w:rsidRPr="0016276A">
        <w:lastRenderedPageBreak/>
        <w:t xml:space="preserve">Coles sets the price for fuel at all of its sites and obtains its supply of fuel products exclusively from </w:t>
      </w:r>
      <w:r w:rsidR="00E161E4" w:rsidRPr="0016276A">
        <w:t>Vitol S.A. through its subsidiary</w:t>
      </w:r>
      <w:r w:rsidR="00934112" w:rsidRPr="0016276A">
        <w:t xml:space="preserve"> company</w:t>
      </w:r>
      <w:r w:rsidR="00E161E4" w:rsidRPr="0016276A">
        <w:t xml:space="preserve"> Viva Energy Australia</w:t>
      </w:r>
      <w:r w:rsidR="00885C06" w:rsidRPr="0016276A">
        <w:t>.</w:t>
      </w:r>
    </w:p>
    <w:p w:rsidR="00215B32" w:rsidRPr="0016276A" w:rsidRDefault="00215B32" w:rsidP="00CC0B2E">
      <w:pPr>
        <w:pStyle w:val="NormalParagraph"/>
        <w:ind w:hanging="502"/>
      </w:pPr>
      <w:r w:rsidRPr="0016276A">
        <w:t>Coles</w:t>
      </w:r>
      <w:r w:rsidR="008520D2" w:rsidRPr="0016276A">
        <w:t xml:space="preserve"> Express</w:t>
      </w:r>
      <w:r w:rsidRPr="0016276A">
        <w:t xml:space="preserve"> outlets accept discount vouchers received by consumers when they shop at a Coles supermarket. Coles branded fuel discount vouchers can also be redeemed at some independent Shell service stations across Australia (these service stations are not operated by Coles).</w:t>
      </w:r>
    </w:p>
    <w:p w:rsidR="00215B32" w:rsidRPr="0016276A" w:rsidRDefault="002503B3" w:rsidP="00CC0B2E">
      <w:pPr>
        <w:pStyle w:val="NormalParagraph"/>
        <w:ind w:hanging="502"/>
      </w:pPr>
      <w:r w:rsidRPr="0016276A">
        <w:t>A</w:t>
      </w:r>
      <w:r w:rsidR="0045471A" w:rsidRPr="0016276A">
        <w:t xml:space="preserve">t the time of the ACCC’s decision, </w:t>
      </w:r>
      <w:r w:rsidR="00215B32" w:rsidRPr="0016276A">
        <w:t>Coles Express operate</w:t>
      </w:r>
      <w:r w:rsidR="0045471A" w:rsidRPr="0016276A">
        <w:t>d</w:t>
      </w:r>
      <w:r w:rsidR="00215B32" w:rsidRPr="0016276A">
        <w:t xml:space="preserve"> approximately 630 fuel retail sites across Australia; </w:t>
      </w:r>
      <w:r w:rsidR="00930566" w:rsidRPr="0016276A">
        <w:t>29</w:t>
      </w:r>
      <w:r w:rsidR="00215B32" w:rsidRPr="0016276A">
        <w:t xml:space="preserve"> of these sites </w:t>
      </w:r>
      <w:r w:rsidR="0035329E" w:rsidRPr="0016276A">
        <w:t>we</w:t>
      </w:r>
      <w:r w:rsidR="00215B32" w:rsidRPr="0016276A">
        <w:t xml:space="preserve">re located in Adelaide. </w:t>
      </w:r>
    </w:p>
    <w:p w:rsidR="00215B32" w:rsidRPr="0016276A" w:rsidRDefault="00215B32" w:rsidP="00B85D90">
      <w:pPr>
        <w:pStyle w:val="Heading5"/>
        <w:keepNext/>
      </w:pPr>
      <w:r w:rsidRPr="0016276A">
        <w:t>Agostino</w:t>
      </w:r>
    </w:p>
    <w:p w:rsidR="00215B32" w:rsidRPr="0016276A" w:rsidRDefault="00215B32" w:rsidP="00CC0B2E">
      <w:pPr>
        <w:pStyle w:val="NormalParagraph"/>
        <w:ind w:hanging="502"/>
      </w:pPr>
      <w:bookmarkStart w:id="17" w:name="_Ref380741568"/>
      <w:r w:rsidRPr="0016276A">
        <w:t xml:space="preserve">The Agostino Group </w:t>
      </w:r>
      <w:r w:rsidR="002503B3" w:rsidRPr="0016276A">
        <w:t>(</w:t>
      </w:r>
      <w:r w:rsidR="002503B3" w:rsidRPr="0016276A">
        <w:rPr>
          <w:b/>
        </w:rPr>
        <w:t>Agostino</w:t>
      </w:r>
      <w:r w:rsidR="002503B3" w:rsidRPr="0016276A">
        <w:t xml:space="preserve">) </w:t>
      </w:r>
      <w:r w:rsidRPr="0016276A">
        <w:t>is an independent</w:t>
      </w:r>
      <w:r w:rsidR="00621F26" w:rsidRPr="0016276A">
        <w:t>, BP-branded</w:t>
      </w:r>
      <w:r w:rsidRPr="0016276A">
        <w:t xml:space="preserve"> fuel retailer. </w:t>
      </w:r>
      <w:r w:rsidR="00621F26" w:rsidRPr="0016276A">
        <w:t xml:space="preserve">At the time of the ACCC’s decision, </w:t>
      </w:r>
      <w:r w:rsidR="00163DC0" w:rsidRPr="0016276A">
        <w:t xml:space="preserve">prior to the Acquisition, </w:t>
      </w:r>
      <w:r w:rsidR="00621F26" w:rsidRPr="0016276A">
        <w:t>Agostino operated 11 sites in South Australia, including n</w:t>
      </w:r>
      <w:r w:rsidR="007E547C" w:rsidRPr="0016276A">
        <w:t>ine in metropolitan Adelaide.</w:t>
      </w:r>
      <w:r w:rsidR="00163DC0" w:rsidRPr="0016276A">
        <w:t xml:space="preserve"> </w:t>
      </w:r>
      <w:r w:rsidRPr="0016276A">
        <w:t>All Agostino sites are supplied by BP and accept the BP fuel card.</w:t>
      </w:r>
      <w:bookmarkEnd w:id="17"/>
    </w:p>
    <w:p w:rsidR="00215B32" w:rsidRPr="0016276A" w:rsidRDefault="00215B32" w:rsidP="00F14B53">
      <w:pPr>
        <w:pStyle w:val="Heading5"/>
        <w:keepNext/>
      </w:pPr>
      <w:r w:rsidRPr="0016276A">
        <w:t xml:space="preserve">United </w:t>
      </w:r>
    </w:p>
    <w:p w:rsidR="00215B32" w:rsidRPr="0016276A" w:rsidRDefault="00215B32" w:rsidP="00CC0B2E">
      <w:pPr>
        <w:pStyle w:val="NormalParagraph"/>
        <w:ind w:hanging="502"/>
      </w:pPr>
      <w:r w:rsidRPr="0016276A">
        <w:t>United is an independent Australian</w:t>
      </w:r>
      <w:r w:rsidR="00621F26" w:rsidRPr="0016276A">
        <w:t>-</w:t>
      </w:r>
      <w:r w:rsidRPr="0016276A">
        <w:t xml:space="preserve">owned oil company with wholesale and retail operations. </w:t>
      </w:r>
      <w:r w:rsidR="00F43616" w:rsidRPr="0016276A">
        <w:t xml:space="preserve">At the time of the ACCC’s decision, </w:t>
      </w:r>
      <w:r w:rsidRPr="0016276A">
        <w:t>United operate</w:t>
      </w:r>
      <w:r w:rsidR="00F43616" w:rsidRPr="0016276A">
        <w:t>d</w:t>
      </w:r>
      <w:r w:rsidRPr="0016276A">
        <w:t xml:space="preserve"> eight </w:t>
      </w:r>
      <w:r w:rsidR="008520D2" w:rsidRPr="0016276A">
        <w:t xml:space="preserve">retail </w:t>
      </w:r>
      <w:r w:rsidRPr="0016276A">
        <w:t>sites in metropolitan Adelaide.</w:t>
      </w:r>
    </w:p>
    <w:p w:rsidR="00215B32" w:rsidRPr="0016276A" w:rsidRDefault="00215B32" w:rsidP="0006749D">
      <w:pPr>
        <w:pStyle w:val="Heading5"/>
      </w:pPr>
      <w:r w:rsidRPr="0016276A">
        <w:t>Nemer</w:t>
      </w:r>
    </w:p>
    <w:p w:rsidR="00215B32" w:rsidRPr="0016276A" w:rsidRDefault="00F43616" w:rsidP="00CC0B2E">
      <w:pPr>
        <w:pStyle w:val="NormalParagraph"/>
        <w:ind w:hanging="502"/>
      </w:pPr>
      <w:r w:rsidRPr="0016276A">
        <w:t>At the time of the ACCC’s decision, t</w:t>
      </w:r>
      <w:r w:rsidR="00215B32" w:rsidRPr="0016276A">
        <w:t>he Nemer family operate</w:t>
      </w:r>
      <w:r w:rsidRPr="0016276A">
        <w:t>d</w:t>
      </w:r>
      <w:r w:rsidR="00215B32" w:rsidRPr="0016276A">
        <w:t xml:space="preserve"> eight independent sites in metropolitan Adelaide. Those sites acquire their fuel from, and are branded, Liberty.</w:t>
      </w:r>
    </w:p>
    <w:p w:rsidR="00215B32" w:rsidRPr="0016276A" w:rsidRDefault="002503B3" w:rsidP="0006749D">
      <w:pPr>
        <w:pStyle w:val="Heading5"/>
      </w:pPr>
      <w:r w:rsidRPr="0016276A">
        <w:t>Andrash</w:t>
      </w:r>
    </w:p>
    <w:p w:rsidR="00215B32" w:rsidRPr="0016276A" w:rsidRDefault="00215B32" w:rsidP="00CC0B2E">
      <w:pPr>
        <w:pStyle w:val="NormalParagraph"/>
        <w:ind w:hanging="502"/>
      </w:pPr>
      <w:r w:rsidRPr="0016276A">
        <w:t xml:space="preserve">Andrash </w:t>
      </w:r>
      <w:r w:rsidR="002503B3" w:rsidRPr="0016276A">
        <w:t>Pty Ltd (</w:t>
      </w:r>
      <w:r w:rsidR="002503B3" w:rsidRPr="0016276A">
        <w:rPr>
          <w:b/>
        </w:rPr>
        <w:t>Andrash</w:t>
      </w:r>
      <w:r w:rsidR="002503B3" w:rsidRPr="0016276A">
        <w:t xml:space="preserve">) </w:t>
      </w:r>
      <w:r w:rsidRPr="0016276A">
        <w:t>is an independent fuel retailer that operate</w:t>
      </w:r>
      <w:r w:rsidR="00F43616" w:rsidRPr="0016276A">
        <w:t>d</w:t>
      </w:r>
      <w:r w:rsidRPr="0016276A">
        <w:t xml:space="preserve"> six sites in metropolitan Adelaide</w:t>
      </w:r>
      <w:r w:rsidR="00F43616" w:rsidRPr="0016276A">
        <w:t xml:space="preserve"> at the time of the ACCC’s decision</w:t>
      </w:r>
      <w:r w:rsidRPr="0016276A">
        <w:t>. Andrash’s sites are supplied by Mogas and affiliated with the Mogas fuel card.</w:t>
      </w:r>
    </w:p>
    <w:p w:rsidR="00AF1C87" w:rsidRPr="0016276A" w:rsidRDefault="00AF1C87" w:rsidP="006A7FE8">
      <w:pPr>
        <w:pStyle w:val="Heading3"/>
      </w:pPr>
      <w:r w:rsidRPr="0016276A">
        <w:t>The transaction</w:t>
      </w:r>
    </w:p>
    <w:p w:rsidR="001C40DC" w:rsidRPr="0016276A" w:rsidRDefault="001C40DC" w:rsidP="00CC0B2E">
      <w:pPr>
        <w:pStyle w:val="NormalParagraph"/>
        <w:ind w:hanging="502"/>
      </w:pPr>
      <w:r w:rsidRPr="0016276A">
        <w:t xml:space="preserve">The </w:t>
      </w:r>
      <w:r w:rsidR="002503B3" w:rsidRPr="0016276A">
        <w:t xml:space="preserve">Original </w:t>
      </w:r>
      <w:r w:rsidRPr="0016276A">
        <w:t xml:space="preserve">Acquisition </w:t>
      </w:r>
      <w:r w:rsidR="00EF6C30" w:rsidRPr="0016276A">
        <w:t>consisted of:</w:t>
      </w:r>
    </w:p>
    <w:p w:rsidR="00D40EEC" w:rsidRPr="0016276A" w:rsidRDefault="00EF6C30" w:rsidP="0068571F">
      <w:pPr>
        <w:pStyle w:val="ABCList"/>
        <w:numPr>
          <w:ilvl w:val="0"/>
          <w:numId w:val="10"/>
        </w:numPr>
      </w:pPr>
      <w:r w:rsidRPr="0016276A">
        <w:t xml:space="preserve">the </w:t>
      </w:r>
      <w:r w:rsidR="00D40EEC" w:rsidRPr="0016276A">
        <w:t xml:space="preserve">proposed acquisition </w:t>
      </w:r>
      <w:r w:rsidRPr="0016276A">
        <w:t xml:space="preserve">by Peregrine </w:t>
      </w:r>
      <w:r w:rsidR="00D40EEC" w:rsidRPr="0016276A">
        <w:t>of 16 BP</w:t>
      </w:r>
      <w:r w:rsidRPr="0016276A">
        <w:t xml:space="preserve"> owned and operated</w:t>
      </w:r>
      <w:r w:rsidR="00D40EEC" w:rsidRPr="0016276A">
        <w:t xml:space="preserve"> petrol retail sites in metropolitan Adelaide</w:t>
      </w:r>
    </w:p>
    <w:p w:rsidR="00D40EEC" w:rsidRPr="0016276A" w:rsidRDefault="00EF6C30" w:rsidP="00EF6C30">
      <w:pPr>
        <w:pStyle w:val="ABCList"/>
      </w:pPr>
      <w:r w:rsidRPr="0016276A">
        <w:t xml:space="preserve">the </w:t>
      </w:r>
      <w:r w:rsidR="00D40EEC" w:rsidRPr="0016276A">
        <w:t>completed acquisition</w:t>
      </w:r>
      <w:r w:rsidRPr="0016276A">
        <w:t xml:space="preserve"> by Peregrine</w:t>
      </w:r>
      <w:r w:rsidR="00D40EEC" w:rsidRPr="0016276A">
        <w:t xml:space="preserve"> of nine BP si</w:t>
      </w:r>
      <w:r w:rsidRPr="0016276A">
        <w:t>tes in regional South Australia.</w:t>
      </w:r>
    </w:p>
    <w:p w:rsidR="00AF1C87" w:rsidRPr="0016276A" w:rsidRDefault="00096458" w:rsidP="00CC0B2E">
      <w:pPr>
        <w:pStyle w:val="NormalParagraph"/>
        <w:ind w:hanging="502"/>
      </w:pPr>
      <w:r w:rsidRPr="0016276A">
        <w:t xml:space="preserve">A complete list of sites </w:t>
      </w:r>
      <w:r w:rsidR="002503B3" w:rsidRPr="0016276A">
        <w:t xml:space="preserve">to be </w:t>
      </w:r>
      <w:r w:rsidRPr="0016276A">
        <w:t xml:space="preserve">acquired by Peregrine as part of the </w:t>
      </w:r>
      <w:r w:rsidR="002503B3" w:rsidRPr="0016276A">
        <w:t xml:space="preserve">Original </w:t>
      </w:r>
      <w:r w:rsidRPr="0016276A">
        <w:t xml:space="preserve">Acquisition </w:t>
      </w:r>
      <w:r w:rsidR="001959A9" w:rsidRPr="0016276A">
        <w:t xml:space="preserve">(the </w:t>
      </w:r>
      <w:r w:rsidR="001D3F9E" w:rsidRPr="0016276A">
        <w:rPr>
          <w:b/>
        </w:rPr>
        <w:t>T</w:t>
      </w:r>
      <w:r w:rsidR="001959A9" w:rsidRPr="0016276A">
        <w:rPr>
          <w:b/>
        </w:rPr>
        <w:t xml:space="preserve">arget </w:t>
      </w:r>
      <w:r w:rsidR="001D3F9E" w:rsidRPr="0016276A">
        <w:rPr>
          <w:b/>
        </w:rPr>
        <w:t>S</w:t>
      </w:r>
      <w:r w:rsidR="001959A9" w:rsidRPr="0016276A">
        <w:rPr>
          <w:b/>
        </w:rPr>
        <w:t>ites</w:t>
      </w:r>
      <w:r w:rsidR="001959A9" w:rsidRPr="0016276A">
        <w:t xml:space="preserve">) </w:t>
      </w:r>
      <w:r w:rsidRPr="0016276A">
        <w:t xml:space="preserve">is at </w:t>
      </w:r>
      <w:r w:rsidRPr="0016276A">
        <w:rPr>
          <w:b/>
        </w:rPr>
        <w:t>Attachment A</w:t>
      </w:r>
      <w:r w:rsidRPr="0016276A">
        <w:t>.</w:t>
      </w:r>
    </w:p>
    <w:p w:rsidR="00E75853" w:rsidRPr="0016276A" w:rsidRDefault="007F5293" w:rsidP="00CC0B2E">
      <w:pPr>
        <w:pStyle w:val="NormalParagraph"/>
        <w:ind w:hanging="502"/>
      </w:pPr>
      <w:r w:rsidRPr="0016276A">
        <w:t xml:space="preserve">During the course of the ACCC’s review of the Original Acquisition, the ACCC </w:t>
      </w:r>
      <w:r w:rsidR="00E75853" w:rsidRPr="0016276A">
        <w:t xml:space="preserve">was informed </w:t>
      </w:r>
      <w:r w:rsidRPr="0016276A">
        <w:t xml:space="preserve">of </w:t>
      </w:r>
      <w:r w:rsidR="00E75853" w:rsidRPr="0016276A">
        <w:t>‘swap’</w:t>
      </w:r>
      <w:r w:rsidRPr="0016276A">
        <w:t xml:space="preserve"> </w:t>
      </w:r>
      <w:r w:rsidR="00E75853" w:rsidRPr="0016276A">
        <w:t xml:space="preserve">agreements between Peregrine and </w:t>
      </w:r>
      <w:r w:rsidR="00CE7F7C" w:rsidRPr="0016276A">
        <w:t xml:space="preserve">two </w:t>
      </w:r>
      <w:r w:rsidR="00E75853" w:rsidRPr="0016276A">
        <w:t>other retailers, which were related to arrangements to address the ACCC’s competition concerns.</w:t>
      </w:r>
    </w:p>
    <w:p w:rsidR="003340EC" w:rsidRPr="0016276A" w:rsidRDefault="003340EC" w:rsidP="001A2C36">
      <w:pPr>
        <w:pStyle w:val="Heading4"/>
      </w:pPr>
      <w:r w:rsidRPr="0016276A">
        <w:lastRenderedPageBreak/>
        <w:t>Swap agreement 1</w:t>
      </w:r>
    </w:p>
    <w:p w:rsidR="00E75853" w:rsidRPr="0016276A" w:rsidRDefault="00E75853" w:rsidP="00CC0B2E">
      <w:pPr>
        <w:pStyle w:val="NormalParagraph"/>
        <w:ind w:hanging="502"/>
      </w:pPr>
      <w:bookmarkStart w:id="18" w:name="_Ref387662882"/>
      <w:r w:rsidRPr="0016276A">
        <w:t>In return for divesting three sites to Caltex (full details of these divestments are provided below at paragraph</w:t>
      </w:r>
      <w:r w:rsidR="00BA78D5" w:rsidRPr="0016276A">
        <w:t>s</w:t>
      </w:r>
      <w:r w:rsidRPr="0016276A">
        <w:t xml:space="preserve"> </w:t>
      </w:r>
      <w:r w:rsidR="00BA78D5" w:rsidRPr="0016276A">
        <w:fldChar w:fldCharType="begin"/>
      </w:r>
      <w:r w:rsidR="00BA78D5" w:rsidRPr="0016276A">
        <w:instrText xml:space="preserve"> REF _Ref387414715 \r \h </w:instrText>
      </w:r>
      <w:r w:rsidR="0016276A">
        <w:instrText xml:space="preserve"> \* MERGEFORMAT </w:instrText>
      </w:r>
      <w:r w:rsidR="00BA78D5" w:rsidRPr="0016276A">
        <w:fldChar w:fldCharType="separate"/>
      </w:r>
      <w:r w:rsidR="00F126FE">
        <w:t>66</w:t>
      </w:r>
      <w:r w:rsidR="00BA78D5" w:rsidRPr="0016276A">
        <w:fldChar w:fldCharType="end"/>
      </w:r>
      <w:r w:rsidR="00BA78D5" w:rsidRPr="0016276A">
        <w:t xml:space="preserve"> and </w:t>
      </w:r>
      <w:r w:rsidR="00BA78D5" w:rsidRPr="0016276A">
        <w:fldChar w:fldCharType="begin"/>
      </w:r>
      <w:r w:rsidR="00BA78D5" w:rsidRPr="0016276A">
        <w:instrText xml:space="preserve"> REF _Ref387414724 \r \h </w:instrText>
      </w:r>
      <w:r w:rsidR="0016276A">
        <w:instrText xml:space="preserve"> \* MERGEFORMAT </w:instrText>
      </w:r>
      <w:r w:rsidR="00BA78D5" w:rsidRPr="0016276A">
        <w:fldChar w:fldCharType="separate"/>
      </w:r>
      <w:r w:rsidR="00F126FE">
        <w:t>67</w:t>
      </w:r>
      <w:r w:rsidR="00BA78D5" w:rsidRPr="0016276A">
        <w:fldChar w:fldCharType="end"/>
      </w:r>
      <w:r w:rsidRPr="0016276A">
        <w:t>), Peregrine proposed to acquire the following sites from Caltex:</w:t>
      </w:r>
      <w:bookmarkEnd w:id="18"/>
    </w:p>
    <w:p w:rsidR="00E75853" w:rsidRPr="0016276A" w:rsidRDefault="00E75853" w:rsidP="00CE7F7C">
      <w:pPr>
        <w:pStyle w:val="ABCList"/>
        <w:numPr>
          <w:ilvl w:val="0"/>
          <w:numId w:val="42"/>
        </w:numPr>
      </w:pPr>
      <w:r w:rsidRPr="0016276A">
        <w:t xml:space="preserve">Caltex Fullarton </w:t>
      </w:r>
      <w:r w:rsidR="00CE7F7C" w:rsidRPr="0016276A">
        <w:noBreakHyphen/>
      </w:r>
      <w:r w:rsidRPr="0016276A">
        <w:t xml:space="preserve"> </w:t>
      </w:r>
      <w:r w:rsidR="00CE7F7C" w:rsidRPr="0016276A">
        <w:t>390 Fullarton Road, Fullarton, South Australia</w:t>
      </w:r>
    </w:p>
    <w:p w:rsidR="00E75853" w:rsidRPr="0016276A" w:rsidRDefault="00E75853" w:rsidP="00CE7F7C">
      <w:pPr>
        <w:pStyle w:val="ABCList"/>
      </w:pPr>
      <w:r w:rsidRPr="0016276A">
        <w:t xml:space="preserve">Caltex Tanunda </w:t>
      </w:r>
      <w:r w:rsidR="00CE7F7C" w:rsidRPr="0016276A">
        <w:noBreakHyphen/>
      </w:r>
      <w:r w:rsidRPr="0016276A">
        <w:t xml:space="preserve"> </w:t>
      </w:r>
      <w:r w:rsidR="00CE7F7C" w:rsidRPr="0016276A">
        <w:t>212 Murray Street, Tanunda, South Australia</w:t>
      </w:r>
    </w:p>
    <w:p w:rsidR="00E75853" w:rsidRPr="0016276A" w:rsidRDefault="00E75853" w:rsidP="00CE7F7C">
      <w:pPr>
        <w:pStyle w:val="ABCList"/>
      </w:pPr>
      <w:r w:rsidRPr="0016276A">
        <w:t xml:space="preserve">Caltex Mt Gambier </w:t>
      </w:r>
      <w:r w:rsidR="00CE7F7C" w:rsidRPr="0016276A">
        <w:noBreakHyphen/>
        <w:t xml:space="preserve"> 29 Penola Road, Mt Gambier, South Australia</w:t>
      </w:r>
    </w:p>
    <w:p w:rsidR="00E75853" w:rsidRPr="0016276A" w:rsidRDefault="00E75853" w:rsidP="00CE7F7C">
      <w:pPr>
        <w:pStyle w:val="ABCList"/>
      </w:pPr>
      <w:r w:rsidRPr="0016276A">
        <w:t xml:space="preserve">Caltex Irymple </w:t>
      </w:r>
      <w:r w:rsidR="00CE7F7C" w:rsidRPr="0016276A">
        <w:noBreakHyphen/>
        <w:t xml:space="preserve"> Cnr Fifteenth Street and Karadoc Avenue, Irymple, Victoria</w:t>
      </w:r>
    </w:p>
    <w:p w:rsidR="00E75853" w:rsidRPr="0016276A" w:rsidRDefault="00E75853" w:rsidP="00CE7F7C">
      <w:pPr>
        <w:pStyle w:val="ABCList"/>
      </w:pPr>
      <w:r w:rsidRPr="0016276A">
        <w:t xml:space="preserve">Caltex Berri </w:t>
      </w:r>
      <w:r w:rsidR="00CE7F7C" w:rsidRPr="0016276A">
        <w:noBreakHyphen/>
        <w:t xml:space="preserve"> Sturt Highway, Berri, South Australia</w:t>
      </w:r>
      <w:r w:rsidR="00435651" w:rsidRPr="0016276A">
        <w:t>.</w:t>
      </w:r>
    </w:p>
    <w:p w:rsidR="00CE7F7C" w:rsidRPr="0016276A" w:rsidRDefault="00CE7F7C" w:rsidP="00DB23C7">
      <w:pPr>
        <w:pStyle w:val="NormalParagraph"/>
        <w:ind w:hanging="502"/>
      </w:pPr>
      <w:r w:rsidRPr="0016276A">
        <w:t>Of these sites, only Caltex Fullarton is located in Adelaide.</w:t>
      </w:r>
    </w:p>
    <w:p w:rsidR="003340EC" w:rsidRPr="0016276A" w:rsidRDefault="003340EC" w:rsidP="001A2C36">
      <w:pPr>
        <w:pStyle w:val="Heading4"/>
      </w:pPr>
      <w:r w:rsidRPr="0016276A">
        <w:t>Swap agreement 2</w:t>
      </w:r>
    </w:p>
    <w:p w:rsidR="00E75853" w:rsidRPr="0016276A" w:rsidRDefault="00E75853" w:rsidP="00CC0B2E">
      <w:pPr>
        <w:pStyle w:val="NormalParagraph"/>
        <w:ind w:hanging="502"/>
      </w:pPr>
      <w:bookmarkStart w:id="19" w:name="_Ref387662893"/>
      <w:r w:rsidRPr="0016276A">
        <w:t xml:space="preserve">In return for divesting BP Mile End to Agostino (full details of this divestment are provided below at paragraph </w:t>
      </w:r>
      <w:r w:rsidR="00BA78D5" w:rsidRPr="0016276A">
        <w:fldChar w:fldCharType="begin"/>
      </w:r>
      <w:r w:rsidR="00BA78D5" w:rsidRPr="0016276A">
        <w:instrText xml:space="preserve"> REF _Ref387414715 \r \h </w:instrText>
      </w:r>
      <w:r w:rsidR="0016276A">
        <w:instrText xml:space="preserve"> \* MERGEFORMAT </w:instrText>
      </w:r>
      <w:r w:rsidR="00BA78D5" w:rsidRPr="0016276A">
        <w:fldChar w:fldCharType="separate"/>
      </w:r>
      <w:r w:rsidR="00F126FE">
        <w:t>66</w:t>
      </w:r>
      <w:r w:rsidR="00BA78D5" w:rsidRPr="0016276A">
        <w:fldChar w:fldCharType="end"/>
      </w:r>
      <w:r w:rsidRPr="0016276A">
        <w:t>)</w:t>
      </w:r>
      <w:r w:rsidR="00DB68F0" w:rsidRPr="0016276A">
        <w:t>, Peregrine proposed to acquire the following sites from Agostino</w:t>
      </w:r>
      <w:r w:rsidR="00CE7F7C" w:rsidRPr="0016276A">
        <w:t xml:space="preserve"> (both in Adelaide)</w:t>
      </w:r>
      <w:r w:rsidR="00DB68F0" w:rsidRPr="0016276A">
        <w:t>:</w:t>
      </w:r>
      <w:bookmarkEnd w:id="19"/>
    </w:p>
    <w:p w:rsidR="007F5293" w:rsidRPr="0016276A" w:rsidRDefault="007F5293" w:rsidP="00CE7F7C">
      <w:pPr>
        <w:pStyle w:val="ABCList"/>
        <w:numPr>
          <w:ilvl w:val="0"/>
          <w:numId w:val="43"/>
        </w:numPr>
      </w:pPr>
      <w:r w:rsidRPr="0016276A">
        <w:t>BP Fitzroy -</w:t>
      </w:r>
      <w:r w:rsidR="00CE7F7C" w:rsidRPr="0016276A">
        <w:t xml:space="preserve"> 20 Main North Road, Thorngate, South Australia</w:t>
      </w:r>
    </w:p>
    <w:p w:rsidR="007F5293" w:rsidRPr="0016276A" w:rsidRDefault="007F5293" w:rsidP="00CE7F7C">
      <w:pPr>
        <w:pStyle w:val="ABCList"/>
      </w:pPr>
      <w:r w:rsidRPr="0016276A">
        <w:t xml:space="preserve">BP Surrey Downs - </w:t>
      </w:r>
      <w:r w:rsidR="00CE7F7C" w:rsidRPr="0016276A">
        <w:t>664 Golden Grove Rd, Surrey Downs, South Australia</w:t>
      </w:r>
      <w:r w:rsidR="00435651" w:rsidRPr="0016276A">
        <w:t>.</w:t>
      </w:r>
    </w:p>
    <w:p w:rsidR="00C065DA" w:rsidRPr="0016276A" w:rsidRDefault="00C065DA" w:rsidP="00CC0B2E">
      <w:pPr>
        <w:pStyle w:val="NormalParagraph"/>
        <w:ind w:hanging="502"/>
      </w:pPr>
      <w:r w:rsidRPr="0016276A">
        <w:t>Other than the Fullarton</w:t>
      </w:r>
      <w:r w:rsidR="004B1FA4" w:rsidRPr="0016276A">
        <w:t xml:space="preserve"> Acquisition</w:t>
      </w:r>
      <w:r w:rsidRPr="0016276A">
        <w:t xml:space="preserve">, the ACCC considered that the other proposed acquisitions outlined above at paragraphs </w:t>
      </w:r>
      <w:r w:rsidRPr="0016276A">
        <w:fldChar w:fldCharType="begin"/>
      </w:r>
      <w:r w:rsidRPr="0016276A">
        <w:instrText xml:space="preserve"> REF _Ref387662882 \r \h </w:instrText>
      </w:r>
      <w:r w:rsidR="0016276A">
        <w:instrText xml:space="preserve"> \* MERGEFORMAT </w:instrText>
      </w:r>
      <w:r w:rsidRPr="0016276A">
        <w:fldChar w:fldCharType="separate"/>
      </w:r>
      <w:r w:rsidR="00F126FE">
        <w:t>55</w:t>
      </w:r>
      <w:r w:rsidRPr="0016276A">
        <w:fldChar w:fldCharType="end"/>
      </w:r>
      <w:r w:rsidRPr="0016276A">
        <w:t xml:space="preserve"> and </w:t>
      </w:r>
      <w:r w:rsidRPr="0016276A">
        <w:fldChar w:fldCharType="begin"/>
      </w:r>
      <w:r w:rsidRPr="0016276A">
        <w:instrText xml:space="preserve"> REF _Ref387662893 \r \h </w:instrText>
      </w:r>
      <w:r w:rsidR="0016276A">
        <w:instrText xml:space="preserve"> \* MERGEFORMAT </w:instrText>
      </w:r>
      <w:r w:rsidRPr="0016276A">
        <w:fldChar w:fldCharType="separate"/>
      </w:r>
      <w:r w:rsidR="00F126FE">
        <w:t>57</w:t>
      </w:r>
      <w:r w:rsidRPr="0016276A">
        <w:fldChar w:fldCharType="end"/>
      </w:r>
      <w:r w:rsidRPr="0016276A">
        <w:t xml:space="preserve"> would be unlikely to have the effect of substantially lessening competition in any relevant market in contravention of section 50 of the Act. The Fullarton </w:t>
      </w:r>
      <w:r w:rsidR="004B1FA4" w:rsidRPr="0016276A">
        <w:t xml:space="preserve">Acquisition </w:t>
      </w:r>
      <w:r w:rsidRPr="0016276A">
        <w:t xml:space="preserve">is considered in greater detail below at paragraphs </w:t>
      </w:r>
      <w:r w:rsidRPr="0016276A">
        <w:fldChar w:fldCharType="begin"/>
      </w:r>
      <w:r w:rsidRPr="0016276A">
        <w:instrText xml:space="preserve"> REF _Ref387662973 \r \h </w:instrText>
      </w:r>
      <w:r w:rsidR="002A30CD" w:rsidRPr="0016276A">
        <w:instrText xml:space="preserve"> \* MERGEFORMAT </w:instrText>
      </w:r>
      <w:r w:rsidRPr="0016276A">
        <w:fldChar w:fldCharType="separate"/>
      </w:r>
      <w:r w:rsidR="00F126FE">
        <w:t>148</w:t>
      </w:r>
      <w:r w:rsidRPr="0016276A">
        <w:fldChar w:fldCharType="end"/>
      </w:r>
      <w:r w:rsidRPr="0016276A">
        <w:t xml:space="preserve"> to </w:t>
      </w:r>
      <w:r w:rsidRPr="0016276A">
        <w:fldChar w:fldCharType="begin"/>
      </w:r>
      <w:r w:rsidRPr="0016276A">
        <w:instrText xml:space="preserve"> REF _Ref387400757 \r \h </w:instrText>
      </w:r>
      <w:r w:rsidR="002A30CD" w:rsidRPr="0016276A">
        <w:instrText xml:space="preserve"> \* MERGEFORMAT </w:instrText>
      </w:r>
      <w:r w:rsidRPr="0016276A">
        <w:fldChar w:fldCharType="separate"/>
      </w:r>
      <w:r w:rsidR="00F126FE">
        <w:t>158</w:t>
      </w:r>
      <w:r w:rsidRPr="0016276A">
        <w:fldChar w:fldCharType="end"/>
      </w:r>
      <w:r w:rsidRPr="0016276A">
        <w:t>.</w:t>
      </w:r>
    </w:p>
    <w:p w:rsidR="00AF1C87" w:rsidRPr="0016276A" w:rsidRDefault="00E845AB" w:rsidP="006A7FE8">
      <w:pPr>
        <w:pStyle w:val="Heading3"/>
      </w:pPr>
      <w:r w:rsidRPr="0016276A">
        <w:t>Review timeline</w:t>
      </w:r>
    </w:p>
    <w:p w:rsidR="00AF1C87" w:rsidRPr="0016276A" w:rsidRDefault="00AF1C87" w:rsidP="00DB23C7">
      <w:pPr>
        <w:pStyle w:val="NormalParagraph"/>
        <w:ind w:hanging="502"/>
      </w:pPr>
      <w:r w:rsidRPr="0016276A">
        <w:t>The following table outlines the timelin</w:t>
      </w:r>
      <w:r w:rsidR="005E537F" w:rsidRPr="0016276A">
        <w:t>e of key events in this matter.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2"/>
        <w:gridCol w:w="7016"/>
      </w:tblGrid>
      <w:tr w:rsidR="00AF1C87" w:rsidRPr="0016276A" w:rsidTr="00F85E5C">
        <w:trPr>
          <w:trHeight w:val="263"/>
          <w:tblHeader/>
        </w:trPr>
        <w:tc>
          <w:tcPr>
            <w:tcW w:w="1552" w:type="dxa"/>
          </w:tcPr>
          <w:p w:rsidR="00AF1C87" w:rsidRPr="0016276A" w:rsidRDefault="00AF1C87" w:rsidP="001554FD">
            <w:pPr>
              <w:spacing w:before="120" w:after="120"/>
              <w:rPr>
                <w:rFonts w:ascii="Arial" w:hAnsi="Arial" w:cs="Arial"/>
                <w:b/>
                <w:sz w:val="22"/>
                <w:szCs w:val="22"/>
              </w:rPr>
            </w:pPr>
            <w:r w:rsidRPr="0016276A">
              <w:rPr>
                <w:rFonts w:ascii="Arial" w:hAnsi="Arial" w:cs="Arial"/>
                <w:b/>
                <w:sz w:val="22"/>
                <w:szCs w:val="22"/>
              </w:rPr>
              <w:t>Date</w:t>
            </w:r>
          </w:p>
        </w:tc>
        <w:tc>
          <w:tcPr>
            <w:tcW w:w="7016" w:type="dxa"/>
          </w:tcPr>
          <w:p w:rsidR="00AF1C87" w:rsidRPr="0016276A" w:rsidRDefault="00AF1C87" w:rsidP="001554FD">
            <w:pPr>
              <w:spacing w:before="120" w:after="120"/>
              <w:ind w:left="-68"/>
              <w:rPr>
                <w:rFonts w:ascii="Arial" w:hAnsi="Arial" w:cs="Arial"/>
                <w:b/>
                <w:sz w:val="22"/>
                <w:szCs w:val="22"/>
              </w:rPr>
            </w:pPr>
            <w:r w:rsidRPr="0016276A">
              <w:rPr>
                <w:rFonts w:ascii="Arial" w:hAnsi="Arial" w:cs="Arial"/>
                <w:b/>
                <w:sz w:val="22"/>
                <w:szCs w:val="22"/>
              </w:rPr>
              <w:t>Event</w:t>
            </w:r>
          </w:p>
        </w:tc>
      </w:tr>
      <w:tr w:rsidR="00AF1C87" w:rsidRPr="0016276A" w:rsidTr="00F80A7E">
        <w:tc>
          <w:tcPr>
            <w:tcW w:w="1552" w:type="dxa"/>
          </w:tcPr>
          <w:p w:rsidR="00A17B17" w:rsidRPr="0016276A" w:rsidRDefault="00A17B17" w:rsidP="001554FD">
            <w:pPr>
              <w:spacing w:before="120" w:after="120"/>
              <w:rPr>
                <w:rFonts w:ascii="Arial" w:hAnsi="Arial" w:cs="Arial"/>
                <w:sz w:val="22"/>
                <w:szCs w:val="22"/>
              </w:rPr>
            </w:pPr>
            <w:bookmarkStart w:id="20" w:name="EventDate"/>
            <w:bookmarkEnd w:id="20"/>
            <w:r w:rsidRPr="0016276A">
              <w:rPr>
                <w:rFonts w:ascii="Arial" w:hAnsi="Arial" w:cs="Arial"/>
                <w:sz w:val="22"/>
                <w:szCs w:val="22"/>
              </w:rPr>
              <w:t>15-May-2013</w:t>
            </w:r>
          </w:p>
          <w:p w:rsidR="00A17B17" w:rsidRPr="0016276A" w:rsidRDefault="00A17B17" w:rsidP="001554FD">
            <w:pPr>
              <w:spacing w:before="120" w:after="120"/>
              <w:rPr>
                <w:rFonts w:ascii="Arial" w:hAnsi="Arial" w:cs="Arial"/>
                <w:sz w:val="22"/>
                <w:szCs w:val="22"/>
              </w:rPr>
            </w:pPr>
            <w:r w:rsidRPr="0016276A">
              <w:rPr>
                <w:rFonts w:ascii="Arial" w:hAnsi="Arial" w:cs="Arial"/>
                <w:sz w:val="22"/>
                <w:szCs w:val="22"/>
              </w:rPr>
              <w:t>20-Jun-2013</w:t>
            </w:r>
          </w:p>
          <w:p w:rsidR="00A17B17" w:rsidRPr="0016276A" w:rsidRDefault="00A17B17" w:rsidP="001554FD">
            <w:pPr>
              <w:spacing w:before="120" w:after="120"/>
              <w:rPr>
                <w:rFonts w:ascii="Arial" w:hAnsi="Arial" w:cs="Arial"/>
                <w:sz w:val="22"/>
                <w:szCs w:val="22"/>
              </w:rPr>
            </w:pPr>
            <w:r w:rsidRPr="0016276A">
              <w:rPr>
                <w:rFonts w:ascii="Arial" w:hAnsi="Arial" w:cs="Arial"/>
                <w:sz w:val="22"/>
                <w:szCs w:val="22"/>
              </w:rPr>
              <w:t>24-Sep-2013</w:t>
            </w:r>
          </w:p>
          <w:p w:rsidR="00A17B17" w:rsidRPr="0016276A" w:rsidRDefault="00A17B17" w:rsidP="006A00A4">
            <w:pPr>
              <w:spacing w:before="600" w:after="360"/>
              <w:rPr>
                <w:rFonts w:ascii="Arial" w:hAnsi="Arial" w:cs="Arial"/>
                <w:sz w:val="22"/>
                <w:szCs w:val="22"/>
              </w:rPr>
            </w:pPr>
            <w:r w:rsidRPr="0016276A">
              <w:rPr>
                <w:rFonts w:ascii="Arial" w:hAnsi="Arial" w:cs="Arial"/>
                <w:sz w:val="22"/>
                <w:szCs w:val="22"/>
              </w:rPr>
              <w:t>06-Dec-2013</w:t>
            </w:r>
          </w:p>
          <w:p w:rsidR="00AF1C87" w:rsidRPr="0016276A" w:rsidRDefault="00A17B17" w:rsidP="00116AAE">
            <w:pPr>
              <w:spacing w:before="180" w:after="120"/>
              <w:rPr>
                <w:rFonts w:ascii="Arial" w:hAnsi="Arial" w:cs="Arial"/>
                <w:sz w:val="22"/>
                <w:szCs w:val="22"/>
              </w:rPr>
            </w:pPr>
            <w:r w:rsidRPr="0016276A">
              <w:rPr>
                <w:rFonts w:ascii="Arial" w:hAnsi="Arial" w:cs="Arial"/>
                <w:sz w:val="22"/>
                <w:szCs w:val="22"/>
              </w:rPr>
              <w:t>13-Dec-2013</w:t>
            </w:r>
          </w:p>
          <w:p w:rsidR="0072605F" w:rsidRPr="0016276A" w:rsidRDefault="0072605F" w:rsidP="00116AAE">
            <w:pPr>
              <w:spacing w:before="600" w:after="120"/>
              <w:rPr>
                <w:rFonts w:ascii="Arial" w:hAnsi="Arial" w:cs="Arial"/>
                <w:sz w:val="22"/>
                <w:szCs w:val="22"/>
              </w:rPr>
            </w:pPr>
            <w:r w:rsidRPr="0016276A">
              <w:rPr>
                <w:rFonts w:ascii="Arial" w:hAnsi="Arial" w:cs="Arial"/>
                <w:sz w:val="22"/>
                <w:szCs w:val="22"/>
              </w:rPr>
              <w:t>24-Dec-2013</w:t>
            </w:r>
          </w:p>
          <w:p w:rsidR="00116AAE" w:rsidRPr="0016276A" w:rsidRDefault="00116AAE" w:rsidP="002E09F4">
            <w:pPr>
              <w:spacing w:before="240" w:after="120"/>
              <w:rPr>
                <w:rFonts w:ascii="Arial" w:hAnsi="Arial" w:cs="Arial"/>
                <w:sz w:val="22"/>
                <w:szCs w:val="22"/>
              </w:rPr>
            </w:pPr>
            <w:r w:rsidRPr="0016276A">
              <w:rPr>
                <w:rFonts w:ascii="Arial" w:hAnsi="Arial" w:cs="Arial"/>
                <w:sz w:val="22"/>
                <w:szCs w:val="22"/>
              </w:rPr>
              <w:lastRenderedPageBreak/>
              <w:t>02-May-2014</w:t>
            </w:r>
          </w:p>
          <w:p w:rsidR="00116AAE" w:rsidRPr="0016276A" w:rsidRDefault="00116AAE" w:rsidP="00116AAE">
            <w:pPr>
              <w:spacing w:before="130" w:after="120"/>
              <w:rPr>
                <w:rFonts w:ascii="Arial" w:hAnsi="Arial" w:cs="Arial"/>
                <w:sz w:val="22"/>
                <w:szCs w:val="22"/>
              </w:rPr>
            </w:pPr>
            <w:r w:rsidRPr="0016276A">
              <w:rPr>
                <w:rFonts w:ascii="Arial" w:hAnsi="Arial" w:cs="Arial"/>
                <w:sz w:val="22"/>
                <w:szCs w:val="22"/>
              </w:rPr>
              <w:t>08-May-2014</w:t>
            </w:r>
          </w:p>
        </w:tc>
        <w:tc>
          <w:tcPr>
            <w:tcW w:w="7016" w:type="dxa"/>
          </w:tcPr>
          <w:p w:rsidR="00A17B17" w:rsidRPr="0016276A" w:rsidRDefault="00A17B17" w:rsidP="001554FD">
            <w:pPr>
              <w:spacing w:before="120" w:after="120"/>
              <w:rPr>
                <w:rFonts w:ascii="Arial" w:hAnsi="Arial" w:cs="Arial"/>
                <w:sz w:val="22"/>
                <w:szCs w:val="22"/>
              </w:rPr>
            </w:pPr>
            <w:bookmarkStart w:id="21" w:name="EventDescription"/>
            <w:bookmarkEnd w:id="21"/>
            <w:r w:rsidRPr="0016276A">
              <w:rPr>
                <w:rFonts w:ascii="Arial" w:hAnsi="Arial" w:cs="Arial"/>
                <w:sz w:val="22"/>
                <w:szCs w:val="22"/>
              </w:rPr>
              <w:lastRenderedPageBreak/>
              <w:t>ACCC commenced review under the Merger Process Guidelines.</w:t>
            </w:r>
          </w:p>
          <w:p w:rsidR="00A17B17" w:rsidRPr="0016276A" w:rsidRDefault="00A17B17" w:rsidP="001554FD">
            <w:pPr>
              <w:spacing w:before="120" w:after="120"/>
              <w:rPr>
                <w:rFonts w:ascii="Arial" w:hAnsi="Arial" w:cs="Arial"/>
                <w:sz w:val="22"/>
                <w:szCs w:val="22"/>
              </w:rPr>
            </w:pPr>
            <w:r w:rsidRPr="0016276A">
              <w:rPr>
                <w:rFonts w:ascii="Arial" w:hAnsi="Arial" w:cs="Arial"/>
                <w:sz w:val="22"/>
                <w:szCs w:val="22"/>
              </w:rPr>
              <w:t>Closing date for submissions from interested parties.</w:t>
            </w:r>
          </w:p>
          <w:p w:rsidR="00A17B17" w:rsidRPr="0016276A" w:rsidRDefault="00A17B17" w:rsidP="001554FD">
            <w:pPr>
              <w:spacing w:before="120" w:after="120"/>
              <w:rPr>
                <w:rFonts w:ascii="Arial" w:hAnsi="Arial" w:cs="Arial"/>
                <w:sz w:val="22"/>
                <w:szCs w:val="22"/>
              </w:rPr>
            </w:pPr>
            <w:r w:rsidRPr="0016276A">
              <w:rPr>
                <w:rFonts w:ascii="Arial" w:hAnsi="Arial" w:cs="Arial"/>
                <w:sz w:val="22"/>
                <w:szCs w:val="22"/>
              </w:rPr>
              <w:t>ACCC timeline suspended to allow the merger parties to provide</w:t>
            </w:r>
            <w:r w:rsidR="001554FD" w:rsidRPr="0016276A">
              <w:rPr>
                <w:rFonts w:ascii="Arial" w:hAnsi="Arial" w:cs="Arial"/>
                <w:sz w:val="22"/>
                <w:szCs w:val="22"/>
              </w:rPr>
              <w:t xml:space="preserve"> </w:t>
            </w:r>
            <w:r w:rsidRPr="0016276A">
              <w:rPr>
                <w:rFonts w:ascii="Arial" w:hAnsi="Arial" w:cs="Arial"/>
                <w:sz w:val="22"/>
                <w:szCs w:val="22"/>
              </w:rPr>
              <w:t>further information. Former proposed decision date of 26 September</w:t>
            </w:r>
            <w:r w:rsidR="001554FD" w:rsidRPr="0016276A">
              <w:rPr>
                <w:rFonts w:ascii="Arial" w:hAnsi="Arial" w:cs="Arial"/>
                <w:sz w:val="22"/>
                <w:szCs w:val="22"/>
              </w:rPr>
              <w:t xml:space="preserve"> </w:t>
            </w:r>
            <w:r w:rsidRPr="0016276A">
              <w:rPr>
                <w:rFonts w:ascii="Arial" w:hAnsi="Arial" w:cs="Arial"/>
                <w:sz w:val="22"/>
                <w:szCs w:val="22"/>
              </w:rPr>
              <w:t>2013 delayed.</w:t>
            </w:r>
          </w:p>
          <w:p w:rsidR="00A17B17" w:rsidRPr="0016276A" w:rsidRDefault="00A17B17" w:rsidP="001554FD">
            <w:pPr>
              <w:spacing w:before="120" w:after="120"/>
              <w:rPr>
                <w:rFonts w:ascii="Arial" w:hAnsi="Arial" w:cs="Arial"/>
                <w:sz w:val="22"/>
                <w:szCs w:val="22"/>
              </w:rPr>
            </w:pPr>
            <w:r w:rsidRPr="0016276A">
              <w:rPr>
                <w:rFonts w:ascii="Arial" w:hAnsi="Arial" w:cs="Arial"/>
                <w:sz w:val="22"/>
                <w:szCs w:val="22"/>
              </w:rPr>
              <w:t>ACCC timeline recommenced following receipt of further information</w:t>
            </w:r>
            <w:r w:rsidR="001554FD" w:rsidRPr="0016276A">
              <w:rPr>
                <w:rFonts w:ascii="Arial" w:hAnsi="Arial" w:cs="Arial"/>
                <w:sz w:val="22"/>
                <w:szCs w:val="22"/>
              </w:rPr>
              <w:t xml:space="preserve"> </w:t>
            </w:r>
            <w:r w:rsidRPr="0016276A">
              <w:rPr>
                <w:rFonts w:ascii="Arial" w:hAnsi="Arial" w:cs="Arial"/>
                <w:sz w:val="22"/>
                <w:szCs w:val="22"/>
              </w:rPr>
              <w:t>from merger parties.</w:t>
            </w:r>
          </w:p>
          <w:p w:rsidR="00AF1C87" w:rsidRPr="0016276A" w:rsidRDefault="00A17B17" w:rsidP="001554FD">
            <w:pPr>
              <w:spacing w:before="120" w:after="120"/>
              <w:rPr>
                <w:rFonts w:ascii="Arial" w:hAnsi="Arial" w:cs="Arial"/>
                <w:sz w:val="22"/>
                <w:szCs w:val="22"/>
              </w:rPr>
            </w:pPr>
            <w:r w:rsidRPr="0016276A">
              <w:rPr>
                <w:rFonts w:ascii="Arial" w:hAnsi="Arial" w:cs="Arial"/>
                <w:sz w:val="22"/>
                <w:szCs w:val="22"/>
              </w:rPr>
              <w:t>Former proposed decision date of 19 December 2013 delayed at</w:t>
            </w:r>
            <w:r w:rsidR="001554FD" w:rsidRPr="0016276A">
              <w:rPr>
                <w:rFonts w:ascii="Arial" w:hAnsi="Arial" w:cs="Arial"/>
                <w:sz w:val="22"/>
                <w:szCs w:val="22"/>
              </w:rPr>
              <w:t xml:space="preserve"> </w:t>
            </w:r>
            <w:r w:rsidRPr="0016276A">
              <w:rPr>
                <w:rFonts w:ascii="Arial" w:hAnsi="Arial" w:cs="Arial"/>
                <w:sz w:val="22"/>
                <w:szCs w:val="22"/>
              </w:rPr>
              <w:t>merger parties' request to allow them to provide further information</w:t>
            </w:r>
            <w:r w:rsidR="001554FD" w:rsidRPr="0016276A">
              <w:rPr>
                <w:rFonts w:ascii="Arial" w:hAnsi="Arial" w:cs="Arial"/>
                <w:sz w:val="22"/>
                <w:szCs w:val="22"/>
              </w:rPr>
              <w:t xml:space="preserve"> </w:t>
            </w:r>
            <w:r w:rsidRPr="0016276A">
              <w:rPr>
                <w:rFonts w:ascii="Arial" w:hAnsi="Arial" w:cs="Arial"/>
                <w:sz w:val="22"/>
                <w:szCs w:val="22"/>
              </w:rPr>
              <w:t>to the ACCC.</w:t>
            </w:r>
          </w:p>
          <w:p w:rsidR="0072605F" w:rsidRPr="0016276A" w:rsidRDefault="0072605F" w:rsidP="002E09F4">
            <w:pPr>
              <w:spacing w:before="120" w:after="240"/>
              <w:rPr>
                <w:rFonts w:ascii="Arial" w:hAnsi="Arial" w:cs="Arial"/>
                <w:sz w:val="22"/>
                <w:szCs w:val="22"/>
              </w:rPr>
            </w:pPr>
            <w:r w:rsidRPr="0016276A">
              <w:rPr>
                <w:rFonts w:ascii="Arial" w:hAnsi="Arial" w:cs="Arial"/>
                <w:sz w:val="22"/>
                <w:szCs w:val="22"/>
              </w:rPr>
              <w:t>ACCC commenced review of the</w:t>
            </w:r>
            <w:r w:rsidR="00113E4D" w:rsidRPr="0016276A">
              <w:rPr>
                <w:rFonts w:ascii="Arial" w:hAnsi="Arial" w:cs="Arial"/>
                <w:sz w:val="22"/>
                <w:szCs w:val="22"/>
              </w:rPr>
              <w:t xml:space="preserve"> </w:t>
            </w:r>
            <w:r w:rsidR="004B1FA4" w:rsidRPr="0016276A">
              <w:rPr>
                <w:rFonts w:ascii="Arial" w:hAnsi="Arial" w:cs="Arial"/>
                <w:sz w:val="22"/>
                <w:szCs w:val="22"/>
              </w:rPr>
              <w:t>Fullarton Acquisition</w:t>
            </w:r>
            <w:r w:rsidRPr="0016276A">
              <w:rPr>
                <w:rFonts w:ascii="Arial" w:hAnsi="Arial" w:cs="Arial"/>
                <w:sz w:val="22"/>
                <w:szCs w:val="22"/>
              </w:rPr>
              <w:t>.</w:t>
            </w:r>
          </w:p>
          <w:p w:rsidR="00321E4C" w:rsidRPr="0016276A" w:rsidRDefault="00321E4C" w:rsidP="00050EC6">
            <w:pPr>
              <w:spacing w:before="240" w:after="120"/>
              <w:rPr>
                <w:rFonts w:ascii="Arial" w:hAnsi="Arial" w:cs="Arial"/>
                <w:sz w:val="22"/>
                <w:szCs w:val="22"/>
              </w:rPr>
            </w:pPr>
            <w:r w:rsidRPr="0016276A">
              <w:rPr>
                <w:rFonts w:ascii="Arial" w:hAnsi="Arial" w:cs="Arial"/>
                <w:sz w:val="22"/>
                <w:szCs w:val="22"/>
              </w:rPr>
              <w:lastRenderedPageBreak/>
              <w:t>Further information received. ACCC timeline recommenced.</w:t>
            </w:r>
          </w:p>
          <w:p w:rsidR="002E09F4" w:rsidRPr="0016276A" w:rsidRDefault="00321E4C" w:rsidP="002E09F4">
            <w:pPr>
              <w:spacing w:before="120" w:after="120"/>
              <w:rPr>
                <w:rFonts w:ascii="Arial" w:hAnsi="Arial" w:cs="Arial"/>
                <w:sz w:val="22"/>
                <w:szCs w:val="22"/>
              </w:rPr>
            </w:pPr>
            <w:r w:rsidRPr="0016276A">
              <w:rPr>
                <w:rFonts w:ascii="Arial" w:hAnsi="Arial" w:cs="Arial"/>
                <w:sz w:val="22"/>
                <w:szCs w:val="22"/>
              </w:rPr>
              <w:t xml:space="preserve">ACCC announced it would not oppose the </w:t>
            </w:r>
            <w:r w:rsidR="002E09F4" w:rsidRPr="0016276A">
              <w:rPr>
                <w:rFonts w:ascii="Arial" w:hAnsi="Arial" w:cs="Arial"/>
                <w:sz w:val="22"/>
                <w:szCs w:val="22"/>
              </w:rPr>
              <w:t>A</w:t>
            </w:r>
            <w:r w:rsidRPr="0016276A">
              <w:rPr>
                <w:rFonts w:ascii="Arial" w:hAnsi="Arial" w:cs="Arial"/>
                <w:sz w:val="22"/>
                <w:szCs w:val="22"/>
              </w:rPr>
              <w:t xml:space="preserve">cquisition subject to a section 87B undertaking accepted by ACCC. </w:t>
            </w:r>
          </w:p>
          <w:p w:rsidR="00116AAE" w:rsidRPr="0016276A" w:rsidRDefault="002E09F4" w:rsidP="002E09F4">
            <w:pPr>
              <w:spacing w:before="120" w:after="120"/>
              <w:rPr>
                <w:rFonts w:ascii="Arial" w:hAnsi="Arial" w:cs="Arial"/>
                <w:sz w:val="22"/>
                <w:szCs w:val="22"/>
              </w:rPr>
            </w:pPr>
            <w:r w:rsidRPr="0016276A">
              <w:rPr>
                <w:rFonts w:ascii="Arial" w:hAnsi="Arial" w:cs="Arial"/>
                <w:sz w:val="22"/>
                <w:szCs w:val="22"/>
              </w:rPr>
              <w:t>ACCC announced it would oppose the Fullarton Acquisition.</w:t>
            </w:r>
            <w:r w:rsidR="00037729" w:rsidRPr="0016276A">
              <w:rPr>
                <w:rStyle w:val="FootnoteReference"/>
                <w:rFonts w:cs="Arial"/>
                <w:szCs w:val="22"/>
              </w:rPr>
              <w:footnoteReference w:id="5"/>
            </w:r>
          </w:p>
        </w:tc>
      </w:tr>
    </w:tbl>
    <w:p w:rsidR="00AF1C87" w:rsidRPr="0016276A" w:rsidRDefault="00AF1C87" w:rsidP="006A7FE8">
      <w:pPr>
        <w:pStyle w:val="Heading3"/>
      </w:pPr>
      <w:r w:rsidRPr="0016276A">
        <w:lastRenderedPageBreak/>
        <w:t>Market inquiries</w:t>
      </w:r>
    </w:p>
    <w:p w:rsidR="00AF1C87" w:rsidRPr="0016276A" w:rsidRDefault="00AF1C87" w:rsidP="00CC0B2E">
      <w:pPr>
        <w:pStyle w:val="NormalParagraph"/>
        <w:ind w:hanging="502"/>
      </w:pPr>
      <w:r w:rsidRPr="0016276A">
        <w:t xml:space="preserve">The ACCC conducted market inquiries </w:t>
      </w:r>
      <w:r w:rsidR="0062749F" w:rsidRPr="0016276A">
        <w:t xml:space="preserve">in relation to the Acquisition </w:t>
      </w:r>
      <w:r w:rsidRPr="0016276A">
        <w:t xml:space="preserve">with a range of industry participants, including competitors, </w:t>
      </w:r>
      <w:r w:rsidR="000F0E80" w:rsidRPr="0016276A">
        <w:t xml:space="preserve">industry </w:t>
      </w:r>
      <w:r w:rsidRPr="0016276A">
        <w:t>bodies and other interested parties. Submissions were sought in relation to the sub</w:t>
      </w:r>
      <w:r w:rsidR="000F0E80" w:rsidRPr="0016276A">
        <w:t>stantive competition issues</w:t>
      </w:r>
      <w:r w:rsidRPr="0016276A">
        <w:t>.</w:t>
      </w:r>
    </w:p>
    <w:p w:rsidR="0062749F" w:rsidRPr="0016276A" w:rsidRDefault="0062749F" w:rsidP="00CC0B2E">
      <w:pPr>
        <w:pStyle w:val="NormalParagraph"/>
        <w:ind w:hanging="502"/>
      </w:pPr>
      <w:r w:rsidRPr="0016276A">
        <w:t>In reaching its decision on the</w:t>
      </w:r>
      <w:r w:rsidR="001803AD" w:rsidRPr="0016276A">
        <w:t xml:space="preserve"> </w:t>
      </w:r>
      <w:r w:rsidR="004B1FA4" w:rsidRPr="0016276A">
        <w:t>Fullarton Acquisition</w:t>
      </w:r>
      <w:r w:rsidRPr="0016276A">
        <w:t>, the ACCC made use of information gathered during market inquiries in relation to the Acquisition, as well as further information that was gathered specifically in relation to the Fullarton</w:t>
      </w:r>
      <w:r w:rsidR="004B1FA4" w:rsidRPr="0016276A">
        <w:t xml:space="preserve"> Acquisition</w:t>
      </w:r>
      <w:r w:rsidRPr="0016276A">
        <w:t>.</w:t>
      </w:r>
    </w:p>
    <w:p w:rsidR="00AF1C87" w:rsidRPr="0016276A" w:rsidRDefault="00AF1C87" w:rsidP="006A7FE8">
      <w:pPr>
        <w:pStyle w:val="Heading3"/>
      </w:pPr>
      <w:r w:rsidRPr="0016276A">
        <w:t>Statement of Issues</w:t>
      </w:r>
    </w:p>
    <w:p w:rsidR="00643755" w:rsidRPr="0016276A" w:rsidRDefault="00AF1C87" w:rsidP="00CC0B2E">
      <w:pPr>
        <w:pStyle w:val="NormalParagraph"/>
        <w:ind w:hanging="502"/>
      </w:pPr>
      <w:r w:rsidRPr="0016276A">
        <w:t xml:space="preserve">The ACCC </w:t>
      </w:r>
      <w:r w:rsidR="00643755" w:rsidRPr="0016276A">
        <w:t xml:space="preserve">did not </w:t>
      </w:r>
      <w:r w:rsidRPr="0016276A">
        <w:t>publish</w:t>
      </w:r>
      <w:r w:rsidR="00643755" w:rsidRPr="0016276A">
        <w:t xml:space="preserve"> a</w:t>
      </w:r>
      <w:r w:rsidRPr="0016276A">
        <w:t xml:space="preserve"> Statement of Issues </w:t>
      </w:r>
      <w:r w:rsidR="00643755" w:rsidRPr="0016276A">
        <w:t xml:space="preserve">in relation to its review of the </w:t>
      </w:r>
      <w:r w:rsidR="001D33E4" w:rsidRPr="0016276A">
        <w:t>Acquisition</w:t>
      </w:r>
      <w:r w:rsidR="00355BBF" w:rsidRPr="0016276A">
        <w:t xml:space="preserve"> or its review of the </w:t>
      </w:r>
      <w:r w:rsidR="004B1FA4" w:rsidRPr="0016276A">
        <w:t>Fullarton Acquisition</w:t>
      </w:r>
      <w:r w:rsidR="00643755" w:rsidRPr="0016276A">
        <w:t xml:space="preserve">. </w:t>
      </w:r>
    </w:p>
    <w:p w:rsidR="00091F2B" w:rsidRPr="0016276A" w:rsidRDefault="00091F2B" w:rsidP="00CC0B2E">
      <w:pPr>
        <w:pStyle w:val="NormalParagraph"/>
        <w:ind w:hanging="502"/>
      </w:pPr>
      <w:r w:rsidRPr="0016276A">
        <w:t>The ACCC took this approach because it received a substantial amount of information during market inquiries, and remain</w:t>
      </w:r>
      <w:r w:rsidR="00922D74" w:rsidRPr="0016276A">
        <w:t>ed</w:t>
      </w:r>
      <w:r w:rsidRPr="0016276A">
        <w:t xml:space="preserve"> in contact with market participants throughout the course of the review. In the circumstances, the ACCC considered that a Statement of Issues would not</w:t>
      </w:r>
      <w:r w:rsidR="00D61F38" w:rsidRPr="0016276A">
        <w:t xml:space="preserve"> be likely to</w:t>
      </w:r>
      <w:r w:rsidRPr="0016276A">
        <w:t xml:space="preserve"> provide significant new information, and would involve an unnecessary extension of the time taken by the review.</w:t>
      </w:r>
    </w:p>
    <w:p w:rsidR="00091F2B" w:rsidRPr="0016276A" w:rsidRDefault="00091F2B" w:rsidP="00CC0B2E">
      <w:pPr>
        <w:pStyle w:val="NormalParagraph"/>
        <w:ind w:hanging="502"/>
      </w:pPr>
      <w:r w:rsidRPr="0016276A">
        <w:t>The merger parties were made aware that the ACCC would be making a final decision without releasing a Statement of Issues</w:t>
      </w:r>
      <w:r w:rsidR="00C6015C" w:rsidRPr="0016276A">
        <w:t xml:space="preserve">. The merger parties were </w:t>
      </w:r>
      <w:r w:rsidR="00AA448A" w:rsidRPr="0016276A">
        <w:t xml:space="preserve">made aware of and </w:t>
      </w:r>
      <w:r w:rsidRPr="0016276A">
        <w:t xml:space="preserve">provided with </w:t>
      </w:r>
      <w:r w:rsidR="00C6015C" w:rsidRPr="0016276A">
        <w:t xml:space="preserve">multiple </w:t>
      </w:r>
      <w:r w:rsidRPr="0016276A">
        <w:t>opportunit</w:t>
      </w:r>
      <w:r w:rsidR="00C6015C" w:rsidRPr="0016276A">
        <w:t>ies</w:t>
      </w:r>
      <w:r w:rsidRPr="0016276A">
        <w:t xml:space="preserve"> to respond to issues and concerns arising from market inquiries</w:t>
      </w:r>
      <w:r w:rsidR="008576AC" w:rsidRPr="0016276A">
        <w:t xml:space="preserve"> and other analysis conducted by the ACCC</w:t>
      </w:r>
      <w:r w:rsidR="00CB6894" w:rsidRPr="0016276A">
        <w:t>.</w:t>
      </w:r>
    </w:p>
    <w:p w:rsidR="00D121D1" w:rsidRPr="0016276A" w:rsidRDefault="00F06154" w:rsidP="00D121D1">
      <w:pPr>
        <w:pStyle w:val="Heading3"/>
      </w:pPr>
      <w:r w:rsidRPr="0016276A">
        <w:t>Undertaking</w:t>
      </w:r>
    </w:p>
    <w:p w:rsidR="00D121D1" w:rsidRPr="0016276A" w:rsidRDefault="00905297" w:rsidP="00CC0B2E">
      <w:pPr>
        <w:pStyle w:val="NormalParagraph"/>
        <w:ind w:hanging="502"/>
      </w:pPr>
      <w:r w:rsidRPr="0016276A">
        <w:t xml:space="preserve">On </w:t>
      </w:r>
      <w:r w:rsidR="008E7627" w:rsidRPr="0016276A">
        <w:t xml:space="preserve">24 February </w:t>
      </w:r>
      <w:r w:rsidR="008B49D9" w:rsidRPr="0016276A">
        <w:t xml:space="preserve">2014 </w:t>
      </w:r>
      <w:r w:rsidR="006410BA" w:rsidRPr="0016276A">
        <w:t>Peregrine</w:t>
      </w:r>
      <w:r w:rsidR="008B49D9" w:rsidRPr="0016276A">
        <w:t xml:space="preserve"> </w:t>
      </w:r>
      <w:r w:rsidR="006410BA" w:rsidRPr="0016276A">
        <w:t>offered</w:t>
      </w:r>
      <w:r w:rsidRPr="0016276A">
        <w:t xml:space="preserve"> </w:t>
      </w:r>
      <w:r w:rsidR="006410BA" w:rsidRPr="0016276A">
        <w:t xml:space="preserve">a draft </w:t>
      </w:r>
      <w:r w:rsidRPr="0016276A">
        <w:t xml:space="preserve">court enforceable </w:t>
      </w:r>
      <w:r w:rsidR="00F06154" w:rsidRPr="0016276A">
        <w:t>undertaking</w:t>
      </w:r>
      <w:r w:rsidRPr="0016276A">
        <w:t xml:space="preserve"> pursuant to section 87B of the Act. The </w:t>
      </w:r>
      <w:r w:rsidR="00F06154" w:rsidRPr="0016276A">
        <w:t>undertaking</w:t>
      </w:r>
      <w:r w:rsidRPr="0016276A">
        <w:t xml:space="preserve"> </w:t>
      </w:r>
      <w:r w:rsidR="00F06154" w:rsidRPr="0016276A">
        <w:t xml:space="preserve">was </w:t>
      </w:r>
      <w:r w:rsidR="00680CC1" w:rsidRPr="0016276A">
        <w:t xml:space="preserve">given </w:t>
      </w:r>
      <w:r w:rsidRPr="0016276A">
        <w:t xml:space="preserve">by Peregrine to address the ACCC’s competition concerns in </w:t>
      </w:r>
      <w:r w:rsidR="008B7F7F" w:rsidRPr="0016276A">
        <w:t>certain</w:t>
      </w:r>
      <w:r w:rsidRPr="0016276A">
        <w:t xml:space="preserve"> local markets </w:t>
      </w:r>
      <w:r w:rsidR="00CE7796" w:rsidRPr="0016276A">
        <w:t>for the retail supply of petrol.</w:t>
      </w:r>
    </w:p>
    <w:p w:rsidR="004159F9" w:rsidRPr="0016276A" w:rsidRDefault="004159F9" w:rsidP="00CC0B2E">
      <w:pPr>
        <w:pStyle w:val="NormalParagraph"/>
        <w:ind w:hanging="502"/>
      </w:pPr>
      <w:bookmarkStart w:id="22" w:name="_Ref387414715"/>
      <w:r w:rsidRPr="0016276A">
        <w:t>Peregrine’s undertaking required Peregrine to divest the following sites that Peregrine acquired from BP:</w:t>
      </w:r>
      <w:bookmarkEnd w:id="22"/>
    </w:p>
    <w:p w:rsidR="004159F9" w:rsidRPr="0016276A" w:rsidRDefault="00E43EC6" w:rsidP="0068571F">
      <w:pPr>
        <w:pStyle w:val="ABCList"/>
        <w:numPr>
          <w:ilvl w:val="0"/>
          <w:numId w:val="7"/>
        </w:numPr>
      </w:pPr>
      <w:r w:rsidRPr="0016276A">
        <w:lastRenderedPageBreak/>
        <w:t xml:space="preserve">BP Elizabeth Vale – </w:t>
      </w:r>
      <w:r w:rsidR="001A0914" w:rsidRPr="0016276A">
        <w:t xml:space="preserve">Cnr Main North &amp; Hogarth Roads, Elizabeth Vale </w:t>
      </w:r>
      <w:r w:rsidR="00A123BA" w:rsidRPr="0016276A">
        <w:t>(to Caltex)</w:t>
      </w:r>
      <w:r w:rsidR="001D33E4" w:rsidRPr="0016276A">
        <w:t>.</w:t>
      </w:r>
    </w:p>
    <w:p w:rsidR="00EC5F7F" w:rsidRPr="0016276A" w:rsidRDefault="00EC5F7F" w:rsidP="0068571F">
      <w:pPr>
        <w:pStyle w:val="ABCList"/>
        <w:numPr>
          <w:ilvl w:val="0"/>
          <w:numId w:val="7"/>
        </w:numPr>
      </w:pPr>
      <w:r w:rsidRPr="0016276A">
        <w:t xml:space="preserve">BP Mile End - </w:t>
      </w:r>
      <w:r w:rsidR="00B805B6" w:rsidRPr="0016276A">
        <w:t>95 Henley Beach Road, Mile End (to Agostino)</w:t>
      </w:r>
      <w:r w:rsidR="006A45CE" w:rsidRPr="0016276A">
        <w:t>.</w:t>
      </w:r>
    </w:p>
    <w:p w:rsidR="004159F9" w:rsidRPr="0016276A" w:rsidRDefault="00A123BA" w:rsidP="0068571F">
      <w:pPr>
        <w:pStyle w:val="ABCList"/>
        <w:numPr>
          <w:ilvl w:val="0"/>
          <w:numId w:val="7"/>
        </w:numPr>
      </w:pPr>
      <w:r w:rsidRPr="0016276A">
        <w:t xml:space="preserve">BP Westbourne Park – </w:t>
      </w:r>
      <w:r w:rsidR="009E5AA9" w:rsidRPr="0016276A">
        <w:t xml:space="preserve">427 Goodwood Road, Westbourne Park </w:t>
      </w:r>
      <w:r w:rsidR="004159F9" w:rsidRPr="0016276A">
        <w:t>(to Caltex).</w:t>
      </w:r>
    </w:p>
    <w:p w:rsidR="00053D8C" w:rsidRPr="0016276A" w:rsidRDefault="00876FC2" w:rsidP="00CC0B2E">
      <w:pPr>
        <w:pStyle w:val="NormalParagraph"/>
        <w:ind w:hanging="502"/>
      </w:pPr>
      <w:bookmarkStart w:id="23" w:name="_Ref387414724"/>
      <w:r w:rsidRPr="0016276A">
        <w:t xml:space="preserve">The </w:t>
      </w:r>
      <w:r w:rsidR="00905297" w:rsidRPr="0016276A">
        <w:t>undertaking</w:t>
      </w:r>
      <w:r w:rsidR="00E846F5" w:rsidRPr="0016276A">
        <w:t xml:space="preserve"> also</w:t>
      </w:r>
      <w:r w:rsidR="00905297" w:rsidRPr="0016276A">
        <w:t xml:space="preserve"> required Peregrine to divest</w:t>
      </w:r>
      <w:r w:rsidR="000705B6" w:rsidRPr="0016276A">
        <w:t xml:space="preserve"> </w:t>
      </w:r>
      <w:r w:rsidR="00941E26" w:rsidRPr="0016276A">
        <w:t xml:space="preserve">one </w:t>
      </w:r>
      <w:r w:rsidR="004159F9" w:rsidRPr="0016276A">
        <w:t xml:space="preserve">of </w:t>
      </w:r>
      <w:r w:rsidR="000705B6" w:rsidRPr="0016276A">
        <w:t>its existing petrol stations</w:t>
      </w:r>
      <w:r w:rsidR="001A7C43" w:rsidRPr="0016276A">
        <w:t xml:space="preserve"> </w:t>
      </w:r>
      <w:r w:rsidR="00631E53" w:rsidRPr="0016276A">
        <w:t>—</w:t>
      </w:r>
      <w:r w:rsidR="001A7C43" w:rsidRPr="0016276A">
        <w:t xml:space="preserve"> </w:t>
      </w:r>
      <w:r w:rsidR="00A123BA" w:rsidRPr="0016276A">
        <w:t xml:space="preserve">On the Run </w:t>
      </w:r>
      <w:r w:rsidR="00A305A6" w:rsidRPr="0016276A">
        <w:t>South Plympton</w:t>
      </w:r>
      <w:r w:rsidR="001A7C43" w:rsidRPr="0016276A">
        <w:t xml:space="preserve"> </w:t>
      </w:r>
      <w:r w:rsidR="00631E53" w:rsidRPr="0016276A">
        <w:t>—</w:t>
      </w:r>
      <w:r w:rsidR="001A7C43" w:rsidRPr="0016276A">
        <w:t xml:space="preserve"> </w:t>
      </w:r>
      <w:r w:rsidR="00A305A6" w:rsidRPr="0016276A">
        <w:t xml:space="preserve">445 Marion Rd &amp; Cross Rd, South Plympton </w:t>
      </w:r>
      <w:r w:rsidR="00053D8C" w:rsidRPr="0016276A">
        <w:t>(to Caltex)</w:t>
      </w:r>
      <w:r w:rsidR="00287968" w:rsidRPr="0016276A">
        <w:t xml:space="preserve"> to address concerns associated with the proposed acquisition of BP Mitchell Park</w:t>
      </w:r>
      <w:r w:rsidR="001D33E4" w:rsidRPr="0016276A">
        <w:t>.</w:t>
      </w:r>
      <w:bookmarkEnd w:id="23"/>
    </w:p>
    <w:p w:rsidR="007F5293" w:rsidRPr="0016276A" w:rsidRDefault="00851EB5" w:rsidP="00CC0B2E">
      <w:pPr>
        <w:pStyle w:val="NormalParagraph"/>
        <w:ind w:hanging="502"/>
      </w:pPr>
      <w:r w:rsidRPr="0016276A">
        <w:t>The ACCC concluded that the divestment of the</w:t>
      </w:r>
      <w:r w:rsidR="00E07803" w:rsidRPr="0016276A">
        <w:t>se</w:t>
      </w:r>
      <w:r w:rsidRPr="0016276A">
        <w:t xml:space="preserve"> businesses by Peregrine addressed</w:t>
      </w:r>
      <w:r w:rsidR="00380017" w:rsidRPr="0016276A">
        <w:t xml:space="preserve"> </w:t>
      </w:r>
      <w:r w:rsidRPr="0016276A">
        <w:t>the ACCC’s competition concerns</w:t>
      </w:r>
      <w:r w:rsidR="00CE7796" w:rsidRPr="0016276A">
        <w:t xml:space="preserve"> associated with the</w:t>
      </w:r>
      <w:r w:rsidR="00852E34" w:rsidRPr="0016276A">
        <w:t xml:space="preserve"> original</w:t>
      </w:r>
      <w:r w:rsidR="00CE7796" w:rsidRPr="0016276A">
        <w:t xml:space="preserve"> Acquisition</w:t>
      </w:r>
      <w:r w:rsidR="000C69D7" w:rsidRPr="0016276A">
        <w:t xml:space="preserve">. </w:t>
      </w:r>
      <w:r w:rsidR="00CD4897" w:rsidRPr="0016276A">
        <w:t xml:space="preserve">The ACCC further concluded that the divestments required by the undertaking did not themselves raise any competition concerns. </w:t>
      </w:r>
      <w:r w:rsidR="009D6778" w:rsidRPr="0016276A">
        <w:t xml:space="preserve">Accordingly the ACCC accepted the </w:t>
      </w:r>
      <w:r w:rsidR="00F06154" w:rsidRPr="0016276A">
        <w:t>undertaking</w:t>
      </w:r>
      <w:r w:rsidR="007A0E11" w:rsidRPr="0016276A">
        <w:t xml:space="preserve"> </w:t>
      </w:r>
      <w:r w:rsidR="00680CC1" w:rsidRPr="0016276A">
        <w:t xml:space="preserve">given </w:t>
      </w:r>
      <w:r w:rsidR="007A0E11" w:rsidRPr="0016276A">
        <w:t>by Peregrine</w:t>
      </w:r>
      <w:r w:rsidR="00050EC6" w:rsidRPr="0016276A">
        <w:t xml:space="preserve"> on 8 May 2014</w:t>
      </w:r>
      <w:r w:rsidR="009D6778" w:rsidRPr="0016276A">
        <w:t>.</w:t>
      </w:r>
      <w:r w:rsidR="00CD4897" w:rsidRPr="0016276A">
        <w:t xml:space="preserve"> </w:t>
      </w:r>
    </w:p>
    <w:p w:rsidR="00AA448A" w:rsidRPr="0016276A" w:rsidRDefault="00053D8C" w:rsidP="00CC0B2E">
      <w:pPr>
        <w:pStyle w:val="NormalParagraph"/>
        <w:ind w:hanging="502"/>
      </w:pPr>
      <w:r w:rsidRPr="0016276A">
        <w:t xml:space="preserve">The relevance of the </w:t>
      </w:r>
      <w:r w:rsidR="00F06154" w:rsidRPr="0016276A">
        <w:t>undertaking</w:t>
      </w:r>
      <w:r w:rsidRPr="0016276A">
        <w:t xml:space="preserve"> to competition concerns identified by the ACCC </w:t>
      </w:r>
      <w:r w:rsidR="002503B3" w:rsidRPr="0016276A">
        <w:t xml:space="preserve">in relation to the Acquisition </w:t>
      </w:r>
      <w:r w:rsidR="00D121D1" w:rsidRPr="0016276A">
        <w:t xml:space="preserve">is discussed </w:t>
      </w:r>
      <w:r w:rsidRPr="0016276A">
        <w:t>in the competition analysis section of this document.</w:t>
      </w:r>
      <w:r w:rsidR="00AA448A" w:rsidRPr="0016276A">
        <w:t xml:space="preserve"> </w:t>
      </w:r>
    </w:p>
    <w:p w:rsidR="00AA448A" w:rsidRPr="0016276A" w:rsidRDefault="00AA448A" w:rsidP="00CC0B2E">
      <w:pPr>
        <w:pStyle w:val="NormalParagraph"/>
        <w:ind w:hanging="502"/>
      </w:pPr>
      <w:r w:rsidRPr="0016276A">
        <w:t>However, the undertaking did not address the ACCC’s competition concerns associated with the</w:t>
      </w:r>
      <w:r w:rsidR="00C10511" w:rsidRPr="0016276A">
        <w:t xml:space="preserve"> </w:t>
      </w:r>
      <w:r w:rsidR="004B1FA4" w:rsidRPr="0016276A">
        <w:t>Fullarton Acquisition</w:t>
      </w:r>
      <w:r w:rsidRPr="0016276A">
        <w:t>.</w:t>
      </w:r>
    </w:p>
    <w:p w:rsidR="00AF1C87" w:rsidRPr="0016276A" w:rsidRDefault="00484CFA" w:rsidP="006A7FE8">
      <w:pPr>
        <w:pStyle w:val="Heading3"/>
      </w:pPr>
      <w:r w:rsidRPr="0016276A">
        <w:t>Future with and without the acquisition</w:t>
      </w:r>
    </w:p>
    <w:p w:rsidR="006A7FE8" w:rsidRPr="0016276A" w:rsidRDefault="006A7FE8" w:rsidP="00CC0B2E">
      <w:pPr>
        <w:pStyle w:val="NormalParagraph"/>
        <w:ind w:hanging="502"/>
      </w:pPr>
      <w:r w:rsidRPr="0016276A">
        <w:t xml:space="preserve">Section 50 of the Act prohibits acquisitions </w:t>
      </w:r>
      <w:r w:rsidR="00AA448A" w:rsidRPr="0016276A">
        <w:t xml:space="preserve">of shares or assets </w:t>
      </w:r>
      <w:r w:rsidRPr="0016276A">
        <w:t>that would have the effect or be likely to have the effect of substantially lessening competition in a</w:t>
      </w:r>
      <w:r w:rsidR="00DA5429" w:rsidRPr="0016276A">
        <w:t>ny</w:t>
      </w:r>
      <w:r w:rsidRPr="0016276A">
        <w:t xml:space="preserve"> market. In </w:t>
      </w:r>
      <w:r w:rsidR="00AA448A" w:rsidRPr="0016276A">
        <w:t xml:space="preserve">determining whether </w:t>
      </w:r>
      <w:r w:rsidRPr="0016276A">
        <w:t xml:space="preserve">a proposed acquisition </w:t>
      </w:r>
      <w:r w:rsidR="00AA448A" w:rsidRPr="0016276A">
        <w:t xml:space="preserve">is likely to have the effect of substantially lessening competition </w:t>
      </w:r>
      <w:r w:rsidRPr="0016276A">
        <w:t xml:space="preserve">pursuant to section 50 of the Act, the ACCC considers the </w:t>
      </w:r>
      <w:r w:rsidR="00AA448A" w:rsidRPr="0016276A">
        <w:t xml:space="preserve">likely future state of competition </w:t>
      </w:r>
      <w:r w:rsidRPr="0016276A">
        <w:t xml:space="preserve">by comparing the likely future </w:t>
      </w:r>
      <w:r w:rsidR="00AA448A" w:rsidRPr="0016276A">
        <w:t xml:space="preserve">with the proposed </w:t>
      </w:r>
      <w:r w:rsidRPr="0016276A">
        <w:t xml:space="preserve">acquisition </w:t>
      </w:r>
      <w:r w:rsidR="00AA448A" w:rsidRPr="0016276A">
        <w:t xml:space="preserve">and </w:t>
      </w:r>
      <w:r w:rsidRPr="0016276A">
        <w:t xml:space="preserve">the likely future </w:t>
      </w:r>
      <w:r w:rsidR="00AA448A" w:rsidRPr="0016276A">
        <w:t xml:space="preserve">without </w:t>
      </w:r>
      <w:r w:rsidRPr="0016276A">
        <w:t xml:space="preserve">the </w:t>
      </w:r>
      <w:r w:rsidR="00AA448A" w:rsidRPr="0016276A">
        <w:t xml:space="preserve">proposed </w:t>
      </w:r>
      <w:r w:rsidRPr="0016276A">
        <w:t>acquisition.</w:t>
      </w:r>
    </w:p>
    <w:p w:rsidR="009D6973" w:rsidRPr="0016276A" w:rsidRDefault="00AA448A" w:rsidP="00CC0B2E">
      <w:pPr>
        <w:pStyle w:val="NormalParagraph"/>
        <w:ind w:hanging="502"/>
      </w:pPr>
      <w:r w:rsidRPr="0016276A">
        <w:t xml:space="preserve">In this case, </w:t>
      </w:r>
      <w:r w:rsidR="000A76A4" w:rsidRPr="0016276A">
        <w:t xml:space="preserve">BP submitted that </w:t>
      </w:r>
      <w:r w:rsidR="009D6973" w:rsidRPr="0016276A">
        <w:t xml:space="preserve">it </w:t>
      </w:r>
      <w:r w:rsidR="000A76A4" w:rsidRPr="0016276A">
        <w:t xml:space="preserve">would continue to own and operate the </w:t>
      </w:r>
      <w:r w:rsidR="001D3F9E" w:rsidRPr="0016276A">
        <w:t>T</w:t>
      </w:r>
      <w:r w:rsidR="000A76A4" w:rsidRPr="0016276A">
        <w:t xml:space="preserve">arget </w:t>
      </w:r>
      <w:r w:rsidR="001D3F9E" w:rsidRPr="0016276A">
        <w:t>S</w:t>
      </w:r>
      <w:r w:rsidR="000A76A4" w:rsidRPr="0016276A">
        <w:t xml:space="preserve">ites in the absence of the </w:t>
      </w:r>
      <w:r w:rsidR="004F2EFB" w:rsidRPr="0016276A">
        <w:t>A</w:t>
      </w:r>
      <w:r w:rsidR="000A76A4" w:rsidRPr="0016276A">
        <w:t xml:space="preserve">cquisition. </w:t>
      </w:r>
    </w:p>
    <w:p w:rsidR="009D6973" w:rsidRPr="0016276A" w:rsidRDefault="009D6973" w:rsidP="00CC0B2E">
      <w:pPr>
        <w:pStyle w:val="NormalParagraph"/>
        <w:ind w:hanging="502"/>
      </w:pPr>
      <w:r w:rsidRPr="0016276A">
        <w:t>The ACCC conducted market inquiries and carefully considered publicly available information, as well as extensive confidential information provided by the parties</w:t>
      </w:r>
      <w:r w:rsidR="00FE613D" w:rsidRPr="0016276A">
        <w:t>,</w:t>
      </w:r>
      <w:r w:rsidRPr="0016276A">
        <w:t xml:space="preserve"> to test this submission.</w:t>
      </w:r>
    </w:p>
    <w:p w:rsidR="009D6973" w:rsidRPr="0016276A" w:rsidRDefault="00B43439" w:rsidP="00CC0B2E">
      <w:pPr>
        <w:pStyle w:val="NormalParagraph"/>
        <w:ind w:hanging="502"/>
      </w:pPr>
      <w:r w:rsidRPr="0016276A">
        <w:t xml:space="preserve">Based on the information available to it at the time, the ACCC formed the view that </w:t>
      </w:r>
      <w:r w:rsidR="005C311F" w:rsidRPr="0016276A">
        <w:t xml:space="preserve">in the </w:t>
      </w:r>
      <w:r w:rsidR="00AA448A" w:rsidRPr="0016276A">
        <w:t xml:space="preserve">future without </w:t>
      </w:r>
      <w:r w:rsidR="005C311F" w:rsidRPr="0016276A">
        <w:t>the Acquisition</w:t>
      </w:r>
      <w:r w:rsidR="00AA448A" w:rsidRPr="0016276A">
        <w:t>,</w:t>
      </w:r>
      <w:r w:rsidR="005C311F" w:rsidRPr="0016276A">
        <w:t xml:space="preserve"> BP would continue to own and operate the Target Sites for the foreseeable future.</w:t>
      </w:r>
      <w:r w:rsidR="00325602" w:rsidRPr="0016276A">
        <w:t xml:space="preserve"> </w:t>
      </w:r>
      <w:r w:rsidR="009D6973" w:rsidRPr="0016276A">
        <w:t xml:space="preserve">In this </w:t>
      </w:r>
      <w:r w:rsidR="00335C21" w:rsidRPr="0016276A">
        <w:t xml:space="preserve">respect, </w:t>
      </w:r>
      <w:r w:rsidR="009D6973" w:rsidRPr="0016276A">
        <w:t xml:space="preserve">the ACCC </w:t>
      </w:r>
      <w:r w:rsidR="00325602" w:rsidRPr="0016276A">
        <w:t xml:space="preserve">accepted BP’s submission that </w:t>
      </w:r>
      <w:r w:rsidR="009D6973" w:rsidRPr="0016276A">
        <w:t>the appropriate 'without' position was a continuation of the status quo.</w:t>
      </w:r>
      <w:r w:rsidR="00AB486D" w:rsidRPr="0016276A">
        <w:t xml:space="preserve"> However, as discussed in greater detail below at </w:t>
      </w:r>
      <w:r w:rsidR="00C1039B" w:rsidRPr="0016276A">
        <w:t xml:space="preserve">paragraphs </w:t>
      </w:r>
      <w:r w:rsidR="00AB486D" w:rsidRPr="0016276A">
        <w:fldChar w:fldCharType="begin"/>
      </w:r>
      <w:r w:rsidR="00AB486D" w:rsidRPr="0016276A">
        <w:instrText xml:space="preserve"> REF _Ref380660962 \w \h </w:instrText>
      </w:r>
      <w:r w:rsidR="0016276A">
        <w:instrText xml:space="preserve"> \* MERGEFORMAT </w:instrText>
      </w:r>
      <w:r w:rsidR="00AB486D" w:rsidRPr="0016276A">
        <w:fldChar w:fldCharType="separate"/>
      </w:r>
      <w:r w:rsidR="00F126FE">
        <w:t>87</w:t>
      </w:r>
      <w:r w:rsidR="00AB486D" w:rsidRPr="0016276A">
        <w:fldChar w:fldCharType="end"/>
      </w:r>
      <w:r w:rsidR="00AB486D" w:rsidRPr="0016276A">
        <w:t xml:space="preserve"> </w:t>
      </w:r>
      <w:r w:rsidR="00C1039B" w:rsidRPr="0016276A">
        <w:t xml:space="preserve">to </w:t>
      </w:r>
      <w:r w:rsidR="00AB486D" w:rsidRPr="0016276A">
        <w:fldChar w:fldCharType="begin"/>
      </w:r>
      <w:r w:rsidR="00AB486D" w:rsidRPr="0016276A">
        <w:instrText xml:space="preserve"> REF _Ref380675426 \w \h </w:instrText>
      </w:r>
      <w:r w:rsidR="0016276A">
        <w:instrText xml:space="preserve"> \* MERGEFORMAT </w:instrText>
      </w:r>
      <w:r w:rsidR="00AB486D" w:rsidRPr="0016276A">
        <w:fldChar w:fldCharType="separate"/>
      </w:r>
      <w:r w:rsidR="00F126FE">
        <w:t>93</w:t>
      </w:r>
      <w:r w:rsidR="00AB486D" w:rsidRPr="0016276A">
        <w:fldChar w:fldCharType="end"/>
      </w:r>
      <w:r w:rsidR="00AB486D" w:rsidRPr="0016276A">
        <w:t xml:space="preserve">, the ACCC did not accept that this necessarily </w:t>
      </w:r>
      <w:r w:rsidR="00870A59" w:rsidRPr="0016276A">
        <w:t xml:space="preserve">meant </w:t>
      </w:r>
      <w:r w:rsidR="00335C21" w:rsidRPr="0016276A">
        <w:t>that</w:t>
      </w:r>
      <w:r w:rsidR="00AB486D" w:rsidRPr="0016276A">
        <w:t xml:space="preserve"> BP’s historic </w:t>
      </w:r>
      <w:r w:rsidR="00870A59" w:rsidRPr="0016276A">
        <w:t xml:space="preserve">pricing and competitive </w:t>
      </w:r>
      <w:r w:rsidR="00AB486D" w:rsidRPr="0016276A">
        <w:t>behaviour in Adelaide</w:t>
      </w:r>
      <w:r w:rsidR="00335C21" w:rsidRPr="0016276A">
        <w:t xml:space="preserve"> would continue unchanged</w:t>
      </w:r>
      <w:r w:rsidR="00AB486D" w:rsidRPr="0016276A">
        <w:t>.</w:t>
      </w:r>
    </w:p>
    <w:p w:rsidR="00D86CCC" w:rsidRPr="0016276A" w:rsidRDefault="00D86CCC" w:rsidP="00CC0B2E">
      <w:pPr>
        <w:pStyle w:val="NormalParagraph"/>
        <w:ind w:hanging="502"/>
      </w:pPr>
      <w:r w:rsidRPr="0016276A">
        <w:t xml:space="preserve">The ACCC was provided with no evidence to suggest that Caltex would cease to operate Caltex Fullarton in the absence of Peregrine’s proposed acquisition of that site. Accordingly, </w:t>
      </w:r>
      <w:r w:rsidR="00870A59" w:rsidRPr="0016276A">
        <w:t xml:space="preserve">the likely future without the proposed acquisition was </w:t>
      </w:r>
      <w:r w:rsidRPr="0016276A">
        <w:t>Caltex’s continued operation of Caltex Fullarton.</w:t>
      </w:r>
    </w:p>
    <w:p w:rsidR="00B75AE0" w:rsidRPr="0016276A" w:rsidRDefault="00B75AE0" w:rsidP="00B75AE0">
      <w:pPr>
        <w:pStyle w:val="Heading3"/>
      </w:pPr>
      <w:r w:rsidRPr="0016276A">
        <w:lastRenderedPageBreak/>
        <w:t>Competition analysis</w:t>
      </w:r>
      <w:r w:rsidR="00453E06" w:rsidRPr="0016276A">
        <w:t>: the Acquisition</w:t>
      </w:r>
    </w:p>
    <w:p w:rsidR="00B75AE0" w:rsidRPr="0016276A" w:rsidRDefault="008B02E1" w:rsidP="00CC0B2E">
      <w:pPr>
        <w:pStyle w:val="NormalParagraph"/>
        <w:ind w:hanging="502"/>
      </w:pPr>
      <w:r w:rsidRPr="0016276A">
        <w:t xml:space="preserve">The ACCC considered whether the Acquisition would be likely to </w:t>
      </w:r>
      <w:r w:rsidR="00870A59" w:rsidRPr="0016276A">
        <w:t xml:space="preserve">have the effect of </w:t>
      </w:r>
      <w:r w:rsidRPr="0016276A">
        <w:t>substantial</w:t>
      </w:r>
      <w:r w:rsidR="00870A59" w:rsidRPr="0016276A">
        <w:t>ly</w:t>
      </w:r>
      <w:r w:rsidRPr="0016276A">
        <w:t xml:space="preserve"> lessening of competition by</w:t>
      </w:r>
      <w:r w:rsidR="00ED0B8F" w:rsidRPr="0016276A">
        <w:t xml:space="preserve"> </w:t>
      </w:r>
      <w:r w:rsidRPr="0016276A">
        <w:t>elimina</w:t>
      </w:r>
      <w:r w:rsidR="0060059E" w:rsidRPr="0016276A">
        <w:t>ting BP as a competitor</w:t>
      </w:r>
      <w:r w:rsidR="00ED0B8F" w:rsidRPr="0016276A">
        <w:t xml:space="preserve">, and increasing the number of petrol sites under Peregrine’s control. </w:t>
      </w:r>
      <w:r w:rsidR="00BD06F1" w:rsidRPr="0016276A">
        <w:t xml:space="preserve">This question was relevant to </w:t>
      </w:r>
      <w:r w:rsidR="00ED0B8F" w:rsidRPr="0016276A">
        <w:t xml:space="preserve">competition between the </w:t>
      </w:r>
      <w:r w:rsidR="00E07803" w:rsidRPr="0016276A">
        <w:t>fuel</w:t>
      </w:r>
      <w:r w:rsidR="00ED0B8F" w:rsidRPr="0016276A">
        <w:t xml:space="preserve"> networks </w:t>
      </w:r>
      <w:r w:rsidR="006E75B4" w:rsidRPr="0016276A">
        <w:t xml:space="preserve">that occurs on an </w:t>
      </w:r>
      <w:r w:rsidR="00ED0B8F" w:rsidRPr="0016276A">
        <w:t>Adelaide</w:t>
      </w:r>
      <w:r w:rsidR="006E75B4" w:rsidRPr="0016276A">
        <w:t>-wide basis</w:t>
      </w:r>
      <w:r w:rsidR="00ED0B8F" w:rsidRPr="0016276A">
        <w:t xml:space="preserve">, </w:t>
      </w:r>
      <w:r w:rsidR="00870A59" w:rsidRPr="0016276A">
        <w:t xml:space="preserve">as well as </w:t>
      </w:r>
      <w:r w:rsidR="00223CE4" w:rsidRPr="0016276A">
        <w:t xml:space="preserve">to </w:t>
      </w:r>
      <w:r w:rsidR="00E516FF" w:rsidRPr="0016276A">
        <w:t xml:space="preserve">local </w:t>
      </w:r>
      <w:r w:rsidR="00ED0B8F" w:rsidRPr="0016276A">
        <w:t>competition between individual sites.</w:t>
      </w:r>
    </w:p>
    <w:p w:rsidR="00B75AE0" w:rsidRPr="0016276A" w:rsidRDefault="00B75AE0" w:rsidP="00B75AE0">
      <w:pPr>
        <w:pStyle w:val="Heading4"/>
      </w:pPr>
      <w:r w:rsidRPr="0016276A">
        <w:t>Market definition</w:t>
      </w:r>
    </w:p>
    <w:p w:rsidR="003E2245" w:rsidRPr="0016276A" w:rsidRDefault="00BC1CC6" w:rsidP="00CC0B2E">
      <w:pPr>
        <w:pStyle w:val="NormalParagraph"/>
        <w:ind w:hanging="502"/>
      </w:pPr>
      <w:r w:rsidRPr="0016276A">
        <w:t xml:space="preserve">The </w:t>
      </w:r>
      <w:r w:rsidR="00B458B5" w:rsidRPr="0016276A">
        <w:t xml:space="preserve">ACCC </w:t>
      </w:r>
      <w:r w:rsidR="003E2245" w:rsidRPr="0016276A">
        <w:t>considered the competitive effect of the Acquisition in the following markets:</w:t>
      </w:r>
    </w:p>
    <w:p w:rsidR="003E2245" w:rsidRPr="0016276A" w:rsidRDefault="00C75AAA" w:rsidP="0068571F">
      <w:pPr>
        <w:pStyle w:val="ABCList"/>
        <w:numPr>
          <w:ilvl w:val="0"/>
          <w:numId w:val="28"/>
        </w:numPr>
      </w:pPr>
      <w:r w:rsidRPr="0016276A">
        <w:t>T</w:t>
      </w:r>
      <w:r w:rsidR="003E2245" w:rsidRPr="0016276A">
        <w:t xml:space="preserve">he market for the retail supply of petrol in Adelaide (the </w:t>
      </w:r>
      <w:r w:rsidR="003E2245" w:rsidRPr="0016276A">
        <w:rPr>
          <w:b/>
        </w:rPr>
        <w:t>Adelaide market</w:t>
      </w:r>
      <w:r w:rsidR="003E2245" w:rsidRPr="0016276A">
        <w:t>)</w:t>
      </w:r>
      <w:r w:rsidRPr="0016276A">
        <w:t>.</w:t>
      </w:r>
    </w:p>
    <w:p w:rsidR="000D226E" w:rsidRPr="0016276A" w:rsidRDefault="00C75AAA" w:rsidP="00B458B5">
      <w:pPr>
        <w:pStyle w:val="ABCList"/>
      </w:pPr>
      <w:r w:rsidRPr="0016276A">
        <w:t>L</w:t>
      </w:r>
      <w:r w:rsidR="003E2245" w:rsidRPr="0016276A">
        <w:t xml:space="preserve">ocal markets for the retail supply of petrol in areas surrounding each of the </w:t>
      </w:r>
      <w:r w:rsidR="002503B3" w:rsidRPr="0016276A">
        <w:t>T</w:t>
      </w:r>
      <w:r w:rsidR="003E2245" w:rsidRPr="0016276A">
        <w:t xml:space="preserve">arget </w:t>
      </w:r>
      <w:r w:rsidR="002503B3" w:rsidRPr="0016276A">
        <w:t>S</w:t>
      </w:r>
      <w:r w:rsidR="003E2245" w:rsidRPr="0016276A">
        <w:t xml:space="preserve">ites (the </w:t>
      </w:r>
      <w:r w:rsidR="003E2245" w:rsidRPr="0016276A">
        <w:rPr>
          <w:b/>
        </w:rPr>
        <w:t>local markets</w:t>
      </w:r>
      <w:r w:rsidR="003E2245" w:rsidRPr="0016276A">
        <w:t>).</w:t>
      </w:r>
    </w:p>
    <w:p w:rsidR="000D226E" w:rsidRPr="0016276A" w:rsidRDefault="000D226E" w:rsidP="000A2AA5">
      <w:pPr>
        <w:pStyle w:val="Heading5"/>
        <w:keepNext/>
      </w:pPr>
      <w:r w:rsidRPr="0016276A">
        <w:t>Product dimension</w:t>
      </w:r>
    </w:p>
    <w:p w:rsidR="0001039D" w:rsidRPr="0016276A" w:rsidRDefault="009252CD" w:rsidP="00CC0B2E">
      <w:pPr>
        <w:pStyle w:val="NormalParagraph"/>
        <w:ind w:hanging="502"/>
      </w:pPr>
      <w:r w:rsidRPr="0016276A">
        <w:t xml:space="preserve">As noted above at paragraph </w:t>
      </w:r>
      <w:r w:rsidRPr="0016276A">
        <w:fldChar w:fldCharType="begin"/>
      </w:r>
      <w:r w:rsidRPr="0016276A">
        <w:instrText xml:space="preserve"> REF _Ref392159535 \r \h </w:instrText>
      </w:r>
      <w:r w:rsidR="0016276A">
        <w:instrText xml:space="preserve"> \* MERGEFORMAT </w:instrText>
      </w:r>
      <w:r w:rsidRPr="0016276A">
        <w:fldChar w:fldCharType="separate"/>
      </w:r>
      <w:r w:rsidR="00F126FE">
        <w:t>22</w:t>
      </w:r>
      <w:r w:rsidRPr="0016276A">
        <w:fldChar w:fldCharType="end"/>
      </w:r>
      <w:r w:rsidRPr="0016276A">
        <w:t xml:space="preserve">, three </w:t>
      </w:r>
      <w:r w:rsidR="00511F60" w:rsidRPr="0016276A">
        <w:t>types of fuel products are commonly sold at retail service stations</w:t>
      </w:r>
      <w:r w:rsidRPr="0016276A">
        <w:t xml:space="preserve"> in South Australia</w:t>
      </w:r>
      <w:r w:rsidR="00511F60" w:rsidRPr="0016276A">
        <w:t xml:space="preserve">: </w:t>
      </w:r>
      <w:r w:rsidR="00F445FD" w:rsidRPr="0016276A">
        <w:t xml:space="preserve">petrol (including regular unleaded, premium unleaded and </w:t>
      </w:r>
      <w:r w:rsidR="00EF2B5B" w:rsidRPr="0016276A">
        <w:t>ethanol blends</w:t>
      </w:r>
      <w:r w:rsidR="00F445FD" w:rsidRPr="0016276A">
        <w:t>)</w:t>
      </w:r>
      <w:r w:rsidR="00511F60" w:rsidRPr="0016276A">
        <w:t>, diesel and LPG.</w:t>
      </w:r>
      <w:r w:rsidR="00175990" w:rsidRPr="0016276A">
        <w:rPr>
          <w:rStyle w:val="FootnoteReference"/>
        </w:rPr>
        <w:footnoteReference w:id="6"/>
      </w:r>
      <w:r w:rsidR="0001039D" w:rsidRPr="0016276A">
        <w:t xml:space="preserve"> </w:t>
      </w:r>
    </w:p>
    <w:p w:rsidR="00F445FD" w:rsidRPr="0016276A" w:rsidRDefault="008B7FE5" w:rsidP="00CC0B2E">
      <w:pPr>
        <w:pStyle w:val="NormalParagraph"/>
        <w:ind w:hanging="502"/>
      </w:pPr>
      <w:bookmarkStart w:id="24" w:name="_Ref392168318"/>
      <w:r w:rsidRPr="0016276A">
        <w:t xml:space="preserve">For the purpose of considering the Acquisition, the ACCC did not consider it necessary to form a definitive view as to the specific product dimension of the relevant retail markets. For simplicity, </w:t>
      </w:r>
      <w:r w:rsidR="00F445FD" w:rsidRPr="0016276A">
        <w:t>this Public Competition Assessment</w:t>
      </w:r>
      <w:r w:rsidR="00A71480" w:rsidRPr="0016276A">
        <w:t xml:space="preserve"> </w:t>
      </w:r>
      <w:r w:rsidR="00CE13C7" w:rsidRPr="0016276A">
        <w:t xml:space="preserve">discusses </w:t>
      </w:r>
      <w:r w:rsidR="00A71480" w:rsidRPr="0016276A">
        <w:t>the effect of the Acquisition in the context of retail markets for the supply of petrol</w:t>
      </w:r>
      <w:r w:rsidRPr="0016276A">
        <w:t xml:space="preserve"> only</w:t>
      </w:r>
      <w:r w:rsidR="00A71480" w:rsidRPr="0016276A">
        <w:t xml:space="preserve">. </w:t>
      </w:r>
      <w:r w:rsidR="00CE13C7" w:rsidRPr="0016276A">
        <w:t xml:space="preserve">The ACCC considers </w:t>
      </w:r>
      <w:r w:rsidR="00D429B3" w:rsidRPr="0016276A">
        <w:t xml:space="preserve">that most of </w:t>
      </w:r>
      <w:r w:rsidR="00CE13C7" w:rsidRPr="0016276A">
        <w:t>the issues discussed in this document apply equally to the retail sale of diesel and LPG.</w:t>
      </w:r>
      <w:bookmarkEnd w:id="24"/>
      <w:r w:rsidR="00CE13C7" w:rsidRPr="0016276A">
        <w:t xml:space="preserve"> </w:t>
      </w:r>
    </w:p>
    <w:p w:rsidR="00D61AEB" w:rsidRPr="0016276A" w:rsidRDefault="00D61AEB" w:rsidP="002A42F0">
      <w:pPr>
        <w:pStyle w:val="Heading5"/>
        <w:keepNext/>
      </w:pPr>
      <w:r w:rsidRPr="0016276A">
        <w:t>Geographic dimension</w:t>
      </w:r>
    </w:p>
    <w:p w:rsidR="00C50814" w:rsidRPr="0016276A" w:rsidRDefault="003C1946" w:rsidP="00CC0B2E">
      <w:pPr>
        <w:pStyle w:val="NormalParagraph"/>
        <w:ind w:hanging="502"/>
      </w:pPr>
      <w:r w:rsidRPr="0016276A">
        <w:t xml:space="preserve">The ACCC considers that competition between </w:t>
      </w:r>
      <w:r w:rsidR="00744FCA" w:rsidRPr="0016276A">
        <w:t>petrol r</w:t>
      </w:r>
      <w:r w:rsidRPr="0016276A">
        <w:t xml:space="preserve">etailers in Adelaide occurs at </w:t>
      </w:r>
      <w:r w:rsidR="00576E5A" w:rsidRPr="0016276A">
        <w:t>two geographic levels</w:t>
      </w:r>
      <w:r w:rsidR="00C50814" w:rsidRPr="0016276A">
        <w:t>:</w:t>
      </w:r>
    </w:p>
    <w:p w:rsidR="00C50814" w:rsidRPr="0016276A" w:rsidRDefault="002C65F0" w:rsidP="0068571F">
      <w:pPr>
        <w:pStyle w:val="ABCList"/>
        <w:numPr>
          <w:ilvl w:val="0"/>
          <w:numId w:val="29"/>
        </w:numPr>
      </w:pPr>
      <w:r w:rsidRPr="0016276A">
        <w:t>across Adelaide</w:t>
      </w:r>
      <w:r w:rsidR="001C139F" w:rsidRPr="0016276A">
        <w:t xml:space="preserve"> (the Adelaide market)</w:t>
      </w:r>
    </w:p>
    <w:p w:rsidR="003C1946" w:rsidRPr="0016276A" w:rsidRDefault="008C6252" w:rsidP="008C6252">
      <w:pPr>
        <w:pStyle w:val="ABCList"/>
      </w:pPr>
      <w:r w:rsidRPr="0016276A">
        <w:t>in particular local markets</w:t>
      </w:r>
      <w:r w:rsidR="00615BB6" w:rsidRPr="0016276A">
        <w:t xml:space="preserve"> in Adelaide</w:t>
      </w:r>
      <w:r w:rsidRPr="0016276A">
        <w:t xml:space="preserve">. </w:t>
      </w:r>
    </w:p>
    <w:p w:rsidR="00192AB7" w:rsidRPr="0016276A" w:rsidRDefault="005328AC" w:rsidP="00CC0B2E">
      <w:pPr>
        <w:pStyle w:val="NormalParagraph"/>
        <w:ind w:hanging="502"/>
      </w:pPr>
      <w:r w:rsidRPr="0016276A">
        <w:t xml:space="preserve">Competition </w:t>
      </w:r>
      <w:r w:rsidR="001C139F" w:rsidRPr="0016276A">
        <w:t xml:space="preserve">in the </w:t>
      </w:r>
      <w:r w:rsidR="002C65F0" w:rsidRPr="0016276A">
        <w:t>Adelaide</w:t>
      </w:r>
      <w:r w:rsidR="001C139F" w:rsidRPr="0016276A">
        <w:t xml:space="preserve"> </w:t>
      </w:r>
      <w:r w:rsidRPr="0016276A">
        <w:t xml:space="preserve">market relates to </w:t>
      </w:r>
      <w:r w:rsidR="00F67EFF" w:rsidRPr="0016276A">
        <w:t>rivalry</w:t>
      </w:r>
      <w:r w:rsidRPr="0016276A">
        <w:t xml:space="preserve"> between Peregrine and other retail</w:t>
      </w:r>
      <w:r w:rsidR="00BF4DE3" w:rsidRPr="0016276A">
        <w:t>ers</w:t>
      </w:r>
      <w:r w:rsidRPr="0016276A">
        <w:t xml:space="preserve"> (such as Caltex</w:t>
      </w:r>
      <w:r w:rsidR="001971C7" w:rsidRPr="0016276A">
        <w:t xml:space="preserve">/Woolworths </w:t>
      </w:r>
      <w:r w:rsidR="00791B74" w:rsidRPr="0016276A">
        <w:t>an</w:t>
      </w:r>
      <w:r w:rsidR="00EF2B5B" w:rsidRPr="0016276A">
        <w:t>d</w:t>
      </w:r>
      <w:r w:rsidR="00791B74" w:rsidRPr="0016276A">
        <w:t xml:space="preserve"> </w:t>
      </w:r>
      <w:r w:rsidRPr="0016276A">
        <w:t>Coles Express)</w:t>
      </w:r>
      <w:r w:rsidR="00BF4DE3" w:rsidRPr="0016276A">
        <w:t xml:space="preserve"> that occur</w:t>
      </w:r>
      <w:r w:rsidR="00F67EFF" w:rsidRPr="0016276A">
        <w:t>s</w:t>
      </w:r>
      <w:r w:rsidR="00BF4DE3" w:rsidRPr="0016276A">
        <w:t xml:space="preserve"> on an Adelaide-wide basis</w:t>
      </w:r>
      <w:r w:rsidRPr="0016276A">
        <w:t xml:space="preserve">. </w:t>
      </w:r>
      <w:r w:rsidR="00192AB7" w:rsidRPr="0016276A">
        <w:t xml:space="preserve">An aspect of competition that occurs in </w:t>
      </w:r>
      <w:r w:rsidR="001C139F" w:rsidRPr="0016276A">
        <w:t xml:space="preserve">the </w:t>
      </w:r>
      <w:r w:rsidR="00192AB7" w:rsidRPr="0016276A">
        <w:t>Adelaide market is the behaviour of retailers during the restoration phase of the petrol price cycle. As described above at</w:t>
      </w:r>
      <w:r w:rsidR="00C1039B" w:rsidRPr="0016276A">
        <w:t xml:space="preserve"> paragraph</w:t>
      </w:r>
      <w:r w:rsidR="00192AB7" w:rsidRPr="0016276A">
        <w:t xml:space="preserve"> </w:t>
      </w:r>
      <w:r w:rsidR="00732410" w:rsidRPr="0016276A">
        <w:fldChar w:fldCharType="begin"/>
      </w:r>
      <w:r w:rsidR="00732410" w:rsidRPr="0016276A">
        <w:instrText xml:space="preserve"> REF _Ref391544787 \r \h </w:instrText>
      </w:r>
      <w:r w:rsidR="0016276A">
        <w:instrText xml:space="preserve"> \* MERGEFORMAT </w:instrText>
      </w:r>
      <w:r w:rsidR="00732410" w:rsidRPr="0016276A">
        <w:fldChar w:fldCharType="separate"/>
      </w:r>
      <w:r w:rsidR="00F126FE">
        <w:t>34</w:t>
      </w:r>
      <w:r w:rsidR="00732410" w:rsidRPr="0016276A">
        <w:fldChar w:fldCharType="end"/>
      </w:r>
      <w:r w:rsidR="007E22BE" w:rsidRPr="0016276A">
        <w:t xml:space="preserve">, during the restoration phase, retailers tend to adjust prices across a broad number of sites within Adelaide at the same time. In the vast majority of cases, prices </w:t>
      </w:r>
      <w:r w:rsidR="007E22BE" w:rsidRPr="0016276A">
        <w:rPr>
          <w:rFonts w:cs="Arial"/>
          <w:color w:val="000000"/>
        </w:rPr>
        <w:t>tend to be restored to the same level (or close to the same level) across competitors and across different local areas within Adelaide.</w:t>
      </w:r>
      <w:r w:rsidR="000A2AA5" w:rsidRPr="0016276A">
        <w:rPr>
          <w:rFonts w:cs="Arial"/>
          <w:color w:val="000000"/>
        </w:rPr>
        <w:t xml:space="preserve"> However, </w:t>
      </w:r>
      <w:r w:rsidR="000A2AA5" w:rsidRPr="0016276A">
        <w:t>local factors may also have an effect on competition in the restoration phase by influencing the timing of restorations at individual sites.</w:t>
      </w:r>
    </w:p>
    <w:p w:rsidR="00337548" w:rsidRPr="0016276A" w:rsidRDefault="005328AC" w:rsidP="00CC0B2E">
      <w:pPr>
        <w:pStyle w:val="NormalParagraph"/>
        <w:ind w:hanging="502"/>
      </w:pPr>
      <w:r w:rsidRPr="0016276A">
        <w:t xml:space="preserve">Competition in local markets relates to </w:t>
      </w:r>
      <w:r w:rsidR="00FA3B8A" w:rsidRPr="0016276A">
        <w:t xml:space="preserve">rivalry among sites located close to each other, </w:t>
      </w:r>
      <w:r w:rsidRPr="0016276A">
        <w:t xml:space="preserve">in particular local areas or along particular stretches of road. </w:t>
      </w:r>
      <w:r w:rsidR="00337548" w:rsidRPr="0016276A">
        <w:t>During the discount</w:t>
      </w:r>
      <w:r w:rsidR="00852B49" w:rsidRPr="0016276A">
        <w:t>ing</w:t>
      </w:r>
      <w:r w:rsidR="00337548" w:rsidRPr="0016276A">
        <w:t xml:space="preserve"> phase of the petrol price cycle, </w:t>
      </w:r>
      <w:r w:rsidR="00C776B2" w:rsidRPr="0016276A">
        <w:t xml:space="preserve">most </w:t>
      </w:r>
      <w:r w:rsidR="00337548" w:rsidRPr="0016276A">
        <w:t xml:space="preserve">petrol retailers set prices at each individual site that they operate (the ‘base site’) by reference to prices of their </w:t>
      </w:r>
      <w:r w:rsidR="00337548" w:rsidRPr="0016276A">
        <w:lastRenderedPageBreak/>
        <w:t xml:space="preserve">nearby rivals (known as ‘marker’ sites). Each base site has its own list of marker sites. The markers for a site are typically </w:t>
      </w:r>
      <w:r w:rsidR="00E529B9" w:rsidRPr="0016276A">
        <w:t>relatively close to</w:t>
      </w:r>
      <w:r w:rsidR="00337548" w:rsidRPr="0016276A">
        <w:t xml:space="preserve"> that site. This reflects localised competition</w:t>
      </w:r>
      <w:r w:rsidR="006C5D65" w:rsidRPr="0016276A">
        <w:t xml:space="preserve"> that is particularly important</w:t>
      </w:r>
      <w:r w:rsidR="00337548" w:rsidRPr="0016276A">
        <w:t xml:space="preserve"> in the discounting phase</w:t>
      </w:r>
      <w:r w:rsidR="00C776B2" w:rsidRPr="0016276A">
        <w:t>.</w:t>
      </w:r>
    </w:p>
    <w:p w:rsidR="00C776B2" w:rsidRPr="0016276A" w:rsidRDefault="00C776B2" w:rsidP="00622723">
      <w:pPr>
        <w:pStyle w:val="NormalParagraph"/>
        <w:keepNext/>
        <w:ind w:left="363" w:hanging="505"/>
      </w:pPr>
      <w:r w:rsidRPr="0016276A">
        <w:t>As a result of this localised aspect of competition:</w:t>
      </w:r>
    </w:p>
    <w:p w:rsidR="00C776B2" w:rsidRPr="0016276A" w:rsidRDefault="00C776B2" w:rsidP="0068571F">
      <w:pPr>
        <w:pStyle w:val="ABCList"/>
        <w:numPr>
          <w:ilvl w:val="0"/>
          <w:numId w:val="30"/>
        </w:numPr>
      </w:pPr>
      <w:r w:rsidRPr="0016276A">
        <w:t>during the discounting phase a retailer will often have different prices at its different sites across Adelaide</w:t>
      </w:r>
    </w:p>
    <w:p w:rsidR="00C776B2" w:rsidRPr="0016276A" w:rsidRDefault="00C776B2" w:rsidP="00C776B2">
      <w:pPr>
        <w:pStyle w:val="ABCList"/>
      </w:pPr>
      <w:r w:rsidRPr="0016276A">
        <w:t xml:space="preserve">changes in the price </w:t>
      </w:r>
      <w:r w:rsidR="00870A59" w:rsidRPr="0016276A">
        <w:t>at</w:t>
      </w:r>
      <w:r w:rsidR="00FC1943" w:rsidRPr="0016276A">
        <w:t xml:space="preserve"> </w:t>
      </w:r>
      <w:r w:rsidRPr="0016276A">
        <w:t>a site tend to be correlated more closely with changes in the price at other nearby sites than with other sites in other parts of Adelaide</w:t>
      </w:r>
    </w:p>
    <w:p w:rsidR="00337548" w:rsidRPr="0016276A" w:rsidRDefault="00CD4897" w:rsidP="00C776B2">
      <w:pPr>
        <w:pStyle w:val="ABCList"/>
      </w:pPr>
      <w:r w:rsidRPr="0016276A">
        <w:t>prices differ</w:t>
      </w:r>
      <w:r w:rsidR="00CC692B" w:rsidRPr="0016276A">
        <w:t xml:space="preserve"> between regions</w:t>
      </w:r>
      <w:r w:rsidR="00631E53" w:rsidRPr="0016276A">
        <w:t xml:space="preserve"> (</w:t>
      </w:r>
      <w:r w:rsidR="00C776B2" w:rsidRPr="0016276A">
        <w:t>petrol sites in some regions of Adelaide are, on average, more expensive than petrol sites of the same brand in other regions of Adelaide</w:t>
      </w:r>
      <w:r w:rsidR="00631E53" w:rsidRPr="0016276A">
        <w:t>)</w:t>
      </w:r>
      <w:r w:rsidR="00C776B2" w:rsidRPr="0016276A">
        <w:t>.</w:t>
      </w:r>
    </w:p>
    <w:p w:rsidR="00161623" w:rsidRPr="0016276A" w:rsidRDefault="00161623" w:rsidP="00CC0B2E">
      <w:pPr>
        <w:pStyle w:val="NormalParagraph"/>
        <w:ind w:hanging="502"/>
      </w:pPr>
      <w:r w:rsidRPr="0016276A">
        <w:t xml:space="preserve">In </w:t>
      </w:r>
      <w:r w:rsidR="00A46E99" w:rsidRPr="0016276A">
        <w:t xml:space="preserve">identifying the relevant geographic scope of local retail markets, the ACCC examined the geographic substitution possibilities in relation to each of the Target Sites. In considering each local market the </w:t>
      </w:r>
      <w:r w:rsidR="00D1201C" w:rsidRPr="0016276A">
        <w:t xml:space="preserve">ACCC </w:t>
      </w:r>
      <w:r w:rsidR="002D2DBC" w:rsidRPr="0016276A">
        <w:t>took account of detailed information including</w:t>
      </w:r>
      <w:r w:rsidRPr="0016276A">
        <w:t>:</w:t>
      </w:r>
    </w:p>
    <w:p w:rsidR="00161623" w:rsidRPr="0016276A" w:rsidRDefault="003175F5" w:rsidP="0068571F">
      <w:pPr>
        <w:pStyle w:val="ABCList"/>
        <w:numPr>
          <w:ilvl w:val="0"/>
          <w:numId w:val="31"/>
        </w:numPr>
      </w:pPr>
      <w:r w:rsidRPr="0016276A">
        <w:t xml:space="preserve">the identity of the </w:t>
      </w:r>
      <w:r w:rsidR="00161623" w:rsidRPr="0016276A">
        <w:t xml:space="preserve">marker sites used by BP to set prices at the </w:t>
      </w:r>
      <w:r w:rsidRPr="0016276A">
        <w:t>T</w:t>
      </w:r>
      <w:r w:rsidR="00161623" w:rsidRPr="0016276A">
        <w:t xml:space="preserve">arget </w:t>
      </w:r>
      <w:r w:rsidRPr="0016276A">
        <w:t>S</w:t>
      </w:r>
      <w:r w:rsidR="00161623" w:rsidRPr="0016276A">
        <w:t>ite</w:t>
      </w:r>
    </w:p>
    <w:p w:rsidR="003175F5" w:rsidRPr="0016276A" w:rsidRDefault="003175F5" w:rsidP="00D60ED3">
      <w:pPr>
        <w:pStyle w:val="ABCList"/>
      </w:pPr>
      <w:r w:rsidRPr="0016276A">
        <w:t>the identity of the marker sites used by Peregrine and other competitors to set prices at their nearby sites</w:t>
      </w:r>
    </w:p>
    <w:p w:rsidR="003175F5" w:rsidRPr="0016276A" w:rsidRDefault="003175F5" w:rsidP="00D60ED3">
      <w:pPr>
        <w:pStyle w:val="ABCList"/>
      </w:pPr>
      <w:r w:rsidRPr="0016276A">
        <w:t>traffic flow information relating to the area around the Target Site, and roads on which the Target Site was located</w:t>
      </w:r>
    </w:p>
    <w:p w:rsidR="008E2B87" w:rsidRPr="0016276A" w:rsidRDefault="003175F5" w:rsidP="00D60ED3">
      <w:pPr>
        <w:pStyle w:val="ABCList"/>
      </w:pPr>
      <w:r w:rsidRPr="0016276A">
        <w:t xml:space="preserve">direct evidence provided by the merger parties and other market participants showing the extent to which particular sites </w:t>
      </w:r>
      <w:r w:rsidR="00142BA8" w:rsidRPr="0016276A">
        <w:t xml:space="preserve">respond </w:t>
      </w:r>
      <w:r w:rsidRPr="0016276A">
        <w:t>competitively to the actions of the Target Site, or other nearby sites</w:t>
      </w:r>
    </w:p>
    <w:p w:rsidR="00161623" w:rsidRPr="0016276A" w:rsidRDefault="008E2B87" w:rsidP="00D60ED3">
      <w:pPr>
        <w:pStyle w:val="ABCList"/>
      </w:pPr>
      <w:r w:rsidRPr="0016276A">
        <w:t>price data for individual sites</w:t>
      </w:r>
      <w:r w:rsidR="00161623" w:rsidRPr="0016276A">
        <w:t xml:space="preserve">. </w:t>
      </w:r>
    </w:p>
    <w:p w:rsidR="00A46E99" w:rsidRPr="0016276A" w:rsidRDefault="000E291C" w:rsidP="00CC0B2E">
      <w:pPr>
        <w:pStyle w:val="NormalParagraph"/>
        <w:ind w:hanging="502"/>
      </w:pPr>
      <w:r w:rsidRPr="0016276A">
        <w:t>As a result of this process, the ACCC concluded that f</w:t>
      </w:r>
      <w:r w:rsidR="00A46E99" w:rsidRPr="0016276A">
        <w:t>or some Target Sites</w:t>
      </w:r>
      <w:r w:rsidR="005659EC" w:rsidRPr="0016276A">
        <w:t xml:space="preserve">, </w:t>
      </w:r>
      <w:r w:rsidRPr="0016276A">
        <w:t xml:space="preserve">local </w:t>
      </w:r>
      <w:r w:rsidR="00A46E99" w:rsidRPr="0016276A">
        <w:t xml:space="preserve">competition occurs between proximate competitor sites </w:t>
      </w:r>
      <w:r w:rsidR="00CC692B" w:rsidRPr="0016276A">
        <w:t>in all directions from the Target Site</w:t>
      </w:r>
      <w:r w:rsidR="00A46E99" w:rsidRPr="0016276A">
        <w:t xml:space="preserve">. For other Target Sites, competition </w:t>
      </w:r>
      <w:r w:rsidR="006C5D65" w:rsidRPr="0016276A">
        <w:t xml:space="preserve">can be particularly strong </w:t>
      </w:r>
      <w:r w:rsidR="00CC692B" w:rsidRPr="0016276A">
        <w:t xml:space="preserve">along </w:t>
      </w:r>
      <w:r w:rsidR="00A46E99" w:rsidRPr="0016276A">
        <w:t xml:space="preserve">the typical routes of travel of potential customers and is </w:t>
      </w:r>
      <w:r w:rsidR="00CC692B" w:rsidRPr="0016276A">
        <w:t xml:space="preserve">closest </w:t>
      </w:r>
      <w:r w:rsidR="00A46E99" w:rsidRPr="0016276A">
        <w:t>between competitor sites located on the same road.</w:t>
      </w:r>
    </w:p>
    <w:p w:rsidR="00161623" w:rsidRPr="0016276A" w:rsidRDefault="00EF3C6C" w:rsidP="00CC0B2E">
      <w:pPr>
        <w:pStyle w:val="NormalParagraph"/>
        <w:ind w:hanging="502"/>
      </w:pPr>
      <w:r w:rsidRPr="0016276A">
        <w:t>For this reason</w:t>
      </w:r>
      <w:r w:rsidR="00576E5A" w:rsidRPr="0016276A">
        <w:t xml:space="preserve">, the ACCC </w:t>
      </w:r>
      <w:r w:rsidR="00142BA8" w:rsidRPr="0016276A">
        <w:t xml:space="preserve">did </w:t>
      </w:r>
      <w:r w:rsidR="00576E5A" w:rsidRPr="0016276A">
        <w:t xml:space="preserve">not </w:t>
      </w:r>
      <w:r w:rsidR="00161623" w:rsidRPr="0016276A">
        <w:t>consider it appropriate</w:t>
      </w:r>
      <w:r w:rsidR="000A5D4E" w:rsidRPr="0016276A">
        <w:t xml:space="preserve"> or necessary</w:t>
      </w:r>
      <w:r w:rsidR="00161623" w:rsidRPr="0016276A">
        <w:t xml:space="preserve"> to defin</w:t>
      </w:r>
      <w:r w:rsidR="00337548" w:rsidRPr="0016276A">
        <w:t xml:space="preserve">e </w:t>
      </w:r>
      <w:r w:rsidR="00161623" w:rsidRPr="0016276A">
        <w:t xml:space="preserve">precise geographic boundaries </w:t>
      </w:r>
      <w:r w:rsidR="00337548" w:rsidRPr="0016276A">
        <w:t xml:space="preserve">for </w:t>
      </w:r>
      <w:r w:rsidR="000A5D4E" w:rsidRPr="0016276A">
        <w:t>individual</w:t>
      </w:r>
      <w:r w:rsidR="00161623" w:rsidRPr="0016276A">
        <w:t xml:space="preserve"> local markets</w:t>
      </w:r>
      <w:r w:rsidR="000A5D4E" w:rsidRPr="0016276A">
        <w:t xml:space="preserve"> for the purpose of categorising all nearby sites as either ‘in’ or ‘out’ of that local market.</w:t>
      </w:r>
      <w:r w:rsidR="002E086B" w:rsidRPr="0016276A">
        <w:rPr>
          <w:rStyle w:val="FootnoteReference"/>
        </w:rPr>
        <w:footnoteReference w:id="7"/>
      </w:r>
      <w:r w:rsidR="000A5D4E" w:rsidRPr="0016276A">
        <w:t xml:space="preserve"> Instead, the ACCC consider</w:t>
      </w:r>
      <w:r w:rsidR="00142BA8" w:rsidRPr="0016276A">
        <w:t>ed</w:t>
      </w:r>
      <w:r w:rsidR="000A5D4E" w:rsidRPr="0016276A">
        <w:t xml:space="preserve"> that d</w:t>
      </w:r>
      <w:r w:rsidR="00161623" w:rsidRPr="0016276A">
        <w:t xml:space="preserve">ifferent sites </w:t>
      </w:r>
      <w:r w:rsidR="00142BA8" w:rsidRPr="0016276A">
        <w:t>we</w:t>
      </w:r>
      <w:r w:rsidR="00161623" w:rsidRPr="0016276A">
        <w:t xml:space="preserve">re likely to </w:t>
      </w:r>
      <w:r w:rsidR="002D2DBC" w:rsidRPr="0016276A">
        <w:t>be substitute</w:t>
      </w:r>
      <w:r w:rsidR="00E86E49" w:rsidRPr="0016276A">
        <w:t>s</w:t>
      </w:r>
      <w:r w:rsidR="002D2DBC" w:rsidRPr="0016276A">
        <w:t xml:space="preserve"> for the Target </w:t>
      </w:r>
      <w:r w:rsidR="00870A59" w:rsidRPr="0016276A">
        <w:t>S</w:t>
      </w:r>
      <w:r w:rsidR="002D2DBC" w:rsidRPr="0016276A">
        <w:t xml:space="preserve">ite to </w:t>
      </w:r>
      <w:r w:rsidR="00161623" w:rsidRPr="0016276A">
        <w:t>varying degrees</w:t>
      </w:r>
      <w:r w:rsidR="002D2DBC" w:rsidRPr="0016276A">
        <w:t>,</w:t>
      </w:r>
      <w:r w:rsidR="00161623" w:rsidRPr="0016276A">
        <w:t xml:space="preserve"> based on their geographical location and other aspects of their price and non-price product offer.</w:t>
      </w:r>
    </w:p>
    <w:p w:rsidR="00B75AE0" w:rsidRPr="0016276A" w:rsidRDefault="00B75AE0" w:rsidP="00B75AE0">
      <w:pPr>
        <w:pStyle w:val="Heading4"/>
      </w:pPr>
      <w:r w:rsidRPr="0016276A">
        <w:t>Competitive behaviour of BP</w:t>
      </w:r>
      <w:r w:rsidR="00615BB6" w:rsidRPr="0016276A">
        <w:t xml:space="preserve"> in the </w:t>
      </w:r>
      <w:r w:rsidR="00FD3D74" w:rsidRPr="0016276A">
        <w:t xml:space="preserve">local and </w:t>
      </w:r>
      <w:r w:rsidR="00615BB6" w:rsidRPr="0016276A">
        <w:t>Adelaide market</w:t>
      </w:r>
      <w:r w:rsidR="00FD3D74" w:rsidRPr="0016276A">
        <w:t>s</w:t>
      </w:r>
    </w:p>
    <w:p w:rsidR="001A33F4" w:rsidRPr="0016276A" w:rsidRDefault="001A33F4" w:rsidP="00CC0B2E">
      <w:pPr>
        <w:pStyle w:val="NormalParagraph"/>
        <w:ind w:hanging="502"/>
      </w:pPr>
      <w:bookmarkStart w:id="25" w:name="_Ref380660962"/>
      <w:r w:rsidRPr="0016276A">
        <w:t xml:space="preserve">During the course of its review, the ACCC received submissions </w:t>
      </w:r>
      <w:r w:rsidR="00683C95" w:rsidRPr="0016276A">
        <w:t xml:space="preserve">from the merger parties </w:t>
      </w:r>
      <w:r w:rsidR="00B7314C" w:rsidRPr="0016276A">
        <w:t xml:space="preserve">that BP </w:t>
      </w:r>
      <w:r w:rsidR="00FA3B8A" w:rsidRPr="0016276A">
        <w:t xml:space="preserve">was </w:t>
      </w:r>
      <w:r w:rsidR="00B7314C" w:rsidRPr="0016276A">
        <w:t>not a</w:t>
      </w:r>
      <w:r w:rsidR="00615BB6" w:rsidRPr="0016276A">
        <w:t xml:space="preserve"> particularly </w:t>
      </w:r>
      <w:r w:rsidR="00B7314C" w:rsidRPr="0016276A">
        <w:t>effective competitor</w:t>
      </w:r>
      <w:r w:rsidR="00683C95" w:rsidRPr="0016276A">
        <w:t xml:space="preserve">, </w:t>
      </w:r>
      <w:r w:rsidR="00B7314C" w:rsidRPr="0016276A">
        <w:t xml:space="preserve">and as a result the Acquisition would not substantially lessen competition in any market because </w:t>
      </w:r>
      <w:r w:rsidR="00683C95" w:rsidRPr="0016276A">
        <w:t xml:space="preserve">Peregrine </w:t>
      </w:r>
      <w:r w:rsidR="00B7314C" w:rsidRPr="0016276A">
        <w:t>would continue to be constrained in all markets by other more effective competitors such as Caltex/Woolworths, Coles Express and various independents.</w:t>
      </w:r>
      <w:r w:rsidR="00683C95" w:rsidRPr="0016276A">
        <w:t xml:space="preserve"> In support of this submission, the merger parties stated </w:t>
      </w:r>
      <w:r w:rsidR="001069FB" w:rsidRPr="0016276A">
        <w:t>the following</w:t>
      </w:r>
      <w:r w:rsidR="00683C95" w:rsidRPr="0016276A">
        <w:t>:</w:t>
      </w:r>
      <w:bookmarkEnd w:id="25"/>
    </w:p>
    <w:p w:rsidR="001A33F4" w:rsidRPr="0016276A" w:rsidRDefault="00FA45A7" w:rsidP="0068571F">
      <w:pPr>
        <w:pStyle w:val="ABCList"/>
        <w:numPr>
          <w:ilvl w:val="0"/>
          <w:numId w:val="27"/>
        </w:numPr>
      </w:pPr>
      <w:bookmarkStart w:id="26" w:name="_Ref380660907"/>
      <w:r w:rsidRPr="0016276A">
        <w:lastRenderedPageBreak/>
        <w:t>BP’s prices</w:t>
      </w:r>
      <w:r w:rsidR="00E21270" w:rsidRPr="0016276A">
        <w:t xml:space="preserve"> in Adelaide</w:t>
      </w:r>
      <w:r w:rsidRPr="0016276A">
        <w:t xml:space="preserve"> ha</w:t>
      </w:r>
      <w:r w:rsidR="00142BA8" w:rsidRPr="0016276A">
        <w:t>d</w:t>
      </w:r>
      <w:r w:rsidRPr="0016276A">
        <w:t xml:space="preserve"> been higher on average across the course of the price cycle than many other operators in Adelaide, including Peregrine</w:t>
      </w:r>
      <w:bookmarkEnd w:id="26"/>
    </w:p>
    <w:p w:rsidR="00641E68" w:rsidRPr="0016276A" w:rsidRDefault="00641E68" w:rsidP="00FA45A7">
      <w:pPr>
        <w:pStyle w:val="ABCList"/>
      </w:pPr>
      <w:bookmarkStart w:id="27" w:name="_Ref380660924"/>
      <w:r w:rsidRPr="0016276A">
        <w:t>BP ha</w:t>
      </w:r>
      <w:r w:rsidR="00142BA8" w:rsidRPr="0016276A">
        <w:t>d</w:t>
      </w:r>
      <w:r w:rsidRPr="0016276A">
        <w:t xml:space="preserve"> historically be</w:t>
      </w:r>
      <w:r w:rsidR="00870A59" w:rsidRPr="0016276A">
        <w:t>en</w:t>
      </w:r>
      <w:r w:rsidRPr="0016276A">
        <w:t xml:space="preserve"> either the leader or a ‘fast follower’</w:t>
      </w:r>
      <w:r w:rsidR="00683C95" w:rsidRPr="0016276A">
        <w:t xml:space="preserve"> of restorations</w:t>
      </w:r>
      <w:bookmarkEnd w:id="27"/>
      <w:r w:rsidR="00870A59" w:rsidRPr="0016276A">
        <w:t xml:space="preserve"> </w:t>
      </w:r>
      <w:r w:rsidR="00D612E5" w:rsidRPr="0016276A">
        <w:t>i</w:t>
      </w:r>
      <w:r w:rsidR="00870A59" w:rsidRPr="0016276A">
        <w:t>n Adelaide’s petrol price cycle.</w:t>
      </w:r>
    </w:p>
    <w:p w:rsidR="005F1BD4" w:rsidRPr="0016276A" w:rsidRDefault="00B503B2" w:rsidP="00CC0B2E">
      <w:pPr>
        <w:pStyle w:val="NormalParagraph"/>
        <w:ind w:hanging="502"/>
      </w:pPr>
      <w:bookmarkStart w:id="28" w:name="_Ref395173977"/>
      <w:bookmarkStart w:id="29" w:name="_Ref380684812"/>
      <w:r w:rsidRPr="0016276A">
        <w:t xml:space="preserve">The ACCC tested these submissions by analysing a data set of 16 months of </w:t>
      </w:r>
      <w:r w:rsidR="00643110" w:rsidRPr="0016276A">
        <w:t xml:space="preserve">detailed </w:t>
      </w:r>
      <w:r w:rsidRPr="0016276A">
        <w:t>Adelaide petrol price</w:t>
      </w:r>
      <w:r w:rsidR="002D2DBC" w:rsidRPr="0016276A">
        <w:t>s</w:t>
      </w:r>
      <w:r w:rsidRPr="0016276A">
        <w:t xml:space="preserve">. </w:t>
      </w:r>
      <w:r w:rsidR="00A20904" w:rsidRPr="0016276A">
        <w:t xml:space="preserve">While the ACCC’s analysis showed a number of exceptions to the general pattern, it </w:t>
      </w:r>
      <w:r w:rsidR="007E22FF" w:rsidRPr="0016276A">
        <w:t xml:space="preserve">was </w:t>
      </w:r>
      <w:r w:rsidR="00A20904" w:rsidRPr="0016276A">
        <w:t xml:space="preserve">mostly </w:t>
      </w:r>
      <w:r w:rsidR="007E22FF" w:rsidRPr="0016276A">
        <w:t xml:space="preserve">consistent with the general tenor of the submissions outlined above at </w:t>
      </w:r>
      <w:r w:rsidR="00C1039B" w:rsidRPr="0016276A">
        <w:t xml:space="preserve">paragraphs </w:t>
      </w:r>
      <w:r w:rsidR="007E22FF" w:rsidRPr="0016276A">
        <w:fldChar w:fldCharType="begin"/>
      </w:r>
      <w:r w:rsidR="007E22FF" w:rsidRPr="0016276A">
        <w:instrText xml:space="preserve"> REF _Ref380660962 \w \h </w:instrText>
      </w:r>
      <w:r w:rsidR="00C578CB" w:rsidRPr="0016276A">
        <w:instrText xml:space="preserve"> \* MERGEFORMAT </w:instrText>
      </w:r>
      <w:r w:rsidR="007E22FF" w:rsidRPr="0016276A">
        <w:fldChar w:fldCharType="separate"/>
      </w:r>
      <w:r w:rsidR="00F126FE">
        <w:t>87</w:t>
      </w:r>
      <w:r w:rsidR="007E22FF" w:rsidRPr="0016276A">
        <w:fldChar w:fldCharType="end"/>
      </w:r>
      <w:r w:rsidR="007E22FF" w:rsidRPr="0016276A">
        <w:t>(</w:t>
      </w:r>
      <w:r w:rsidR="007E22FF" w:rsidRPr="0016276A">
        <w:fldChar w:fldCharType="begin"/>
      </w:r>
      <w:r w:rsidR="007E22FF" w:rsidRPr="0016276A">
        <w:instrText xml:space="preserve"> REF _Ref380660907 \w \h </w:instrText>
      </w:r>
      <w:r w:rsidR="00C578CB" w:rsidRPr="0016276A">
        <w:instrText xml:space="preserve"> \* MERGEFORMAT </w:instrText>
      </w:r>
      <w:r w:rsidR="007E22FF" w:rsidRPr="0016276A">
        <w:fldChar w:fldCharType="separate"/>
      </w:r>
      <w:r w:rsidR="00F126FE">
        <w:t>a</w:t>
      </w:r>
      <w:r w:rsidR="007E22FF" w:rsidRPr="0016276A">
        <w:fldChar w:fldCharType="end"/>
      </w:r>
      <w:r w:rsidR="007E22FF" w:rsidRPr="0016276A">
        <w:t xml:space="preserve">) and </w:t>
      </w:r>
      <w:r w:rsidR="007E22FF" w:rsidRPr="0016276A">
        <w:fldChar w:fldCharType="begin"/>
      </w:r>
      <w:r w:rsidR="007E22FF" w:rsidRPr="0016276A">
        <w:instrText xml:space="preserve"> REF _Ref380660962 \w \h </w:instrText>
      </w:r>
      <w:r w:rsidR="00C578CB" w:rsidRPr="0016276A">
        <w:instrText xml:space="preserve"> \* MERGEFORMAT </w:instrText>
      </w:r>
      <w:r w:rsidR="007E22FF" w:rsidRPr="0016276A">
        <w:fldChar w:fldCharType="separate"/>
      </w:r>
      <w:r w:rsidR="00F126FE">
        <w:t>87</w:t>
      </w:r>
      <w:r w:rsidR="007E22FF" w:rsidRPr="0016276A">
        <w:fldChar w:fldCharType="end"/>
      </w:r>
      <w:r w:rsidR="007E22FF" w:rsidRPr="0016276A">
        <w:t>(</w:t>
      </w:r>
      <w:r w:rsidR="007E22FF" w:rsidRPr="0016276A">
        <w:fldChar w:fldCharType="begin"/>
      </w:r>
      <w:r w:rsidR="007E22FF" w:rsidRPr="0016276A">
        <w:instrText xml:space="preserve"> REF _Ref380660924 \w \h </w:instrText>
      </w:r>
      <w:r w:rsidR="00C578CB" w:rsidRPr="0016276A">
        <w:instrText xml:space="preserve"> \* MERGEFORMAT </w:instrText>
      </w:r>
      <w:r w:rsidR="007E22FF" w:rsidRPr="0016276A">
        <w:fldChar w:fldCharType="separate"/>
      </w:r>
      <w:r w:rsidR="00F126FE">
        <w:t>b</w:t>
      </w:r>
      <w:r w:rsidR="007E22FF" w:rsidRPr="0016276A">
        <w:fldChar w:fldCharType="end"/>
      </w:r>
      <w:r w:rsidR="007E22FF" w:rsidRPr="0016276A">
        <w:t>)</w:t>
      </w:r>
      <w:r w:rsidR="00A20904" w:rsidRPr="0016276A">
        <w:t>. That is, the ACCC accepted that BP</w:t>
      </w:r>
      <w:r w:rsidR="005F1BD4" w:rsidRPr="0016276A">
        <w:t>:</w:t>
      </w:r>
      <w:bookmarkEnd w:id="28"/>
    </w:p>
    <w:p w:rsidR="005F1BD4" w:rsidRPr="0016276A" w:rsidRDefault="00A20904" w:rsidP="0068571F">
      <w:pPr>
        <w:pStyle w:val="ABCList"/>
        <w:numPr>
          <w:ilvl w:val="0"/>
          <w:numId w:val="33"/>
        </w:numPr>
      </w:pPr>
      <w:r w:rsidRPr="0016276A">
        <w:t>tend</w:t>
      </w:r>
      <w:r w:rsidR="00D61DF4" w:rsidRPr="0016276A">
        <w:t>ed</w:t>
      </w:r>
      <w:r w:rsidRPr="0016276A">
        <w:t xml:space="preserve"> (in general) to </w:t>
      </w:r>
      <w:r w:rsidR="008B6457" w:rsidRPr="0016276A">
        <w:t>lead attempted price restoration, or quickly follow another operator’s attempted restorations</w:t>
      </w:r>
    </w:p>
    <w:p w:rsidR="005F1BD4" w:rsidRPr="0016276A" w:rsidRDefault="005F1BD4" w:rsidP="00EF2B5B">
      <w:pPr>
        <w:pStyle w:val="ABCList"/>
      </w:pPr>
      <w:r w:rsidRPr="0016276A">
        <w:t>occasionally discounted prices at its sites before their markers, but more often followed the markers</w:t>
      </w:r>
    </w:p>
    <w:p w:rsidR="0083320B" w:rsidRPr="0016276A" w:rsidRDefault="0083320B" w:rsidP="00EF2B5B">
      <w:pPr>
        <w:pStyle w:val="ABCList"/>
      </w:pPr>
      <w:r w:rsidRPr="0016276A">
        <w:t>did not always discount as deeply as some other Adelaide petrol retailers at the bottom of the price cycle</w:t>
      </w:r>
    </w:p>
    <w:p w:rsidR="0057590D" w:rsidRPr="0016276A" w:rsidRDefault="00A51750" w:rsidP="00EF2B5B">
      <w:pPr>
        <w:pStyle w:val="ABCList"/>
      </w:pPr>
      <w:r w:rsidRPr="0016276A">
        <w:t xml:space="preserve">had average petrol prices that were more expensive than </w:t>
      </w:r>
      <w:r w:rsidR="002E3C58" w:rsidRPr="0016276A">
        <w:t>many</w:t>
      </w:r>
      <w:r w:rsidRPr="0016276A">
        <w:t xml:space="preserve"> other Adelaide </w:t>
      </w:r>
      <w:r w:rsidR="00A20904" w:rsidRPr="0016276A">
        <w:t>petrol</w:t>
      </w:r>
      <w:r w:rsidRPr="0016276A">
        <w:t xml:space="preserve"> retailers</w:t>
      </w:r>
      <w:r w:rsidR="00815B6A" w:rsidRPr="0016276A">
        <w:t>, including Peregrine</w:t>
      </w:r>
      <w:r w:rsidRPr="0016276A">
        <w:t>.</w:t>
      </w:r>
      <w:bookmarkEnd w:id="29"/>
      <w:r w:rsidR="0057590D" w:rsidRPr="0016276A">
        <w:t xml:space="preserve"> </w:t>
      </w:r>
    </w:p>
    <w:p w:rsidR="00A20904" w:rsidRPr="0016276A" w:rsidRDefault="00A20904" w:rsidP="00CC0B2E">
      <w:pPr>
        <w:pStyle w:val="NormalParagraph"/>
        <w:ind w:hanging="502"/>
      </w:pPr>
      <w:r w:rsidRPr="0016276A">
        <w:t xml:space="preserve">However, </w:t>
      </w:r>
      <w:r w:rsidR="0057590D" w:rsidRPr="0016276A">
        <w:t xml:space="preserve">the ACCC did not accept that this was </w:t>
      </w:r>
      <w:r w:rsidR="005F1BD4" w:rsidRPr="0016276A">
        <w:t xml:space="preserve">sufficient to demonstrate that removing BP from the market would have no </w:t>
      </w:r>
      <w:r w:rsidR="0057590D" w:rsidRPr="0016276A">
        <w:t>competitive impact</w:t>
      </w:r>
      <w:r w:rsidR="00870A59" w:rsidRPr="0016276A">
        <w:t>, for the following reasons</w:t>
      </w:r>
      <w:r w:rsidR="0057590D" w:rsidRPr="0016276A">
        <w:t>.</w:t>
      </w:r>
    </w:p>
    <w:p w:rsidR="002A580A" w:rsidRPr="0016276A" w:rsidRDefault="002A580A" w:rsidP="00CC0B2E">
      <w:pPr>
        <w:pStyle w:val="NormalParagraph"/>
        <w:ind w:hanging="502"/>
      </w:pPr>
      <w:r w:rsidRPr="0016276A">
        <w:t xml:space="preserve">First, the ACCC understands that many consumers associate the BP brand with premium </w:t>
      </w:r>
      <w:r w:rsidR="00CB57A2" w:rsidRPr="0016276A">
        <w:t>petrol</w:t>
      </w:r>
      <w:r w:rsidRPr="0016276A">
        <w:t xml:space="preserve">, and </w:t>
      </w:r>
      <w:r w:rsidR="0007171F" w:rsidRPr="0016276A">
        <w:t xml:space="preserve">that many consumers consider that BP has </w:t>
      </w:r>
      <w:r w:rsidRPr="0016276A">
        <w:t xml:space="preserve">a higher quality </w:t>
      </w:r>
      <w:r w:rsidR="00CB57A2" w:rsidRPr="0016276A">
        <w:t xml:space="preserve">petrol </w:t>
      </w:r>
      <w:r w:rsidRPr="0016276A">
        <w:t xml:space="preserve">offer than other brands. In these circumstances, BP need not be the cheapest petrol retailer in Adelaide to have a meaningful competitive impact. </w:t>
      </w:r>
    </w:p>
    <w:p w:rsidR="002507A4" w:rsidRPr="0016276A" w:rsidRDefault="00814AB1" w:rsidP="00CC0B2E">
      <w:pPr>
        <w:pStyle w:val="NormalParagraph"/>
        <w:ind w:hanging="502"/>
      </w:pPr>
      <w:bookmarkStart w:id="30" w:name="_Ref391031027"/>
      <w:r w:rsidRPr="0016276A">
        <w:t xml:space="preserve">Second, </w:t>
      </w:r>
      <w:r w:rsidR="0007171F" w:rsidRPr="0016276A">
        <w:t xml:space="preserve">the ACCC </w:t>
      </w:r>
      <w:r w:rsidR="00FA3B8A" w:rsidRPr="0016276A">
        <w:t xml:space="preserve">did </w:t>
      </w:r>
      <w:r w:rsidR="0007171F" w:rsidRPr="0016276A">
        <w:t xml:space="preserve">not accept that past behaviour </w:t>
      </w:r>
      <w:r w:rsidR="00FA3B8A" w:rsidRPr="0016276A">
        <w:t>wa</w:t>
      </w:r>
      <w:r w:rsidR="0007171F" w:rsidRPr="0016276A">
        <w:t xml:space="preserve">s necessarily indicative of how BP would behave in the </w:t>
      </w:r>
      <w:r w:rsidR="00870A59" w:rsidRPr="0016276A">
        <w:t xml:space="preserve">future without </w:t>
      </w:r>
      <w:r w:rsidR="0007171F" w:rsidRPr="0016276A">
        <w:t xml:space="preserve">the Acquisition. </w:t>
      </w:r>
      <w:r w:rsidR="00D468A7" w:rsidRPr="0016276A">
        <w:t xml:space="preserve">The ACCC </w:t>
      </w:r>
      <w:r w:rsidR="00B02853" w:rsidRPr="0016276A">
        <w:t>explored whether,</w:t>
      </w:r>
      <w:r w:rsidR="00D468A7" w:rsidRPr="0016276A">
        <w:t xml:space="preserve"> </w:t>
      </w:r>
      <w:r w:rsidR="00870A59" w:rsidRPr="0016276A">
        <w:t xml:space="preserve">without </w:t>
      </w:r>
      <w:r w:rsidR="00D468A7" w:rsidRPr="0016276A">
        <w:t>the Acquisition, BP’s behaviour in Adelaide would have continued to evolve in response to developments in BP’s commercial position and the local competitive</w:t>
      </w:r>
      <w:r w:rsidR="00D612E5" w:rsidRPr="0016276A">
        <w:t xml:space="preserve"> </w:t>
      </w:r>
      <w:r w:rsidR="00870A59" w:rsidRPr="0016276A">
        <w:t>environment</w:t>
      </w:r>
      <w:r w:rsidR="00D468A7" w:rsidRPr="0016276A">
        <w:t>.</w:t>
      </w:r>
      <w:bookmarkEnd w:id="30"/>
      <w:r w:rsidR="00D468A7" w:rsidRPr="0016276A">
        <w:t xml:space="preserve"> </w:t>
      </w:r>
    </w:p>
    <w:p w:rsidR="00712BFD" w:rsidRPr="0016276A" w:rsidRDefault="00D76246" w:rsidP="00CC0B2E">
      <w:pPr>
        <w:pStyle w:val="NormalParagraph"/>
        <w:ind w:hanging="502"/>
      </w:pPr>
      <w:r w:rsidRPr="0016276A">
        <w:t xml:space="preserve">Third, </w:t>
      </w:r>
      <w:r w:rsidR="00712BFD" w:rsidRPr="0016276A">
        <w:t xml:space="preserve">in the context of local market analysis, </w:t>
      </w:r>
      <w:r w:rsidR="00901C39" w:rsidRPr="0016276A">
        <w:t>price is only one factor among many that determine how important that site is to local competition. Other relevant factors include:</w:t>
      </w:r>
    </w:p>
    <w:p w:rsidR="00D76246" w:rsidRPr="0016276A" w:rsidRDefault="00D76246" w:rsidP="00B458B5">
      <w:pPr>
        <w:pStyle w:val="ABCList"/>
        <w:numPr>
          <w:ilvl w:val="0"/>
          <w:numId w:val="6"/>
        </w:numPr>
      </w:pPr>
      <w:r w:rsidRPr="0016276A">
        <w:t xml:space="preserve">the size and product offering of the site, including the extent of </w:t>
      </w:r>
      <w:r w:rsidR="001D31CA" w:rsidRPr="0016276A">
        <w:t>its</w:t>
      </w:r>
      <w:r w:rsidRPr="0016276A">
        <w:t xml:space="preserve"> non</w:t>
      </w:r>
      <w:r w:rsidR="001D31CA" w:rsidRPr="0016276A">
        <w:noBreakHyphen/>
      </w:r>
      <w:r w:rsidR="00CB57A2" w:rsidRPr="0016276A">
        <w:t xml:space="preserve">petrol </w:t>
      </w:r>
      <w:r w:rsidR="001D31CA" w:rsidRPr="0016276A">
        <w:t>offering</w:t>
      </w:r>
    </w:p>
    <w:p w:rsidR="009F533C" w:rsidRPr="0016276A" w:rsidRDefault="009F533C" w:rsidP="009F533C">
      <w:pPr>
        <w:pStyle w:val="ABCList"/>
        <w:numPr>
          <w:ilvl w:val="0"/>
          <w:numId w:val="6"/>
        </w:numPr>
      </w:pPr>
      <w:r w:rsidRPr="0016276A">
        <w:t>the number of, and brands of, competitors to that site in the local market</w:t>
      </w:r>
    </w:p>
    <w:p w:rsidR="00D76246" w:rsidRPr="0016276A" w:rsidRDefault="001D31CA" w:rsidP="00B458B5">
      <w:pPr>
        <w:pStyle w:val="ABCList"/>
        <w:numPr>
          <w:ilvl w:val="0"/>
          <w:numId w:val="6"/>
        </w:numPr>
      </w:pPr>
      <w:r w:rsidRPr="0016276A">
        <w:t>t</w:t>
      </w:r>
      <w:r w:rsidR="00D76246" w:rsidRPr="0016276A">
        <w:t>he location of the site relative to its competitors</w:t>
      </w:r>
      <w:r w:rsidRPr="0016276A">
        <w:t xml:space="preserve">, especially in the context of local geographic features such as </w:t>
      </w:r>
      <w:r w:rsidR="00D76246" w:rsidRPr="0016276A">
        <w:t>major thoroughfares</w:t>
      </w:r>
      <w:r w:rsidRPr="0016276A">
        <w:t xml:space="preserve">, or </w:t>
      </w:r>
      <w:r w:rsidR="00D76246" w:rsidRPr="0016276A">
        <w:t xml:space="preserve">likely destinations </w:t>
      </w:r>
      <w:r w:rsidRPr="0016276A">
        <w:t xml:space="preserve">for commuters </w:t>
      </w:r>
      <w:r w:rsidR="00D76246" w:rsidRPr="0016276A">
        <w:t>such as commercial districts or major employment hubs</w:t>
      </w:r>
    </w:p>
    <w:p w:rsidR="00D76246" w:rsidRPr="0016276A" w:rsidRDefault="001D31CA" w:rsidP="00B458B5">
      <w:pPr>
        <w:pStyle w:val="ABCList"/>
        <w:numPr>
          <w:ilvl w:val="0"/>
          <w:numId w:val="6"/>
        </w:numPr>
      </w:pPr>
      <w:r w:rsidRPr="0016276A">
        <w:t>t</w:t>
      </w:r>
      <w:r w:rsidR="00D76246" w:rsidRPr="0016276A">
        <w:t xml:space="preserve">he </w:t>
      </w:r>
      <w:r w:rsidRPr="0016276A">
        <w:t xml:space="preserve">demographics of the local area. </w:t>
      </w:r>
    </w:p>
    <w:p w:rsidR="00D76246" w:rsidRPr="0016276A" w:rsidRDefault="00D76246" w:rsidP="00CC0B2E">
      <w:pPr>
        <w:pStyle w:val="NormalParagraph"/>
        <w:ind w:hanging="502"/>
      </w:pPr>
      <w:bookmarkStart w:id="31" w:name="_Ref380675426"/>
      <w:r w:rsidRPr="0016276A">
        <w:t xml:space="preserve">For these reasons, </w:t>
      </w:r>
      <w:r w:rsidR="00C0742F" w:rsidRPr="0016276A">
        <w:t xml:space="preserve">the </w:t>
      </w:r>
      <w:r w:rsidRPr="0016276A">
        <w:t>ACCC considered BP's</w:t>
      </w:r>
      <w:r w:rsidR="00C0742F" w:rsidRPr="0016276A">
        <w:t xml:space="preserve"> historic pricing behaviour to </w:t>
      </w:r>
      <w:r w:rsidRPr="0016276A">
        <w:t xml:space="preserve">be relevant but not determinative </w:t>
      </w:r>
      <w:r w:rsidR="00870A59" w:rsidRPr="0016276A">
        <w:t xml:space="preserve">in assessing the likely effect on </w:t>
      </w:r>
      <w:r w:rsidRPr="0016276A">
        <w:t xml:space="preserve">competition </w:t>
      </w:r>
      <w:r w:rsidR="00870A59" w:rsidRPr="0016276A">
        <w:t xml:space="preserve">of </w:t>
      </w:r>
      <w:r w:rsidRPr="0016276A">
        <w:t>the Acquisition.</w:t>
      </w:r>
      <w:bookmarkEnd w:id="31"/>
    </w:p>
    <w:p w:rsidR="00B75AE0" w:rsidRPr="0016276A" w:rsidRDefault="00B75AE0" w:rsidP="00B75AE0">
      <w:pPr>
        <w:pStyle w:val="Heading4"/>
      </w:pPr>
      <w:r w:rsidRPr="0016276A">
        <w:lastRenderedPageBreak/>
        <w:t>Barriers to entry</w:t>
      </w:r>
    </w:p>
    <w:p w:rsidR="00E15A20" w:rsidRPr="0016276A" w:rsidRDefault="00E15A20" w:rsidP="00CC0B2E">
      <w:pPr>
        <w:pStyle w:val="NormalParagraph"/>
        <w:ind w:hanging="502"/>
      </w:pPr>
      <w:r w:rsidRPr="0016276A">
        <w:t xml:space="preserve">The ACCC </w:t>
      </w:r>
      <w:r w:rsidR="009F533C" w:rsidRPr="0016276A">
        <w:t xml:space="preserve">considered </w:t>
      </w:r>
      <w:r w:rsidRPr="0016276A">
        <w:t xml:space="preserve">that barriers to entry in </w:t>
      </w:r>
      <w:r w:rsidR="00CD01D9" w:rsidRPr="0016276A">
        <w:t xml:space="preserve">petrol </w:t>
      </w:r>
      <w:r w:rsidRPr="0016276A">
        <w:t xml:space="preserve">retail in </w:t>
      </w:r>
      <w:r w:rsidR="00EE5547" w:rsidRPr="0016276A">
        <w:t xml:space="preserve">metropolitan Adelaide </w:t>
      </w:r>
      <w:r w:rsidR="00530DB2" w:rsidRPr="0016276A">
        <w:t>we</w:t>
      </w:r>
      <w:r w:rsidR="00EE5547" w:rsidRPr="0016276A">
        <w:t>re high</w:t>
      </w:r>
      <w:r w:rsidR="00530DB2" w:rsidRPr="0016276A">
        <w:t>. T</w:t>
      </w:r>
      <w:r w:rsidR="00EE5547" w:rsidRPr="0016276A">
        <w:t xml:space="preserve">he availability of suitable land </w:t>
      </w:r>
      <w:r w:rsidR="00530DB2" w:rsidRPr="0016276A">
        <w:t xml:space="preserve">was </w:t>
      </w:r>
      <w:r w:rsidR="00EE5547" w:rsidRPr="0016276A">
        <w:t>the primary barrier to the emergence of new market entrants, or the expansion of existing participants into a new location. In this context, ‘suitable land’ incorporates both the physical attributes of a site (</w:t>
      </w:r>
      <w:r w:rsidR="00571A02" w:rsidRPr="0016276A">
        <w:t xml:space="preserve">such as </w:t>
      </w:r>
      <w:r w:rsidR="00EE5547" w:rsidRPr="0016276A">
        <w:t>size</w:t>
      </w:r>
      <w:r w:rsidR="00571A02" w:rsidRPr="0016276A">
        <w:t xml:space="preserve"> and </w:t>
      </w:r>
      <w:r w:rsidR="00EE5547" w:rsidRPr="0016276A">
        <w:t xml:space="preserve">location) as well as its zoning. </w:t>
      </w:r>
    </w:p>
    <w:p w:rsidR="00E15A20" w:rsidRPr="0016276A" w:rsidRDefault="00C65FC0" w:rsidP="00CC0B2E">
      <w:pPr>
        <w:pStyle w:val="NormalParagraph"/>
        <w:ind w:hanging="502"/>
      </w:pPr>
      <w:r w:rsidRPr="0016276A">
        <w:t xml:space="preserve">Market participants told the ACCC that </w:t>
      </w:r>
      <w:r w:rsidR="00E15A20" w:rsidRPr="0016276A">
        <w:t xml:space="preserve">their ability to </w:t>
      </w:r>
      <w:r w:rsidRPr="0016276A">
        <w:t>expand</w:t>
      </w:r>
      <w:r w:rsidR="00E15A20" w:rsidRPr="0016276A">
        <w:t xml:space="preserve"> </w:t>
      </w:r>
      <w:r w:rsidR="009E00B4" w:rsidRPr="0016276A">
        <w:t xml:space="preserve">into a new area </w:t>
      </w:r>
      <w:r w:rsidR="00530DB2" w:rsidRPr="0016276A">
        <w:t>wa</w:t>
      </w:r>
      <w:r w:rsidR="00E15A20" w:rsidRPr="0016276A">
        <w:t xml:space="preserve">s limited </w:t>
      </w:r>
      <w:r w:rsidR="009E00B4" w:rsidRPr="0016276A">
        <w:t xml:space="preserve">unless </w:t>
      </w:r>
      <w:r w:rsidR="00E15A20" w:rsidRPr="0016276A">
        <w:t xml:space="preserve">existing sites </w:t>
      </w:r>
      <w:r w:rsidR="00530DB2" w:rsidRPr="0016276A">
        <w:t>we</w:t>
      </w:r>
      <w:r w:rsidR="00E15A20" w:rsidRPr="0016276A">
        <w:t xml:space="preserve">re </w:t>
      </w:r>
      <w:r w:rsidRPr="0016276A">
        <w:t>available for purchase</w:t>
      </w:r>
      <w:r w:rsidR="009E00B4" w:rsidRPr="0016276A">
        <w:t xml:space="preserve"> in that area</w:t>
      </w:r>
      <w:r w:rsidR="00E15A20" w:rsidRPr="0016276A">
        <w:t>.</w:t>
      </w:r>
      <w:r w:rsidR="008A789D" w:rsidRPr="0016276A">
        <w:t xml:space="preserve"> </w:t>
      </w:r>
      <w:r w:rsidR="00E15A20" w:rsidRPr="0016276A">
        <w:t xml:space="preserve">Further, </w:t>
      </w:r>
      <w:r w:rsidR="008A789D" w:rsidRPr="0016276A">
        <w:t xml:space="preserve">they said </w:t>
      </w:r>
      <w:r w:rsidR="00DB7512" w:rsidRPr="0016276A">
        <w:t xml:space="preserve">that </w:t>
      </w:r>
      <w:r w:rsidR="00E15A20" w:rsidRPr="0016276A">
        <w:t xml:space="preserve">the few </w:t>
      </w:r>
      <w:r w:rsidR="002248F2" w:rsidRPr="0016276A">
        <w:t>‘</w:t>
      </w:r>
      <w:r w:rsidR="00E15A20" w:rsidRPr="0016276A">
        <w:t>greenfield</w:t>
      </w:r>
      <w:r w:rsidR="002248F2" w:rsidRPr="0016276A">
        <w:t>’</w:t>
      </w:r>
      <w:r w:rsidR="00E15A20" w:rsidRPr="0016276A">
        <w:t xml:space="preserve"> sites that </w:t>
      </w:r>
      <w:r w:rsidR="002248F2" w:rsidRPr="0016276A">
        <w:t>d</w:t>
      </w:r>
      <w:r w:rsidR="00530DB2" w:rsidRPr="0016276A">
        <w:t>id</w:t>
      </w:r>
      <w:r w:rsidR="002248F2" w:rsidRPr="0016276A">
        <w:t xml:space="preserve"> become available </w:t>
      </w:r>
      <w:r w:rsidR="00530DB2" w:rsidRPr="0016276A">
        <w:t>we</w:t>
      </w:r>
      <w:r w:rsidR="00E15A20" w:rsidRPr="0016276A">
        <w:t>re</w:t>
      </w:r>
      <w:r w:rsidR="008A789D" w:rsidRPr="0016276A">
        <w:t xml:space="preserve"> typically</w:t>
      </w:r>
      <w:r w:rsidR="00E15A20" w:rsidRPr="0016276A">
        <w:t xml:space="preserve"> located on the outskirts of Adelaide.</w:t>
      </w:r>
    </w:p>
    <w:p w:rsidR="005D7EA4" w:rsidRPr="0016276A" w:rsidRDefault="00522810" w:rsidP="00CC0B2E">
      <w:pPr>
        <w:pStyle w:val="NormalParagraph"/>
        <w:ind w:hanging="502"/>
      </w:pPr>
      <w:r w:rsidRPr="0016276A">
        <w:t>As well as</w:t>
      </w:r>
      <w:r w:rsidR="00917384" w:rsidRPr="0016276A">
        <w:t xml:space="preserve"> </w:t>
      </w:r>
      <w:r w:rsidR="00671D82" w:rsidRPr="0016276A">
        <w:t>land availability</w:t>
      </w:r>
      <w:r w:rsidR="00995D17" w:rsidRPr="0016276A">
        <w:t xml:space="preserve">, </w:t>
      </w:r>
      <w:r w:rsidR="00B75BB4" w:rsidRPr="0016276A">
        <w:t>the</w:t>
      </w:r>
      <w:r w:rsidR="00917384" w:rsidRPr="0016276A">
        <w:t xml:space="preserve"> size and extent of</w:t>
      </w:r>
      <w:r w:rsidR="007820F1" w:rsidRPr="0016276A">
        <w:t xml:space="preserve"> </w:t>
      </w:r>
      <w:r w:rsidR="00C8454C" w:rsidRPr="0016276A">
        <w:t>other</w:t>
      </w:r>
      <w:r w:rsidR="00DD112C" w:rsidRPr="0016276A">
        <w:t xml:space="preserve"> </w:t>
      </w:r>
      <w:r w:rsidR="00917384" w:rsidRPr="0016276A">
        <w:t>investment</w:t>
      </w:r>
      <w:r w:rsidR="004C55BD" w:rsidRPr="0016276A">
        <w:t>s</w:t>
      </w:r>
      <w:r w:rsidR="00917384" w:rsidRPr="0016276A">
        <w:t xml:space="preserve"> required to ente</w:t>
      </w:r>
      <w:r w:rsidR="00CC47E1" w:rsidRPr="0016276A">
        <w:t>r into petrol re</w:t>
      </w:r>
      <w:r w:rsidR="00DD0398" w:rsidRPr="0016276A">
        <w:t xml:space="preserve">tailing </w:t>
      </w:r>
      <w:r w:rsidR="00E56E22" w:rsidRPr="0016276A">
        <w:t>a</w:t>
      </w:r>
      <w:r w:rsidR="006A7151" w:rsidRPr="0016276A">
        <w:t xml:space="preserve">re often large and </w:t>
      </w:r>
      <w:r w:rsidR="00917384" w:rsidRPr="0016276A">
        <w:t xml:space="preserve">non-recoverable. </w:t>
      </w:r>
      <w:r w:rsidR="00836CB5" w:rsidRPr="0016276A">
        <w:t>The ACCC understands these costs to</w:t>
      </w:r>
      <w:r w:rsidR="003276AC" w:rsidRPr="0016276A">
        <w:t xml:space="preserve"> </w:t>
      </w:r>
      <w:r w:rsidR="00407315" w:rsidRPr="0016276A">
        <w:t>include</w:t>
      </w:r>
      <w:r w:rsidR="00505075" w:rsidRPr="0016276A">
        <w:t xml:space="preserve"> </w:t>
      </w:r>
      <w:r w:rsidR="00836CB5" w:rsidRPr="0016276A">
        <w:t>those</w:t>
      </w:r>
      <w:r w:rsidR="00505075" w:rsidRPr="0016276A">
        <w:t xml:space="preserve"> </w:t>
      </w:r>
      <w:r w:rsidR="00813136" w:rsidRPr="0016276A">
        <w:t>relating</w:t>
      </w:r>
      <w:r w:rsidR="00505075" w:rsidRPr="0016276A">
        <w:t xml:space="preserve"> to</w:t>
      </w:r>
      <w:r w:rsidR="00407315" w:rsidRPr="0016276A">
        <w:t xml:space="preserve"> </w:t>
      </w:r>
      <w:r w:rsidR="00036F47" w:rsidRPr="0016276A">
        <w:t>s</w:t>
      </w:r>
      <w:r w:rsidR="006D779F" w:rsidRPr="0016276A">
        <w:t>ite</w:t>
      </w:r>
      <w:r w:rsidR="00407315" w:rsidRPr="0016276A">
        <w:t xml:space="preserve"> </w:t>
      </w:r>
      <w:r w:rsidR="00BE4208" w:rsidRPr="0016276A">
        <w:t>preparation</w:t>
      </w:r>
      <w:r w:rsidR="00946858" w:rsidRPr="0016276A">
        <w:t>, development,</w:t>
      </w:r>
      <w:r w:rsidR="00D45072" w:rsidRPr="0016276A">
        <w:t xml:space="preserve"> and</w:t>
      </w:r>
      <w:r w:rsidR="00EC6D46" w:rsidRPr="0016276A">
        <w:t xml:space="preserve"> </w:t>
      </w:r>
      <w:r w:rsidR="00D45072" w:rsidRPr="0016276A">
        <w:t>fit-out</w:t>
      </w:r>
      <w:r w:rsidR="00835ACA" w:rsidRPr="0016276A">
        <w:t xml:space="preserve"> activities</w:t>
      </w:r>
      <w:r w:rsidR="00F13866" w:rsidRPr="0016276A">
        <w:t>,</w:t>
      </w:r>
      <w:r w:rsidR="007F2BDA" w:rsidRPr="0016276A">
        <w:t xml:space="preserve"> </w:t>
      </w:r>
      <w:r w:rsidR="00734B93" w:rsidRPr="0016276A">
        <w:t>which</w:t>
      </w:r>
      <w:r w:rsidR="007F2BDA" w:rsidRPr="0016276A">
        <w:t xml:space="preserve"> </w:t>
      </w:r>
      <w:r w:rsidR="00D23F12" w:rsidRPr="0016276A">
        <w:t xml:space="preserve">in many cases </w:t>
      </w:r>
      <w:r w:rsidR="00951F93" w:rsidRPr="0016276A">
        <w:t>require</w:t>
      </w:r>
      <w:r w:rsidR="00D23F12" w:rsidRPr="0016276A">
        <w:t xml:space="preserve"> the </w:t>
      </w:r>
      <w:r w:rsidR="008F597E" w:rsidRPr="0016276A">
        <w:t>construction</w:t>
      </w:r>
      <w:r w:rsidR="00D23F12" w:rsidRPr="0016276A">
        <w:t xml:space="preserve"> of </w:t>
      </w:r>
      <w:r w:rsidR="009A5657" w:rsidRPr="0016276A">
        <w:t xml:space="preserve">expensive and </w:t>
      </w:r>
      <w:r w:rsidR="00D23F12" w:rsidRPr="0016276A">
        <w:t>specialised infrastructure</w:t>
      </w:r>
      <w:r w:rsidR="001E0DAC" w:rsidRPr="0016276A">
        <w:t xml:space="preserve"> (particularly fuel storage tanks, which </w:t>
      </w:r>
      <w:r w:rsidR="007F38EF" w:rsidRPr="0016276A">
        <w:t xml:space="preserve">are also expensive and time consuming to </w:t>
      </w:r>
      <w:r w:rsidR="00DB23C7" w:rsidRPr="0016276A">
        <w:t>decommission</w:t>
      </w:r>
      <w:r w:rsidR="001E0DAC" w:rsidRPr="0016276A">
        <w:t>)</w:t>
      </w:r>
      <w:r w:rsidR="00EF4676" w:rsidRPr="0016276A">
        <w:t>.</w:t>
      </w:r>
    </w:p>
    <w:p w:rsidR="00EE5547" w:rsidRPr="0016276A" w:rsidRDefault="00EE5547" w:rsidP="00CC0B2E">
      <w:pPr>
        <w:pStyle w:val="NormalParagraph"/>
        <w:ind w:hanging="502"/>
      </w:pPr>
      <w:r w:rsidRPr="0016276A">
        <w:t xml:space="preserve">Market participants also told the ACCC that there </w:t>
      </w:r>
      <w:r w:rsidR="00530DB2" w:rsidRPr="0016276A">
        <w:t>we</w:t>
      </w:r>
      <w:r w:rsidRPr="0016276A">
        <w:t xml:space="preserve">re high regulatory barriers associated with establishing a new </w:t>
      </w:r>
      <w:r w:rsidR="00E07803" w:rsidRPr="0016276A">
        <w:t>petrol</w:t>
      </w:r>
      <w:r w:rsidRPr="0016276A">
        <w:t xml:space="preserve"> retail site.</w:t>
      </w:r>
      <w:r w:rsidR="003979D6" w:rsidRPr="0016276A">
        <w:t xml:space="preserve"> </w:t>
      </w:r>
    </w:p>
    <w:p w:rsidR="009F533C" w:rsidRPr="0016276A" w:rsidRDefault="00DB7512" w:rsidP="00CC0B2E">
      <w:pPr>
        <w:pStyle w:val="NormalParagraph"/>
        <w:ind w:hanging="502"/>
      </w:pPr>
      <w:r w:rsidRPr="0016276A">
        <w:t xml:space="preserve">The ACCC also </w:t>
      </w:r>
      <w:r w:rsidR="008F5122" w:rsidRPr="0016276A">
        <w:t xml:space="preserve">understands </w:t>
      </w:r>
      <w:r w:rsidRPr="0016276A">
        <w:t xml:space="preserve">that </w:t>
      </w:r>
      <w:r w:rsidR="00D37281" w:rsidRPr="0016276A">
        <w:t xml:space="preserve">some </w:t>
      </w:r>
      <w:r w:rsidR="008F5122" w:rsidRPr="0016276A">
        <w:t>existing retailers with</w:t>
      </w:r>
      <w:r w:rsidR="00D42F79" w:rsidRPr="0016276A">
        <w:t xml:space="preserve"> a</w:t>
      </w:r>
      <w:r w:rsidR="008F5122" w:rsidRPr="0016276A">
        <w:t xml:space="preserve"> limited presence in Adelaide are deterred from expanding their operations into other parts of Adelaide by the credible threat of an aggressive strategic response by </w:t>
      </w:r>
      <w:r w:rsidR="007B474E" w:rsidRPr="0016276A">
        <w:t xml:space="preserve">well-resourced </w:t>
      </w:r>
      <w:r w:rsidR="008F5122" w:rsidRPr="0016276A">
        <w:t xml:space="preserve">incumbent operators. </w:t>
      </w:r>
    </w:p>
    <w:p w:rsidR="00EA682B" w:rsidRPr="0016276A" w:rsidRDefault="00EA682B" w:rsidP="00CC0B2E">
      <w:pPr>
        <w:pStyle w:val="NormalParagraph"/>
        <w:ind w:hanging="502"/>
      </w:pPr>
      <w:r w:rsidRPr="0016276A">
        <w:t xml:space="preserve">In relation to the Adelaide market, the barriers to entry of a new retail chain to replace the competition lost from the exit of BP would be significantly higher than the barriers </w:t>
      </w:r>
      <w:r w:rsidR="009F533C" w:rsidRPr="0016276A">
        <w:t xml:space="preserve">described above </w:t>
      </w:r>
      <w:r w:rsidRPr="0016276A">
        <w:t>to establishing a single site.</w:t>
      </w:r>
    </w:p>
    <w:p w:rsidR="008E2B87" w:rsidRPr="0016276A" w:rsidRDefault="008E2B87" w:rsidP="00CC0B2E">
      <w:pPr>
        <w:pStyle w:val="NormalParagraph"/>
        <w:ind w:hanging="502"/>
      </w:pPr>
      <w:r w:rsidRPr="0016276A">
        <w:t xml:space="preserve">For these reasons, the ACCC considered that entry on a sufficient scale to constrain the merged entity in a timely fashion was unlikely. The key source of competitive constraint in each market following the Acquisition </w:t>
      </w:r>
      <w:r w:rsidR="009F533C" w:rsidRPr="0016276A">
        <w:t>wa</w:t>
      </w:r>
      <w:r w:rsidRPr="0016276A">
        <w:t>s therefore likely to be the existing competitors in each area.</w:t>
      </w:r>
    </w:p>
    <w:p w:rsidR="00B75AE0" w:rsidRPr="0016276A" w:rsidRDefault="00B75AE0" w:rsidP="00B75AE0">
      <w:pPr>
        <w:pStyle w:val="Heading4"/>
      </w:pPr>
      <w:r w:rsidRPr="0016276A">
        <w:t>Impact of the Acquisition on local markets</w:t>
      </w:r>
    </w:p>
    <w:p w:rsidR="004F3547" w:rsidRPr="0016276A" w:rsidRDefault="004F3547" w:rsidP="00CC0B2E">
      <w:pPr>
        <w:pStyle w:val="NormalParagraph"/>
        <w:ind w:hanging="502"/>
      </w:pPr>
      <w:bookmarkStart w:id="32" w:name="_Ref380585851"/>
      <w:r w:rsidRPr="0016276A">
        <w:t xml:space="preserve">The Acquisition </w:t>
      </w:r>
      <w:r w:rsidR="00FA6016" w:rsidRPr="0016276A">
        <w:t>would</w:t>
      </w:r>
      <w:r w:rsidRPr="0016276A">
        <w:t xml:space="preserve"> change the market structure of local markets across Adelaide by removing a chain – BP </w:t>
      </w:r>
      <w:r w:rsidR="00FA6016" w:rsidRPr="0016276A">
        <w:t>company owned and operated</w:t>
      </w:r>
      <w:r w:rsidRPr="0016276A">
        <w:t xml:space="preserve"> sites – in its entirety, and by increasing the number of petrol </w:t>
      </w:r>
      <w:r w:rsidR="00E31DF3" w:rsidRPr="0016276A">
        <w:t>stations</w:t>
      </w:r>
      <w:r w:rsidRPr="0016276A">
        <w:t xml:space="preserve"> under Peregrine’s control.</w:t>
      </w:r>
      <w:bookmarkEnd w:id="32"/>
    </w:p>
    <w:p w:rsidR="004F3547" w:rsidRPr="0016276A" w:rsidRDefault="004F3547" w:rsidP="00CC0B2E">
      <w:pPr>
        <w:pStyle w:val="NormalParagraph"/>
        <w:ind w:hanging="502"/>
      </w:pPr>
      <w:r w:rsidRPr="0016276A">
        <w:t>In local market</w:t>
      </w:r>
      <w:r w:rsidR="006C069D" w:rsidRPr="0016276A">
        <w:t xml:space="preserve">s surrounding each </w:t>
      </w:r>
      <w:r w:rsidR="002503B3" w:rsidRPr="0016276A">
        <w:t>T</w:t>
      </w:r>
      <w:r w:rsidR="006C069D" w:rsidRPr="0016276A">
        <w:t xml:space="preserve">arget </w:t>
      </w:r>
      <w:r w:rsidR="002503B3" w:rsidRPr="0016276A">
        <w:t>S</w:t>
      </w:r>
      <w:r w:rsidR="006C069D" w:rsidRPr="0016276A">
        <w:t xml:space="preserve">ite, </w:t>
      </w:r>
      <w:r w:rsidR="00FF535C" w:rsidRPr="0016276A">
        <w:t xml:space="preserve">the ACCC </w:t>
      </w:r>
      <w:r w:rsidRPr="0016276A">
        <w:t xml:space="preserve">considered whether those changes would </w:t>
      </w:r>
      <w:r w:rsidR="001B7271" w:rsidRPr="0016276A">
        <w:t xml:space="preserve">enable Peregrine to unilaterally increase prices </w:t>
      </w:r>
      <w:r w:rsidR="004E03E3" w:rsidRPr="0016276A">
        <w:t>(including by reducing</w:t>
      </w:r>
      <w:r w:rsidR="009E3071" w:rsidRPr="0016276A">
        <w:t xml:space="preserve"> the extent of its discounting during the discount</w:t>
      </w:r>
      <w:r w:rsidR="00852B49" w:rsidRPr="0016276A">
        <w:t>ing</w:t>
      </w:r>
      <w:r w:rsidR="009E3071" w:rsidRPr="0016276A">
        <w:t xml:space="preserve"> phase of the cycle</w:t>
      </w:r>
      <w:r w:rsidR="004E03E3" w:rsidRPr="0016276A">
        <w:t>),</w:t>
      </w:r>
      <w:r w:rsidR="009E3071" w:rsidRPr="0016276A">
        <w:t xml:space="preserve"> </w:t>
      </w:r>
      <w:r w:rsidRPr="0016276A">
        <w:t xml:space="preserve">or </w:t>
      </w:r>
      <w:r w:rsidR="001B7271" w:rsidRPr="0016276A">
        <w:t xml:space="preserve">implement an </w:t>
      </w:r>
      <w:r w:rsidRPr="0016276A">
        <w:t>equivalent reduction in the non-price aspect of the petrol offer</w:t>
      </w:r>
      <w:r w:rsidR="004E03E3" w:rsidRPr="0016276A">
        <w:t>,</w:t>
      </w:r>
      <w:r w:rsidRPr="0016276A">
        <w:t xml:space="preserve"> at:</w:t>
      </w:r>
    </w:p>
    <w:p w:rsidR="004F3547" w:rsidRPr="0016276A" w:rsidRDefault="004F3547" w:rsidP="0068571F">
      <w:pPr>
        <w:pStyle w:val="ABCList"/>
        <w:numPr>
          <w:ilvl w:val="0"/>
          <w:numId w:val="20"/>
        </w:numPr>
      </w:pPr>
      <w:r w:rsidRPr="0016276A">
        <w:t xml:space="preserve">the </w:t>
      </w:r>
      <w:r w:rsidR="00CC7563" w:rsidRPr="0016276A">
        <w:t>T</w:t>
      </w:r>
      <w:r w:rsidRPr="0016276A">
        <w:t xml:space="preserve">arget </w:t>
      </w:r>
      <w:r w:rsidR="00CC7563" w:rsidRPr="0016276A">
        <w:t>S</w:t>
      </w:r>
      <w:r w:rsidRPr="0016276A">
        <w:t>ite</w:t>
      </w:r>
      <w:r w:rsidR="00692666" w:rsidRPr="0016276A">
        <w:t>, and/or;</w:t>
      </w:r>
    </w:p>
    <w:p w:rsidR="004F3547" w:rsidRPr="0016276A" w:rsidRDefault="004F3547" w:rsidP="004F3547">
      <w:pPr>
        <w:pStyle w:val="ABCList"/>
      </w:pPr>
      <w:r w:rsidRPr="0016276A">
        <w:t xml:space="preserve">Peregrine sites near the </w:t>
      </w:r>
      <w:r w:rsidR="002503B3" w:rsidRPr="0016276A">
        <w:t>T</w:t>
      </w:r>
      <w:r w:rsidRPr="0016276A">
        <w:t xml:space="preserve">arget </w:t>
      </w:r>
      <w:r w:rsidR="002503B3" w:rsidRPr="0016276A">
        <w:t>S</w:t>
      </w:r>
      <w:r w:rsidRPr="0016276A">
        <w:t>ite.</w:t>
      </w:r>
    </w:p>
    <w:p w:rsidR="009E3071" w:rsidRPr="0016276A" w:rsidRDefault="009F3929" w:rsidP="00CC0B2E">
      <w:pPr>
        <w:pStyle w:val="NormalParagraph"/>
        <w:ind w:hanging="502"/>
      </w:pPr>
      <w:r w:rsidRPr="0016276A">
        <w:t>T</w:t>
      </w:r>
      <w:r w:rsidR="009E3071" w:rsidRPr="0016276A">
        <w:t>h</w:t>
      </w:r>
      <w:r w:rsidR="003925C8" w:rsidRPr="0016276A">
        <w:t xml:space="preserve">is was more likely </w:t>
      </w:r>
      <w:r w:rsidR="009E3071" w:rsidRPr="0016276A">
        <w:t>in</w:t>
      </w:r>
      <w:r w:rsidRPr="0016276A">
        <w:t xml:space="preserve"> </w:t>
      </w:r>
      <w:r w:rsidR="009E3071" w:rsidRPr="0016276A">
        <w:t xml:space="preserve">local markets where </w:t>
      </w:r>
      <w:r w:rsidRPr="0016276A">
        <w:t xml:space="preserve">the </w:t>
      </w:r>
      <w:r w:rsidR="002503B3" w:rsidRPr="0016276A">
        <w:t>T</w:t>
      </w:r>
      <w:r w:rsidRPr="0016276A">
        <w:t xml:space="preserve">arget </w:t>
      </w:r>
      <w:r w:rsidR="002503B3" w:rsidRPr="0016276A">
        <w:t>S</w:t>
      </w:r>
      <w:r w:rsidRPr="0016276A">
        <w:t xml:space="preserve">ite and existing Peregrine sites were </w:t>
      </w:r>
      <w:r w:rsidR="00D125C1" w:rsidRPr="0016276A">
        <w:t xml:space="preserve">close </w:t>
      </w:r>
      <w:r w:rsidR="00DA73E2" w:rsidRPr="0016276A">
        <w:t>competitors to</w:t>
      </w:r>
      <w:r w:rsidRPr="0016276A">
        <w:t xml:space="preserve"> each other, and where </w:t>
      </w:r>
      <w:r w:rsidR="009E3071" w:rsidRPr="0016276A">
        <w:t xml:space="preserve">there would be </w:t>
      </w:r>
      <w:r w:rsidR="00DA73E2" w:rsidRPr="0016276A">
        <w:t>few</w:t>
      </w:r>
      <w:r w:rsidR="009E3071" w:rsidRPr="0016276A">
        <w:t xml:space="preserve"> </w:t>
      </w:r>
      <w:r w:rsidR="006C5D65" w:rsidRPr="0016276A">
        <w:t xml:space="preserve">close </w:t>
      </w:r>
      <w:r w:rsidR="009E3071" w:rsidRPr="0016276A">
        <w:t>competitors to Peregrine</w:t>
      </w:r>
      <w:r w:rsidR="009F533C" w:rsidRPr="0016276A">
        <w:t>-</w:t>
      </w:r>
      <w:r w:rsidR="009E3071" w:rsidRPr="0016276A">
        <w:t>operated sites following the Acquisition.</w:t>
      </w:r>
    </w:p>
    <w:p w:rsidR="004F3547" w:rsidRPr="0016276A" w:rsidRDefault="00EC4A4A" w:rsidP="00CC0B2E">
      <w:pPr>
        <w:pStyle w:val="NormalParagraph"/>
        <w:ind w:hanging="502"/>
      </w:pPr>
      <w:r w:rsidRPr="0016276A">
        <w:lastRenderedPageBreak/>
        <w:t xml:space="preserve">The ACCC </w:t>
      </w:r>
      <w:r w:rsidR="004F3547" w:rsidRPr="0016276A">
        <w:t>view</w:t>
      </w:r>
      <w:r w:rsidR="003925C8" w:rsidRPr="0016276A">
        <w:t>ed</w:t>
      </w:r>
      <w:r w:rsidR="004F3547" w:rsidRPr="0016276A">
        <w:t xml:space="preserve"> sites as </w:t>
      </w:r>
      <w:r w:rsidR="00DA73E2" w:rsidRPr="0016276A">
        <w:t>close competitors to</w:t>
      </w:r>
      <w:r w:rsidR="004F3547" w:rsidRPr="0016276A">
        <w:t xml:space="preserve"> each other where</w:t>
      </w:r>
      <w:r w:rsidR="003925C8" w:rsidRPr="0016276A">
        <w:t xml:space="preserve"> they</w:t>
      </w:r>
      <w:r w:rsidR="004F3547" w:rsidRPr="0016276A">
        <w:t>:</w:t>
      </w:r>
    </w:p>
    <w:p w:rsidR="004F3547" w:rsidRPr="0016276A" w:rsidRDefault="009F533C" w:rsidP="0068571F">
      <w:pPr>
        <w:pStyle w:val="ABCList"/>
        <w:numPr>
          <w:ilvl w:val="0"/>
          <w:numId w:val="21"/>
        </w:numPr>
      </w:pPr>
      <w:r w:rsidRPr="0016276A">
        <w:t>we</w:t>
      </w:r>
      <w:r w:rsidR="004F3547" w:rsidRPr="0016276A">
        <w:t xml:space="preserve">re close in geographic space, </w:t>
      </w:r>
      <w:r w:rsidR="00175990" w:rsidRPr="0016276A">
        <w:t xml:space="preserve">including where they were </w:t>
      </w:r>
      <w:r w:rsidR="004F3547" w:rsidRPr="0016276A">
        <w:t>located across the road, or on the same major road</w:t>
      </w:r>
    </w:p>
    <w:p w:rsidR="004F3547" w:rsidRPr="0016276A" w:rsidRDefault="009F533C" w:rsidP="004F3547">
      <w:pPr>
        <w:pStyle w:val="ABCList"/>
      </w:pPr>
      <w:r w:rsidRPr="0016276A">
        <w:t>we</w:t>
      </w:r>
      <w:r w:rsidR="004F3547" w:rsidRPr="0016276A">
        <w:t xml:space="preserve">re close in product space, such as where the sites </w:t>
      </w:r>
      <w:r w:rsidRPr="0016276A">
        <w:t>we</w:t>
      </w:r>
      <w:r w:rsidR="004F3547" w:rsidRPr="0016276A">
        <w:t xml:space="preserve">re of a similar </w:t>
      </w:r>
      <w:r w:rsidR="00D125C1" w:rsidRPr="0016276A">
        <w:t xml:space="preserve">size or </w:t>
      </w:r>
      <w:r w:rsidR="004F3547" w:rsidRPr="0016276A">
        <w:t>q</w:t>
      </w:r>
      <w:r w:rsidR="00EC4A4A" w:rsidRPr="0016276A">
        <w:t>uality</w:t>
      </w:r>
      <w:r w:rsidR="00D125C1" w:rsidRPr="0016276A">
        <w:t>,</w:t>
      </w:r>
      <w:r w:rsidR="00EC4A4A" w:rsidRPr="0016276A">
        <w:t xml:space="preserve"> ha</w:t>
      </w:r>
      <w:r w:rsidRPr="0016276A">
        <w:t>d</w:t>
      </w:r>
      <w:r w:rsidR="00EC4A4A" w:rsidRPr="0016276A">
        <w:t xml:space="preserve"> similar branding</w:t>
      </w:r>
      <w:r w:rsidR="00D125C1" w:rsidRPr="0016276A">
        <w:t>, or otherwise compete</w:t>
      </w:r>
      <w:r w:rsidRPr="0016276A">
        <w:t>d</w:t>
      </w:r>
      <w:r w:rsidR="00D125C1" w:rsidRPr="0016276A">
        <w:t xml:space="preserve"> for the same types of customers</w:t>
      </w:r>
      <w:r w:rsidR="00EC4A4A" w:rsidRPr="0016276A">
        <w:t>.</w:t>
      </w:r>
    </w:p>
    <w:p w:rsidR="00B51E27" w:rsidRPr="0016276A" w:rsidRDefault="00EC4460" w:rsidP="00CC0B2E">
      <w:pPr>
        <w:pStyle w:val="NormalParagraph"/>
        <w:ind w:hanging="502"/>
      </w:pPr>
      <w:r w:rsidRPr="0016276A">
        <w:t xml:space="preserve">The ACCC also took account of documents or examples of petrol retailers’ behaviour where they indicated that particular sites were </w:t>
      </w:r>
      <w:r w:rsidR="009D017D" w:rsidRPr="0016276A">
        <w:t xml:space="preserve">or were not </w:t>
      </w:r>
      <w:r w:rsidRPr="0016276A">
        <w:t>close competitors.</w:t>
      </w:r>
    </w:p>
    <w:p w:rsidR="00B3615F" w:rsidRPr="0016276A" w:rsidRDefault="00B3615F" w:rsidP="00CC0B2E">
      <w:pPr>
        <w:pStyle w:val="NormalParagraph"/>
        <w:ind w:hanging="502"/>
      </w:pPr>
      <w:r w:rsidRPr="0016276A">
        <w:t xml:space="preserve">Based on the above, the ACCC </w:t>
      </w:r>
      <w:r w:rsidR="002B6384" w:rsidRPr="0016276A">
        <w:t>concluded</w:t>
      </w:r>
      <w:r w:rsidRPr="0016276A">
        <w:t xml:space="preserve"> that (in the absence of the </w:t>
      </w:r>
      <w:r w:rsidR="00F06154" w:rsidRPr="0016276A">
        <w:t>undertaking</w:t>
      </w:r>
      <w:r w:rsidRPr="0016276A">
        <w:t xml:space="preserve">) the Acquisition would have the effect, or be likely to have the effect of substantially lessening competition in local markets surrounding the following </w:t>
      </w:r>
      <w:r w:rsidR="002503B3" w:rsidRPr="0016276A">
        <w:t>T</w:t>
      </w:r>
      <w:r w:rsidRPr="0016276A">
        <w:t xml:space="preserve">arget </w:t>
      </w:r>
      <w:r w:rsidR="002503B3" w:rsidRPr="0016276A">
        <w:t>S</w:t>
      </w:r>
      <w:r w:rsidRPr="0016276A">
        <w:t>ites:</w:t>
      </w:r>
    </w:p>
    <w:p w:rsidR="00B3615F" w:rsidRPr="0016276A" w:rsidRDefault="00B3615F" w:rsidP="0068571F">
      <w:pPr>
        <w:pStyle w:val="ABCList"/>
        <w:numPr>
          <w:ilvl w:val="0"/>
          <w:numId w:val="23"/>
        </w:numPr>
      </w:pPr>
      <w:r w:rsidRPr="0016276A">
        <w:t>BP Elizabeth Vale</w:t>
      </w:r>
    </w:p>
    <w:p w:rsidR="00B3615F" w:rsidRPr="0016276A" w:rsidRDefault="00B3615F" w:rsidP="0068571F">
      <w:pPr>
        <w:pStyle w:val="ABCList"/>
        <w:numPr>
          <w:ilvl w:val="0"/>
          <w:numId w:val="23"/>
        </w:numPr>
      </w:pPr>
      <w:r w:rsidRPr="0016276A">
        <w:t>BP Mile End</w:t>
      </w:r>
    </w:p>
    <w:p w:rsidR="00B3615F" w:rsidRPr="0016276A" w:rsidRDefault="00B3615F" w:rsidP="0068571F">
      <w:pPr>
        <w:pStyle w:val="ABCList"/>
        <w:numPr>
          <w:ilvl w:val="0"/>
          <w:numId w:val="23"/>
        </w:numPr>
      </w:pPr>
      <w:r w:rsidRPr="0016276A">
        <w:t>BP Mitchell Park</w:t>
      </w:r>
    </w:p>
    <w:p w:rsidR="00B3615F" w:rsidRPr="0016276A" w:rsidRDefault="00B3615F" w:rsidP="0068571F">
      <w:pPr>
        <w:pStyle w:val="ABCList"/>
        <w:numPr>
          <w:ilvl w:val="0"/>
          <w:numId w:val="23"/>
        </w:numPr>
      </w:pPr>
      <w:r w:rsidRPr="0016276A">
        <w:t>BP Westbourne Park.</w:t>
      </w:r>
    </w:p>
    <w:p w:rsidR="00190E8C" w:rsidRPr="0016276A" w:rsidRDefault="00D1201C" w:rsidP="00CC0B2E">
      <w:pPr>
        <w:pStyle w:val="NormalParagraph"/>
        <w:ind w:hanging="502"/>
      </w:pPr>
      <w:r w:rsidRPr="0016276A">
        <w:t>T</w:t>
      </w:r>
      <w:r w:rsidR="00190E8C" w:rsidRPr="0016276A">
        <w:t xml:space="preserve">he </w:t>
      </w:r>
      <w:r w:rsidR="00F06154" w:rsidRPr="0016276A">
        <w:t>undertaking</w:t>
      </w:r>
      <w:r w:rsidR="00190E8C" w:rsidRPr="0016276A">
        <w:t xml:space="preserve"> </w:t>
      </w:r>
      <w:r w:rsidR="003850DD" w:rsidRPr="0016276A">
        <w:t xml:space="preserve">given </w:t>
      </w:r>
      <w:r w:rsidR="00190E8C" w:rsidRPr="0016276A">
        <w:t xml:space="preserve">by Peregrine addressed the ACCC’s competition concerns in relation to local markets surrounding </w:t>
      </w:r>
      <w:r w:rsidRPr="0016276A">
        <w:t>each of these</w:t>
      </w:r>
      <w:r w:rsidR="00190E8C" w:rsidRPr="0016276A">
        <w:t xml:space="preserve"> sites</w:t>
      </w:r>
      <w:r w:rsidRPr="0016276A">
        <w:t>.</w:t>
      </w:r>
      <w:r w:rsidR="002B6384" w:rsidRPr="0016276A">
        <w:t xml:space="preserve"> These sites are now discussed in turn.</w:t>
      </w:r>
    </w:p>
    <w:p w:rsidR="00EB4614" w:rsidRPr="0016276A" w:rsidRDefault="00EB4614" w:rsidP="00524C81">
      <w:pPr>
        <w:pStyle w:val="Heading5"/>
        <w:keepNext/>
        <w:keepLines/>
      </w:pPr>
      <w:r w:rsidRPr="0016276A">
        <w:lastRenderedPageBreak/>
        <w:t>BP Elizabeth Vale</w:t>
      </w:r>
    </w:p>
    <w:p w:rsidR="00AE047C" w:rsidRPr="0016276A" w:rsidRDefault="00E81B60" w:rsidP="00AE047C">
      <w:pPr>
        <w:pStyle w:val="Caption"/>
        <w:ind w:left="0"/>
      </w:pPr>
      <w:r w:rsidRPr="0016276A">
        <w:t xml:space="preserve">Figure </w:t>
      </w:r>
      <w:fldSimple w:instr=" SEQ Figure \* ARABIC ">
        <w:r w:rsidR="00F126FE">
          <w:rPr>
            <w:noProof/>
          </w:rPr>
          <w:t>2</w:t>
        </w:r>
      </w:fldSimple>
      <w:r w:rsidRPr="0016276A">
        <w:t>: Map o</w:t>
      </w:r>
      <w:r w:rsidR="00F100C0" w:rsidRPr="0016276A">
        <w:t>f area surrounding BP Elizabeth</w:t>
      </w:r>
      <w:r w:rsidR="00524C81" w:rsidRPr="0016276A">
        <w:t xml:space="preserve"> </w:t>
      </w:r>
      <w:r w:rsidRPr="0016276A">
        <w:t>Vale</w:t>
      </w:r>
    </w:p>
    <w:p w:rsidR="00AE047C" w:rsidRPr="0016276A" w:rsidRDefault="00F126FE" w:rsidP="00AE047C">
      <w:r>
        <w:pict>
          <v:shape id="_x0000_i1027" type="#_x0000_t75" style="width:435.75pt;height:643.3pt">
            <v:imagedata r:id="rId11" o:title="Map EV" croptop="1137f" cropbottom="2592f" cropleft="3663f" cropright="2950f"/>
          </v:shape>
        </w:pict>
      </w:r>
    </w:p>
    <w:p w:rsidR="005754FD" w:rsidRPr="0016276A" w:rsidRDefault="003925C8" w:rsidP="00CC0B2E">
      <w:pPr>
        <w:pStyle w:val="NormalParagraph"/>
        <w:ind w:hanging="502"/>
      </w:pPr>
      <w:r w:rsidRPr="0016276A">
        <w:lastRenderedPageBreak/>
        <w:t xml:space="preserve">The Target Site, </w:t>
      </w:r>
      <w:r w:rsidR="005754FD" w:rsidRPr="0016276A">
        <w:t>BP Elizabeth Vale</w:t>
      </w:r>
      <w:r w:rsidRPr="0016276A">
        <w:t>,</w:t>
      </w:r>
      <w:r w:rsidR="005754FD" w:rsidRPr="0016276A">
        <w:t xml:space="preserve"> is on the northbound side of Main North Road, which is a major thoroughfare through Adelaide’s northern suburbs</w:t>
      </w:r>
      <w:r w:rsidR="001C7E51" w:rsidRPr="0016276A">
        <w:t xml:space="preserve"> with </w:t>
      </w:r>
      <w:r w:rsidR="00190E8C" w:rsidRPr="0016276A">
        <w:t>three</w:t>
      </w:r>
      <w:r w:rsidR="001C7E51" w:rsidRPr="0016276A">
        <w:t xml:space="preserve"> lanes in each direction</w:t>
      </w:r>
      <w:r w:rsidR="005754FD" w:rsidRPr="0016276A">
        <w:t>.</w:t>
      </w:r>
      <w:r w:rsidR="002E086B" w:rsidRPr="0016276A">
        <w:rPr>
          <w:b/>
          <w:vertAlign w:val="superscript"/>
        </w:rPr>
        <w:t xml:space="preserve"> </w:t>
      </w:r>
      <w:r w:rsidR="002E086B" w:rsidRPr="0016276A">
        <w:rPr>
          <w:b/>
          <w:vertAlign w:val="superscript"/>
        </w:rPr>
        <w:footnoteReference w:id="8"/>
      </w:r>
    </w:p>
    <w:p w:rsidR="00AE047C" w:rsidRPr="0016276A" w:rsidRDefault="00452DFA" w:rsidP="00CC0B2E">
      <w:pPr>
        <w:pStyle w:val="NormalParagraph"/>
        <w:ind w:hanging="502"/>
        <w:rPr>
          <w:b/>
        </w:rPr>
      </w:pPr>
      <w:r w:rsidRPr="0016276A">
        <w:t>The ACCC</w:t>
      </w:r>
      <w:r w:rsidR="00D54365" w:rsidRPr="0016276A">
        <w:t xml:space="preserve"> formed the view that the </w:t>
      </w:r>
      <w:r w:rsidRPr="0016276A">
        <w:t xml:space="preserve">acquisition by Peregrine of BP Elizabeth Vale </w:t>
      </w:r>
      <w:r w:rsidR="00D54365" w:rsidRPr="0016276A">
        <w:t>would have the effect, or be likely to have the effect</w:t>
      </w:r>
      <w:r w:rsidR="003925C8" w:rsidRPr="0016276A">
        <w:t>,</w:t>
      </w:r>
      <w:r w:rsidR="00D54365" w:rsidRPr="0016276A">
        <w:t xml:space="preserve"> </w:t>
      </w:r>
      <w:r w:rsidRPr="0016276A">
        <w:t>of substantially lessening competition</w:t>
      </w:r>
      <w:r w:rsidR="00D54365" w:rsidRPr="0016276A">
        <w:t xml:space="preserve"> in </w:t>
      </w:r>
      <w:r w:rsidR="00A7357A" w:rsidRPr="0016276A">
        <w:t>the</w:t>
      </w:r>
      <w:r w:rsidR="00D54365" w:rsidRPr="0016276A">
        <w:t xml:space="preserve"> local market surrounding the </w:t>
      </w:r>
      <w:r w:rsidR="001C7E51" w:rsidRPr="0016276A">
        <w:t>T</w:t>
      </w:r>
      <w:r w:rsidR="00D54365" w:rsidRPr="0016276A">
        <w:t xml:space="preserve">arget </w:t>
      </w:r>
      <w:r w:rsidR="001C7E51" w:rsidRPr="0016276A">
        <w:t>S</w:t>
      </w:r>
      <w:r w:rsidR="00D54365" w:rsidRPr="0016276A">
        <w:t>ite</w:t>
      </w:r>
      <w:r w:rsidRPr="0016276A">
        <w:t>.</w:t>
      </w:r>
      <w:r w:rsidR="00AE047C" w:rsidRPr="0016276A">
        <w:rPr>
          <w:b/>
          <w:sz w:val="18"/>
          <w:vertAlign w:val="superscript"/>
        </w:rPr>
        <w:t xml:space="preserve"> </w:t>
      </w:r>
    </w:p>
    <w:p w:rsidR="00333E91" w:rsidRPr="0016276A" w:rsidRDefault="00452DFA" w:rsidP="00CC0B2E">
      <w:pPr>
        <w:pStyle w:val="NormalParagraph"/>
        <w:ind w:hanging="502"/>
      </w:pPr>
      <w:r w:rsidRPr="0016276A">
        <w:t xml:space="preserve">BP Elizabeth Vale is directly opposite an existing Peregrine site – OTR Hillbank – on the same road. </w:t>
      </w:r>
      <w:r w:rsidR="00333E91" w:rsidRPr="0016276A">
        <w:t xml:space="preserve">The two sites are so closely located as to allow a customer of one site to compare prices with the site on the other side of the road, which imposes </w:t>
      </w:r>
      <w:r w:rsidR="006B2736" w:rsidRPr="0016276A">
        <w:t xml:space="preserve">potential </w:t>
      </w:r>
      <w:r w:rsidR="00333E91" w:rsidRPr="0016276A">
        <w:t>competitive discipline on both sites.</w:t>
      </w:r>
    </w:p>
    <w:p w:rsidR="00452DFA" w:rsidRPr="0016276A" w:rsidRDefault="00452DFA" w:rsidP="00CC0B2E">
      <w:pPr>
        <w:pStyle w:val="NormalParagraph"/>
        <w:ind w:hanging="502"/>
      </w:pPr>
      <w:r w:rsidRPr="0016276A">
        <w:t>Based on this information, the ACCC’s market inquiries and the ACCC’s review of pricing data available to it, the ACCC consider</w:t>
      </w:r>
      <w:r w:rsidR="00333E91" w:rsidRPr="0016276A">
        <w:t>ed</w:t>
      </w:r>
      <w:r w:rsidRPr="0016276A">
        <w:t xml:space="preserve"> that OTR Hillbank </w:t>
      </w:r>
      <w:r w:rsidR="00333E91" w:rsidRPr="0016276A">
        <w:t xml:space="preserve">and </w:t>
      </w:r>
      <w:r w:rsidRPr="0016276A">
        <w:t xml:space="preserve">BP Elizabeth Vale </w:t>
      </w:r>
      <w:r w:rsidR="00333E91" w:rsidRPr="0016276A">
        <w:t xml:space="preserve">were particularly close competitors. </w:t>
      </w:r>
    </w:p>
    <w:p w:rsidR="00452DFA" w:rsidRPr="0016276A" w:rsidRDefault="00FD316F" w:rsidP="00CC0B2E">
      <w:pPr>
        <w:pStyle w:val="NormalParagraph"/>
        <w:ind w:hanging="502"/>
      </w:pPr>
      <w:bookmarkStart w:id="33" w:name="_Ref380404667"/>
      <w:r w:rsidRPr="0016276A">
        <w:t xml:space="preserve">While there are other petrol stations on Main North Road to the north and the south of BP Elizabeth Vale, all but one of those sites (Caltex Salisbury Park to the south), are </w:t>
      </w:r>
      <w:r w:rsidR="00423C4F" w:rsidRPr="0016276A">
        <w:t>more than 5km from the Target Site</w:t>
      </w:r>
      <w:r w:rsidR="002B6384" w:rsidRPr="0016276A">
        <w:t>. T</w:t>
      </w:r>
      <w:r w:rsidR="00423C4F" w:rsidRPr="0016276A">
        <w:t>he ACCC considered the</w:t>
      </w:r>
      <w:r w:rsidR="002B6384" w:rsidRPr="0016276A">
        <w:t>se</w:t>
      </w:r>
      <w:r w:rsidR="00423C4F" w:rsidRPr="0016276A">
        <w:t xml:space="preserve"> to be weak competitive constraints</w:t>
      </w:r>
      <w:r w:rsidR="002B6384" w:rsidRPr="0016276A">
        <w:t>, compared to the direct competitive constraints between the Target Site and OTR Hillbank</w:t>
      </w:r>
      <w:r w:rsidR="00423C4F" w:rsidRPr="0016276A">
        <w:t xml:space="preserve">. </w:t>
      </w:r>
      <w:r w:rsidR="00626456" w:rsidRPr="0016276A">
        <w:t>If it had acquired BP Elizabeth Vale</w:t>
      </w:r>
      <w:r w:rsidR="00452DFA" w:rsidRPr="0016276A">
        <w:t xml:space="preserve">, Peregrine would have </w:t>
      </w:r>
      <w:r w:rsidR="000B3D49" w:rsidRPr="0016276A">
        <w:t xml:space="preserve">had </w:t>
      </w:r>
      <w:r w:rsidR="00452DFA" w:rsidRPr="0016276A">
        <w:t xml:space="preserve">two of three sites on Main North Road in the Elizabeth/Hillbank area. The only competitor remaining in this part of the Main North Road would </w:t>
      </w:r>
      <w:r w:rsidR="000B3D49" w:rsidRPr="0016276A">
        <w:t xml:space="preserve">have </w:t>
      </w:r>
      <w:r w:rsidR="00452DFA" w:rsidRPr="0016276A">
        <w:t>be</w:t>
      </w:r>
      <w:r w:rsidR="000B3D49" w:rsidRPr="0016276A">
        <w:t>en</w:t>
      </w:r>
      <w:r w:rsidR="00452DFA" w:rsidRPr="0016276A">
        <w:t xml:space="preserve"> Caltex Salisbury Park. </w:t>
      </w:r>
      <w:bookmarkEnd w:id="33"/>
    </w:p>
    <w:p w:rsidR="00452DFA" w:rsidRPr="0016276A" w:rsidRDefault="002B6384" w:rsidP="00CC0B2E">
      <w:pPr>
        <w:pStyle w:val="NormalParagraph"/>
        <w:ind w:hanging="502"/>
      </w:pPr>
      <w:r w:rsidRPr="0016276A">
        <w:t>T</w:t>
      </w:r>
      <w:r w:rsidR="008E3E22" w:rsidRPr="0016276A">
        <w:t>raffic flow data available to the ACCC suggested that much of the traffic along Main North Road in the vicinity of BP Elizabeth Vale continued north or south along th</w:t>
      </w:r>
      <w:r w:rsidR="001D70BB" w:rsidRPr="0016276A">
        <w:t>at</w:t>
      </w:r>
      <w:r w:rsidR="008E3E22" w:rsidRPr="0016276A">
        <w:t xml:space="preserve"> road. Having regard to this information, and other information received during its market inquiries, the </w:t>
      </w:r>
      <w:r w:rsidR="00423C4F" w:rsidRPr="0016276A">
        <w:t xml:space="preserve">ACCC </w:t>
      </w:r>
      <w:r w:rsidR="008E3E22" w:rsidRPr="0016276A">
        <w:t xml:space="preserve">considered that competitors located off Main North Road (on parallel or cross roads) </w:t>
      </w:r>
      <w:r w:rsidR="00B55894" w:rsidRPr="0016276A">
        <w:t xml:space="preserve">were </w:t>
      </w:r>
      <w:r w:rsidR="008E3E22" w:rsidRPr="0016276A">
        <w:t xml:space="preserve">unlikely to be close substitutes for the </w:t>
      </w:r>
      <w:r w:rsidR="001C7E51" w:rsidRPr="0016276A">
        <w:t>T</w:t>
      </w:r>
      <w:r w:rsidR="008E3E22" w:rsidRPr="0016276A">
        <w:t xml:space="preserve">arget </w:t>
      </w:r>
      <w:r w:rsidR="001C7E51" w:rsidRPr="0016276A">
        <w:t>S</w:t>
      </w:r>
      <w:r w:rsidR="008E3E22" w:rsidRPr="0016276A">
        <w:t>ite and OTR Hillbank.</w:t>
      </w:r>
    </w:p>
    <w:p w:rsidR="00837077" w:rsidRPr="0016276A" w:rsidRDefault="00D97F71" w:rsidP="00CC0B2E">
      <w:pPr>
        <w:pStyle w:val="NormalParagraph"/>
        <w:ind w:hanging="502"/>
      </w:pPr>
      <w:r w:rsidRPr="0016276A">
        <w:t xml:space="preserve">For these reasons, the ACCC </w:t>
      </w:r>
      <w:r w:rsidR="002B6384" w:rsidRPr="0016276A">
        <w:t>concluded</w:t>
      </w:r>
      <w:r w:rsidRPr="0016276A">
        <w:t xml:space="preserve"> that the extent of competition provided by the </w:t>
      </w:r>
      <w:r w:rsidR="00452DFA" w:rsidRPr="0016276A">
        <w:t xml:space="preserve">remaining competitors </w:t>
      </w:r>
      <w:r w:rsidRPr="0016276A">
        <w:t xml:space="preserve">on and off Main North Road </w:t>
      </w:r>
      <w:r w:rsidR="00452DFA" w:rsidRPr="0016276A">
        <w:t xml:space="preserve">would be </w:t>
      </w:r>
      <w:r w:rsidRPr="0016276A">
        <w:t>in</w:t>
      </w:r>
      <w:r w:rsidR="00452DFA" w:rsidRPr="0016276A">
        <w:t>sufficient to constrain Peregrine</w:t>
      </w:r>
      <w:r w:rsidRPr="0016276A">
        <w:t xml:space="preserve"> if it had acquired </w:t>
      </w:r>
      <w:r w:rsidR="00BD2FF9" w:rsidRPr="0016276A">
        <w:t>BP</w:t>
      </w:r>
      <w:r w:rsidRPr="0016276A">
        <w:t xml:space="preserve"> Elizabeth Vale</w:t>
      </w:r>
      <w:r w:rsidR="00452DFA" w:rsidRPr="0016276A">
        <w:t>.</w:t>
      </w:r>
      <w:r w:rsidR="001D70BB" w:rsidRPr="0016276A">
        <w:t xml:space="preserve"> Accordingly, </w:t>
      </w:r>
      <w:r w:rsidR="00837077" w:rsidRPr="0016276A">
        <w:t xml:space="preserve">the ACCC considered that the acquisition of BP </w:t>
      </w:r>
      <w:r w:rsidR="001D70BB" w:rsidRPr="0016276A">
        <w:t xml:space="preserve">Elizabeth Vale </w:t>
      </w:r>
      <w:r w:rsidR="00837077" w:rsidRPr="0016276A">
        <w:t xml:space="preserve">by Peregrine would (in the absence of the undertaking </w:t>
      </w:r>
      <w:r w:rsidR="003850DD" w:rsidRPr="0016276A">
        <w:t xml:space="preserve">given </w:t>
      </w:r>
      <w:r w:rsidR="00837077" w:rsidRPr="0016276A">
        <w:t xml:space="preserve">by Peregrine) </w:t>
      </w:r>
      <w:r w:rsidR="00C77706" w:rsidRPr="0016276A">
        <w:t>have</w:t>
      </w:r>
      <w:r w:rsidR="00837077" w:rsidRPr="0016276A">
        <w:t xml:space="preserve"> the effect, or be likely to have the effect</w:t>
      </w:r>
      <w:r w:rsidR="003925C8" w:rsidRPr="0016276A">
        <w:t>,</w:t>
      </w:r>
      <w:r w:rsidR="00837077" w:rsidRPr="0016276A">
        <w:t xml:space="preserve"> of substantially lessening competition </w:t>
      </w:r>
      <w:r w:rsidR="001C7E51" w:rsidRPr="0016276A">
        <w:t>in the local market surrounding the Target Site</w:t>
      </w:r>
      <w:r w:rsidR="00837077" w:rsidRPr="0016276A">
        <w:t>.</w:t>
      </w:r>
    </w:p>
    <w:p w:rsidR="00481177" w:rsidRPr="0016276A" w:rsidRDefault="00CC68B6" w:rsidP="00CC0B2E">
      <w:pPr>
        <w:pStyle w:val="NormalParagraph"/>
        <w:ind w:hanging="502"/>
      </w:pPr>
      <w:r w:rsidRPr="0016276A">
        <w:t>Peregrine</w:t>
      </w:r>
      <w:r w:rsidR="007632B2" w:rsidRPr="0016276A">
        <w:t>’s undertaking require</w:t>
      </w:r>
      <w:r w:rsidR="00F76120" w:rsidRPr="0016276A">
        <w:t>d</w:t>
      </w:r>
      <w:r w:rsidR="007632B2" w:rsidRPr="0016276A">
        <w:t xml:space="preserve"> Peregrine t</w:t>
      </w:r>
      <w:r w:rsidRPr="0016276A">
        <w:t xml:space="preserve">o </w:t>
      </w:r>
      <w:r w:rsidR="00487119" w:rsidRPr="0016276A">
        <w:t>divest</w:t>
      </w:r>
      <w:r w:rsidRPr="0016276A">
        <w:t xml:space="preserve"> </w:t>
      </w:r>
      <w:r w:rsidR="00BD2FF9" w:rsidRPr="0016276A">
        <w:t xml:space="preserve">BP Elizabeth Vale </w:t>
      </w:r>
      <w:r w:rsidRPr="0016276A">
        <w:t>to Caltex.</w:t>
      </w:r>
      <w:r w:rsidR="005E3D9B" w:rsidRPr="0016276A">
        <w:t xml:space="preserve"> As noted above at </w:t>
      </w:r>
      <w:r w:rsidR="00C1039B" w:rsidRPr="0016276A">
        <w:t xml:space="preserve">paragraph </w:t>
      </w:r>
      <w:r w:rsidR="005E3D9B" w:rsidRPr="0016276A">
        <w:fldChar w:fldCharType="begin"/>
      </w:r>
      <w:r w:rsidR="005E3D9B" w:rsidRPr="0016276A">
        <w:instrText xml:space="preserve"> REF _Ref380404667 \r \h </w:instrText>
      </w:r>
      <w:r w:rsidR="00636431" w:rsidRPr="0016276A">
        <w:instrText xml:space="preserve"> \* MERGEFORMAT </w:instrText>
      </w:r>
      <w:r w:rsidR="005E3D9B" w:rsidRPr="0016276A">
        <w:fldChar w:fldCharType="separate"/>
      </w:r>
      <w:r w:rsidR="00F126FE">
        <w:t>112</w:t>
      </w:r>
      <w:r w:rsidR="005E3D9B" w:rsidRPr="0016276A">
        <w:fldChar w:fldCharType="end"/>
      </w:r>
      <w:r w:rsidR="006B5320" w:rsidRPr="0016276A">
        <w:t>, Caltex already own</w:t>
      </w:r>
      <w:r w:rsidR="002B6384" w:rsidRPr="0016276A">
        <w:t>ed</w:t>
      </w:r>
      <w:r w:rsidR="006B5320" w:rsidRPr="0016276A">
        <w:t xml:space="preserve"> the nearby Caltex Salisbury</w:t>
      </w:r>
      <w:r w:rsidR="00636431" w:rsidRPr="0016276A">
        <w:t xml:space="preserve"> Park</w:t>
      </w:r>
      <w:r w:rsidR="006B5320" w:rsidRPr="0016276A">
        <w:t xml:space="preserve"> site approximately </w:t>
      </w:r>
      <w:r w:rsidR="00636431" w:rsidRPr="0016276A">
        <w:t>two</w:t>
      </w:r>
      <w:r w:rsidR="006B5320" w:rsidRPr="0016276A">
        <w:t xml:space="preserve"> k</w:t>
      </w:r>
      <w:r w:rsidR="00636431" w:rsidRPr="0016276A">
        <w:t xml:space="preserve">ilometres </w:t>
      </w:r>
      <w:r w:rsidR="006B5320" w:rsidRPr="0016276A">
        <w:t xml:space="preserve">to the south </w:t>
      </w:r>
      <w:r w:rsidR="00C431C0" w:rsidRPr="0016276A">
        <w:t xml:space="preserve">of the Target Site </w:t>
      </w:r>
      <w:r w:rsidR="006B5320" w:rsidRPr="0016276A">
        <w:t>on Main North Road</w:t>
      </w:r>
      <w:r w:rsidR="00636431" w:rsidRPr="0016276A">
        <w:t>. As a result of acquiring BP Elizabeth Vale</w:t>
      </w:r>
      <w:r w:rsidR="003925C8" w:rsidRPr="0016276A">
        <w:t>,</w:t>
      </w:r>
      <w:r w:rsidR="00636431" w:rsidRPr="0016276A">
        <w:t xml:space="preserve"> Caltex</w:t>
      </w:r>
      <w:r w:rsidRPr="0016276A">
        <w:t xml:space="preserve"> would own two sites on the same side of the road, in the near vicinity of each other.</w:t>
      </w:r>
      <w:r w:rsidR="00D23804" w:rsidRPr="0016276A">
        <w:t xml:space="preserve"> However, the ACCC considered that Caltex Salisbury Park was </w:t>
      </w:r>
      <w:r w:rsidR="006B6BDB" w:rsidRPr="0016276A">
        <w:t>not as</w:t>
      </w:r>
      <w:r w:rsidR="00D23804" w:rsidRPr="0016276A">
        <w:t xml:space="preserve"> close a substitute for BP Elizabeth Vale </w:t>
      </w:r>
      <w:r w:rsidR="006B6BDB" w:rsidRPr="0016276A">
        <w:t>as</w:t>
      </w:r>
      <w:r w:rsidR="00D23804" w:rsidRPr="0016276A">
        <w:t xml:space="preserve"> OTR</w:t>
      </w:r>
      <w:r w:rsidR="00487119" w:rsidRPr="0016276A">
        <w:t> </w:t>
      </w:r>
      <w:r w:rsidR="00D23804" w:rsidRPr="0016276A">
        <w:t xml:space="preserve">Hillbank. </w:t>
      </w:r>
    </w:p>
    <w:p w:rsidR="00CC68B6" w:rsidRPr="0016276A" w:rsidRDefault="00B94726" w:rsidP="00CC0B2E">
      <w:pPr>
        <w:pStyle w:val="NormalParagraph"/>
        <w:ind w:hanging="502"/>
      </w:pPr>
      <w:r w:rsidRPr="0016276A">
        <w:t xml:space="preserve">In light of this, and </w:t>
      </w:r>
      <w:r w:rsidR="003925C8" w:rsidRPr="0016276A">
        <w:t xml:space="preserve">noting </w:t>
      </w:r>
      <w:r w:rsidRPr="0016276A">
        <w:t xml:space="preserve">in particular the </w:t>
      </w:r>
      <w:r w:rsidR="00423C4F" w:rsidRPr="0016276A">
        <w:t xml:space="preserve">fact that the two sites facing each other across the road would continue to be owned by separate owners, </w:t>
      </w:r>
      <w:r w:rsidRPr="0016276A">
        <w:t xml:space="preserve">the ACCC </w:t>
      </w:r>
      <w:r w:rsidR="00423C4F" w:rsidRPr="0016276A">
        <w:lastRenderedPageBreak/>
        <w:t>concluded</w:t>
      </w:r>
      <w:r w:rsidRPr="0016276A">
        <w:t xml:space="preserve"> that </w:t>
      </w:r>
      <w:r w:rsidR="000259B8" w:rsidRPr="0016276A">
        <w:t>Caltex</w:t>
      </w:r>
      <w:r w:rsidRPr="0016276A">
        <w:t xml:space="preserve">’s acquisition of </w:t>
      </w:r>
      <w:r w:rsidR="000259B8" w:rsidRPr="0016276A">
        <w:t>BP Elizabeth Vale would not have the effect, or be likely to have the effect, of substantially lessening competition in the local market.</w:t>
      </w:r>
    </w:p>
    <w:p w:rsidR="00EB4614" w:rsidRPr="0016276A" w:rsidRDefault="00EB4614" w:rsidP="00F100C0">
      <w:pPr>
        <w:pStyle w:val="Heading5"/>
        <w:keepNext/>
      </w:pPr>
      <w:r w:rsidRPr="0016276A">
        <w:t>BP Mile End</w:t>
      </w:r>
    </w:p>
    <w:p w:rsidR="00F227CF" w:rsidRPr="0016276A" w:rsidRDefault="00CB6C2F" w:rsidP="00CB6C2F">
      <w:pPr>
        <w:pStyle w:val="Caption"/>
        <w:ind w:left="0"/>
      </w:pPr>
      <w:r w:rsidRPr="0016276A">
        <w:t xml:space="preserve">Figure </w:t>
      </w:r>
      <w:fldSimple w:instr=" SEQ Figure \* ARABIC ">
        <w:r w:rsidR="00F126FE">
          <w:rPr>
            <w:noProof/>
          </w:rPr>
          <w:t>3</w:t>
        </w:r>
      </w:fldSimple>
      <w:r w:rsidRPr="0016276A">
        <w:t>: Map of area surrounding BP Mile End</w:t>
      </w:r>
    </w:p>
    <w:p w:rsidR="00CB6C2F" w:rsidRPr="0016276A" w:rsidRDefault="00F126FE" w:rsidP="00CB6C2F">
      <w:pPr>
        <w:pStyle w:val="NormalParagraph"/>
        <w:numPr>
          <w:ilvl w:val="0"/>
          <w:numId w:val="0"/>
        </w:numPr>
      </w:pPr>
      <w:r>
        <w:pict>
          <v:shape id="_x0000_i1028" type="#_x0000_t75" style="width:387.1pt;height:562.9pt">
            <v:imagedata r:id="rId12" o:title="Map ME" croptop="3163f" cropbottom="4261f" cropleft="6527f" cropright="2592f"/>
          </v:shape>
        </w:pict>
      </w:r>
    </w:p>
    <w:p w:rsidR="00B07DCE" w:rsidRPr="0016276A" w:rsidRDefault="003925C8" w:rsidP="00CC0B2E">
      <w:pPr>
        <w:pStyle w:val="NormalParagraph"/>
        <w:ind w:hanging="502"/>
      </w:pPr>
      <w:r w:rsidRPr="0016276A">
        <w:lastRenderedPageBreak/>
        <w:t xml:space="preserve">The Target Site, </w:t>
      </w:r>
      <w:r w:rsidR="00B07DCE" w:rsidRPr="0016276A">
        <w:t>BP Mile End</w:t>
      </w:r>
      <w:r w:rsidRPr="0016276A">
        <w:t>,</w:t>
      </w:r>
      <w:r w:rsidR="00B07DCE" w:rsidRPr="0016276A">
        <w:t xml:space="preserve"> is located </w:t>
      </w:r>
      <w:r w:rsidR="00576D6C" w:rsidRPr="0016276A">
        <w:t xml:space="preserve">approximately </w:t>
      </w:r>
      <w:r w:rsidR="002D2DBC" w:rsidRPr="0016276A">
        <w:t>2km</w:t>
      </w:r>
      <w:r w:rsidR="00B07DCE" w:rsidRPr="0016276A">
        <w:t xml:space="preserve"> west of the CBD, in the suburb of Mile End. It </w:t>
      </w:r>
      <w:r w:rsidR="008A7319" w:rsidRPr="0016276A">
        <w:t>is situated</w:t>
      </w:r>
      <w:r w:rsidR="00B07DCE" w:rsidRPr="0016276A">
        <w:t xml:space="preserve"> at the intersection of two </w:t>
      </w:r>
      <w:r w:rsidR="008A7319" w:rsidRPr="0016276A">
        <w:t>arterial</w:t>
      </w:r>
      <w:r w:rsidR="00B07DCE" w:rsidRPr="0016276A">
        <w:t xml:space="preserve"> roads - Henley Beach Road (which runs east/west) and South Road (which runs north/south)</w:t>
      </w:r>
      <w:r w:rsidR="008A7319" w:rsidRPr="0016276A">
        <w:t>, each of which have multiple lanes in both directions</w:t>
      </w:r>
      <w:r w:rsidR="00B07DCE" w:rsidRPr="0016276A">
        <w:t>.</w:t>
      </w:r>
    </w:p>
    <w:p w:rsidR="002044E5" w:rsidRPr="0016276A" w:rsidRDefault="00ED5818" w:rsidP="00CC0B2E">
      <w:pPr>
        <w:pStyle w:val="NormalParagraph"/>
        <w:ind w:hanging="502"/>
      </w:pPr>
      <w:r w:rsidRPr="0016276A">
        <w:t>The ACCC’s market inquiries,</w:t>
      </w:r>
      <w:r w:rsidR="003C6CA6" w:rsidRPr="0016276A">
        <w:t xml:space="preserve"> analysis of traffic flows</w:t>
      </w:r>
      <w:r w:rsidRPr="0016276A">
        <w:t xml:space="preserve"> and other information available to the ACCC suggested that the closest substitutes for BP Mile End </w:t>
      </w:r>
      <w:r w:rsidR="004F0164" w:rsidRPr="0016276A">
        <w:t>we</w:t>
      </w:r>
      <w:r w:rsidRPr="0016276A">
        <w:t xml:space="preserve">re </w:t>
      </w:r>
      <w:r w:rsidR="002044E5" w:rsidRPr="0016276A">
        <w:t xml:space="preserve">likely to be other sites in the vicinity of the </w:t>
      </w:r>
      <w:r w:rsidR="001C7E51" w:rsidRPr="0016276A">
        <w:t>Target Site</w:t>
      </w:r>
      <w:r w:rsidR="002044E5" w:rsidRPr="0016276A">
        <w:t xml:space="preserve"> on either South Road or Henley Beach Road</w:t>
      </w:r>
      <w:r w:rsidRPr="0016276A">
        <w:t>, rather than sites on parallel roads or intersecting streets</w:t>
      </w:r>
      <w:r w:rsidR="002044E5" w:rsidRPr="0016276A">
        <w:t>.</w:t>
      </w:r>
    </w:p>
    <w:p w:rsidR="002044E5" w:rsidRPr="0016276A" w:rsidRDefault="00C968E4" w:rsidP="00CC0B2E">
      <w:pPr>
        <w:pStyle w:val="NormalParagraph"/>
        <w:ind w:hanging="502"/>
      </w:pPr>
      <w:r w:rsidRPr="0016276A">
        <w:t xml:space="preserve">If it </w:t>
      </w:r>
      <w:r w:rsidR="00486014" w:rsidRPr="0016276A">
        <w:t xml:space="preserve">had </w:t>
      </w:r>
      <w:r w:rsidRPr="0016276A">
        <w:t>acquired BP Mile End</w:t>
      </w:r>
      <w:r w:rsidR="002044E5" w:rsidRPr="0016276A">
        <w:t xml:space="preserve">, Peregrine would </w:t>
      </w:r>
      <w:r w:rsidR="00486014" w:rsidRPr="0016276A">
        <w:t xml:space="preserve">have </w:t>
      </w:r>
      <w:r w:rsidRPr="0016276A">
        <w:t>operate</w:t>
      </w:r>
      <w:r w:rsidR="00486014" w:rsidRPr="0016276A">
        <w:t>d</w:t>
      </w:r>
      <w:r w:rsidR="002044E5" w:rsidRPr="0016276A">
        <w:t xml:space="preserve">: </w:t>
      </w:r>
    </w:p>
    <w:p w:rsidR="002044E5" w:rsidRPr="0016276A" w:rsidRDefault="002044E5" w:rsidP="0068571F">
      <w:pPr>
        <w:pStyle w:val="ABCList"/>
        <w:numPr>
          <w:ilvl w:val="0"/>
          <w:numId w:val="11"/>
        </w:numPr>
      </w:pPr>
      <w:r w:rsidRPr="0016276A">
        <w:t xml:space="preserve">four of </w:t>
      </w:r>
      <w:r w:rsidR="00C968E4" w:rsidRPr="0016276A">
        <w:t xml:space="preserve">the </w:t>
      </w:r>
      <w:r w:rsidRPr="0016276A">
        <w:t xml:space="preserve">six sites in a span of approximately 5km along Henley Beach Road from the western edge of the CBD to Tapleys Hill Road (the other two being </w:t>
      </w:r>
      <w:r w:rsidR="003925C8" w:rsidRPr="0016276A">
        <w:t xml:space="preserve">operated by </w:t>
      </w:r>
      <w:r w:rsidRPr="0016276A">
        <w:t>Liberty and Mogas)</w:t>
      </w:r>
    </w:p>
    <w:p w:rsidR="002E7984" w:rsidRPr="0016276A" w:rsidRDefault="002044E5" w:rsidP="002E7984">
      <w:pPr>
        <w:pStyle w:val="ABCList"/>
      </w:pPr>
      <w:r w:rsidRPr="0016276A">
        <w:t xml:space="preserve">two of </w:t>
      </w:r>
      <w:r w:rsidR="00C968E4" w:rsidRPr="0016276A">
        <w:t xml:space="preserve">the </w:t>
      </w:r>
      <w:r w:rsidRPr="0016276A">
        <w:t>three sites on South Road in the 3.2km between Henley Beach Road and Anzac Hwy</w:t>
      </w:r>
      <w:r w:rsidR="00435651" w:rsidRPr="0016276A">
        <w:t>,</w:t>
      </w:r>
      <w:r w:rsidRPr="0016276A">
        <w:t xml:space="preserve"> the other being </w:t>
      </w:r>
      <w:r w:rsidR="003925C8" w:rsidRPr="0016276A">
        <w:t xml:space="preserve">operated by </w:t>
      </w:r>
      <w:r w:rsidRPr="0016276A">
        <w:t>Caltex</w:t>
      </w:r>
      <w:r w:rsidR="001971C7" w:rsidRPr="0016276A">
        <w:t>/</w:t>
      </w:r>
      <w:r w:rsidRPr="0016276A">
        <w:t>Woolworths.</w:t>
      </w:r>
      <w:r w:rsidR="00435651" w:rsidRPr="0016276A">
        <w:t xml:space="preserve"> This Caltex</w:t>
      </w:r>
      <w:r w:rsidR="001971C7" w:rsidRPr="0016276A">
        <w:t>/</w:t>
      </w:r>
      <w:r w:rsidR="00435651" w:rsidRPr="0016276A">
        <w:t xml:space="preserve">Woolworths site would be the only non-Peregrine site for more than 5km </w:t>
      </w:r>
      <w:r w:rsidR="00690B66" w:rsidRPr="0016276A">
        <w:t>from</w:t>
      </w:r>
      <w:r w:rsidR="00435651" w:rsidRPr="0016276A">
        <w:t xml:space="preserve"> BP Mile End in either direction along South Road.</w:t>
      </w:r>
    </w:p>
    <w:p w:rsidR="002E7984" w:rsidRPr="0016276A" w:rsidRDefault="002E7984" w:rsidP="00CC0B2E">
      <w:pPr>
        <w:pStyle w:val="NormalParagraph"/>
        <w:ind w:hanging="502"/>
      </w:pPr>
      <w:r w:rsidRPr="0016276A">
        <w:t xml:space="preserve">Further, the ACCC </w:t>
      </w:r>
      <w:r w:rsidR="003925C8" w:rsidRPr="0016276A">
        <w:t xml:space="preserve">considered </w:t>
      </w:r>
      <w:r w:rsidRPr="0016276A">
        <w:t xml:space="preserve">that the current closest substitutes to BP Mile End came from four pre-existing Peregrine sites located in the vicinity of the </w:t>
      </w:r>
      <w:r w:rsidR="001C7E51" w:rsidRPr="0016276A">
        <w:t>Target Site</w:t>
      </w:r>
      <w:r w:rsidRPr="0016276A">
        <w:t>.</w:t>
      </w:r>
    </w:p>
    <w:p w:rsidR="002E7984" w:rsidRPr="0016276A" w:rsidRDefault="00AC7B23" w:rsidP="00CC0B2E">
      <w:pPr>
        <w:pStyle w:val="NormalParagraph"/>
        <w:ind w:hanging="502"/>
      </w:pPr>
      <w:r w:rsidRPr="0016276A">
        <w:t xml:space="preserve">For these reasons, the ACCC considered that the acquisition of BP Mile End by Peregrine would (in the absence of the undertaking </w:t>
      </w:r>
      <w:r w:rsidR="003850DD" w:rsidRPr="0016276A">
        <w:t xml:space="preserve">given </w:t>
      </w:r>
      <w:r w:rsidRPr="0016276A">
        <w:t>by Peregrine) have the effect, or be likely to have the effect</w:t>
      </w:r>
      <w:r w:rsidR="003925C8" w:rsidRPr="0016276A">
        <w:t>,</w:t>
      </w:r>
      <w:r w:rsidRPr="0016276A">
        <w:t xml:space="preserve"> of substantially lessening competition </w:t>
      </w:r>
      <w:r w:rsidR="001C7E51" w:rsidRPr="0016276A">
        <w:t>in the local market surrounding the Target Site.</w:t>
      </w:r>
    </w:p>
    <w:p w:rsidR="00656326" w:rsidRPr="0016276A" w:rsidRDefault="00656326" w:rsidP="00CC0B2E">
      <w:pPr>
        <w:pStyle w:val="NormalParagraph"/>
        <w:ind w:hanging="502"/>
      </w:pPr>
      <w:r w:rsidRPr="0016276A">
        <w:t>Peregrine’s undertaking require</w:t>
      </w:r>
      <w:r w:rsidR="00A37B30" w:rsidRPr="0016276A">
        <w:t>d</w:t>
      </w:r>
      <w:r w:rsidRPr="0016276A">
        <w:t xml:space="preserve"> Peregrine to divest BP Mile End to Agostino. The ACCC considered that the acquisition of BP Mile End by Agostino would not raise competition concerns</w:t>
      </w:r>
      <w:r w:rsidR="004A30D9" w:rsidRPr="0016276A">
        <w:t xml:space="preserve"> as Agostino </w:t>
      </w:r>
      <w:r w:rsidR="003925C8" w:rsidRPr="0016276A">
        <w:t xml:space="preserve">did </w:t>
      </w:r>
      <w:r w:rsidR="00DD27C4" w:rsidRPr="0016276A">
        <w:t>not operate any sites</w:t>
      </w:r>
      <w:r w:rsidR="004A30D9" w:rsidRPr="0016276A">
        <w:t xml:space="preserve"> on Henley Beach Road, o</w:t>
      </w:r>
      <w:r w:rsidR="00D04F19" w:rsidRPr="0016276A">
        <w:t>r o</w:t>
      </w:r>
      <w:r w:rsidR="004A30D9" w:rsidRPr="0016276A">
        <w:t xml:space="preserve">n South Road, or in the </w:t>
      </w:r>
      <w:r w:rsidR="00DD27C4" w:rsidRPr="0016276A">
        <w:t xml:space="preserve">nearby </w:t>
      </w:r>
      <w:r w:rsidR="004A30D9" w:rsidRPr="0016276A">
        <w:t>area surrounding the Target Site</w:t>
      </w:r>
      <w:r w:rsidRPr="0016276A">
        <w:t>.</w:t>
      </w:r>
    </w:p>
    <w:p w:rsidR="00EB4614" w:rsidRPr="0016276A" w:rsidRDefault="00EB4614" w:rsidP="00CB6C2F">
      <w:pPr>
        <w:pStyle w:val="Heading5"/>
        <w:keepNext/>
      </w:pPr>
      <w:r w:rsidRPr="0016276A">
        <w:lastRenderedPageBreak/>
        <w:t>BP Mitchell Park</w:t>
      </w:r>
    </w:p>
    <w:p w:rsidR="00CB6C2F" w:rsidRPr="0016276A" w:rsidRDefault="00CB6C2F" w:rsidP="00CB6C2F">
      <w:pPr>
        <w:pStyle w:val="Caption"/>
        <w:ind w:left="0"/>
      </w:pPr>
      <w:r w:rsidRPr="0016276A">
        <w:t xml:space="preserve">Figure </w:t>
      </w:r>
      <w:fldSimple w:instr=" SEQ Figure \* ARABIC ">
        <w:r w:rsidR="00F126FE">
          <w:rPr>
            <w:noProof/>
          </w:rPr>
          <w:t>4</w:t>
        </w:r>
      </w:fldSimple>
      <w:r w:rsidRPr="0016276A">
        <w:t>: Map of area surrounding BP Mitchell Park</w:t>
      </w:r>
    </w:p>
    <w:p w:rsidR="00CB6C2F" w:rsidRPr="0016276A" w:rsidRDefault="00F126FE" w:rsidP="001A3C12">
      <w:pPr>
        <w:pStyle w:val="NormalParagraph"/>
        <w:numPr>
          <w:ilvl w:val="0"/>
          <w:numId w:val="0"/>
        </w:numPr>
      </w:pPr>
      <w:r>
        <w:pict>
          <v:shape id="_x0000_i1029" type="#_x0000_t75" style="width:417.05pt;height:633.95pt">
            <v:imagedata r:id="rId13" o:title="Map MP" croptop="3332f" cropbottom="4445f" cropleft="5992f" cropright="5623f"/>
          </v:shape>
        </w:pict>
      </w:r>
    </w:p>
    <w:p w:rsidR="00EB6D6A" w:rsidRPr="0016276A" w:rsidRDefault="003925C8" w:rsidP="00CC0B2E">
      <w:pPr>
        <w:pStyle w:val="NormalParagraph"/>
        <w:ind w:hanging="502"/>
      </w:pPr>
      <w:r w:rsidRPr="0016276A">
        <w:lastRenderedPageBreak/>
        <w:t xml:space="preserve">The Target Site, </w:t>
      </w:r>
      <w:r w:rsidR="003B000F" w:rsidRPr="0016276A">
        <w:t>BP Mitchell Park</w:t>
      </w:r>
      <w:r w:rsidRPr="0016276A">
        <w:t>,</w:t>
      </w:r>
      <w:r w:rsidR="003B000F" w:rsidRPr="0016276A">
        <w:t xml:space="preserve"> </w:t>
      </w:r>
      <w:r w:rsidR="00EB6D6A" w:rsidRPr="0016276A">
        <w:t>is located on the north-eastern corner of the intersection of Marion Road and Quick Road</w:t>
      </w:r>
      <w:r w:rsidR="003B000F" w:rsidRPr="0016276A">
        <w:t>, approximately 10km southwest of the CBD in the suburb of Mitchell Park</w:t>
      </w:r>
      <w:r w:rsidR="00EB6D6A" w:rsidRPr="0016276A">
        <w:t>.</w:t>
      </w:r>
      <w:r w:rsidR="003B000F" w:rsidRPr="0016276A">
        <w:t xml:space="preserve"> Marion Road is a major thoroughfare for commuters heading north/south, with </w:t>
      </w:r>
      <w:r w:rsidR="00EB6D6A" w:rsidRPr="0016276A">
        <w:t xml:space="preserve">two lanes of traffic in each direction </w:t>
      </w:r>
      <w:r w:rsidR="003C6CA6" w:rsidRPr="0016276A">
        <w:t xml:space="preserve">divided by </w:t>
      </w:r>
      <w:r w:rsidR="00EB6D6A" w:rsidRPr="0016276A">
        <w:t>a median strip</w:t>
      </w:r>
      <w:r w:rsidR="003B000F" w:rsidRPr="0016276A">
        <w:t>.</w:t>
      </w:r>
    </w:p>
    <w:p w:rsidR="008355D3" w:rsidRPr="0016276A" w:rsidRDefault="008355D3" w:rsidP="00CC0B2E">
      <w:pPr>
        <w:pStyle w:val="NormalParagraph"/>
        <w:ind w:hanging="502"/>
      </w:pPr>
      <w:r w:rsidRPr="0016276A">
        <w:t xml:space="preserve">Based on market inquiries and other information available to it, the ACCC formed the view that BP Mitchell Park was a close competitor to an existing Peregrine site </w:t>
      </w:r>
      <w:r w:rsidR="00802E34" w:rsidRPr="0016276A">
        <w:t>–</w:t>
      </w:r>
      <w:r w:rsidRPr="0016276A">
        <w:t xml:space="preserve"> O</w:t>
      </w:r>
      <w:r w:rsidR="00802E34" w:rsidRPr="0016276A">
        <w:t xml:space="preserve">TR </w:t>
      </w:r>
      <w:r w:rsidRPr="0016276A">
        <w:t>Marion. These sites are in close proximity to each other on opposite sides of Marion Road and react to each other’s competitive behaviour.</w:t>
      </w:r>
    </w:p>
    <w:p w:rsidR="00802E34" w:rsidRPr="0016276A" w:rsidRDefault="00802E34" w:rsidP="00CC0B2E">
      <w:pPr>
        <w:pStyle w:val="NormalParagraph"/>
        <w:ind w:hanging="502"/>
      </w:pPr>
      <w:r w:rsidRPr="0016276A">
        <w:t xml:space="preserve">Further, </w:t>
      </w:r>
      <w:r w:rsidR="000F6407" w:rsidRPr="0016276A">
        <w:t xml:space="preserve">traffic flow data and other </w:t>
      </w:r>
      <w:r w:rsidRPr="0016276A">
        <w:t xml:space="preserve">information provided to the ACCC during the course of its review suggested that </w:t>
      </w:r>
      <w:r w:rsidR="003925C8" w:rsidRPr="0016276A">
        <w:t xml:space="preserve">as </w:t>
      </w:r>
      <w:r w:rsidRPr="0016276A">
        <w:t xml:space="preserve">Marion Road </w:t>
      </w:r>
      <w:r w:rsidR="003925C8" w:rsidRPr="0016276A">
        <w:t xml:space="preserve">is </w:t>
      </w:r>
      <w:r w:rsidRPr="0016276A">
        <w:t xml:space="preserve">a major thoroughfare, the strongest competitors for sites on Marion Road were likely to be other sites on Marion Road, rather than sites on parallel or intersecting streets. </w:t>
      </w:r>
      <w:r w:rsidR="0087526D" w:rsidRPr="0016276A">
        <w:t xml:space="preserve">Peregrine </w:t>
      </w:r>
      <w:r w:rsidR="003925C8" w:rsidRPr="0016276A">
        <w:t xml:space="preserve">already operated </w:t>
      </w:r>
      <w:r w:rsidR="0087526D" w:rsidRPr="0016276A">
        <w:t>three</w:t>
      </w:r>
      <w:r w:rsidRPr="0016276A">
        <w:t xml:space="preserve"> of the five petrol stations </w:t>
      </w:r>
      <w:r w:rsidR="0087526D" w:rsidRPr="0016276A">
        <w:t xml:space="preserve">on Marion Road in </w:t>
      </w:r>
      <w:r w:rsidRPr="0016276A">
        <w:t xml:space="preserve">a </w:t>
      </w:r>
      <w:r w:rsidR="0087526D" w:rsidRPr="0016276A">
        <w:t>7km</w:t>
      </w:r>
      <w:r w:rsidRPr="0016276A">
        <w:t xml:space="preserve"> stretch</w:t>
      </w:r>
      <w:r w:rsidR="0087526D" w:rsidRPr="0016276A">
        <w:t xml:space="preserve"> between Anzac Hwy and the beginning of the Southern Expressway</w:t>
      </w:r>
      <w:r w:rsidRPr="0016276A">
        <w:t xml:space="preserve">. If it had acquired the </w:t>
      </w:r>
      <w:r w:rsidR="001C7E51" w:rsidRPr="0016276A">
        <w:t>Target Site</w:t>
      </w:r>
      <w:r w:rsidRPr="0016276A">
        <w:t xml:space="preserve"> (and in the absence of </w:t>
      </w:r>
      <w:r w:rsidR="003925C8" w:rsidRPr="0016276A">
        <w:t xml:space="preserve">the </w:t>
      </w:r>
      <w:r w:rsidRPr="0016276A">
        <w:t>undertaking</w:t>
      </w:r>
      <w:r w:rsidR="003925C8" w:rsidRPr="0016276A">
        <w:t xml:space="preserve"> given by Peregrine</w:t>
      </w:r>
      <w:r w:rsidRPr="0016276A">
        <w:t xml:space="preserve">) </w:t>
      </w:r>
      <w:r w:rsidR="0087526D" w:rsidRPr="0016276A">
        <w:t xml:space="preserve">this would </w:t>
      </w:r>
      <w:r w:rsidRPr="0016276A">
        <w:t xml:space="preserve">have </w:t>
      </w:r>
      <w:r w:rsidR="0087526D" w:rsidRPr="0016276A">
        <w:t>increase</w:t>
      </w:r>
      <w:r w:rsidRPr="0016276A">
        <w:t>d</w:t>
      </w:r>
      <w:r w:rsidR="0087526D" w:rsidRPr="0016276A">
        <w:t xml:space="preserve"> to four </w:t>
      </w:r>
      <w:r w:rsidRPr="0016276A">
        <w:t xml:space="preserve">out </w:t>
      </w:r>
      <w:r w:rsidR="0087526D" w:rsidRPr="0016276A">
        <w:t>of five</w:t>
      </w:r>
      <w:r w:rsidR="003925C8" w:rsidRPr="0016276A">
        <w:t xml:space="preserve"> sites</w:t>
      </w:r>
      <w:r w:rsidR="0087526D" w:rsidRPr="0016276A">
        <w:t>.</w:t>
      </w:r>
      <w:r w:rsidRPr="0016276A">
        <w:t xml:space="preserve"> </w:t>
      </w:r>
    </w:p>
    <w:p w:rsidR="0087526D" w:rsidRPr="0016276A" w:rsidRDefault="00802E34" w:rsidP="00CC0B2E">
      <w:pPr>
        <w:pStyle w:val="NormalParagraph"/>
        <w:ind w:hanging="502"/>
      </w:pPr>
      <w:r w:rsidRPr="0016276A">
        <w:t xml:space="preserve">For these reasons, the ACCC concluded that Peregrine’s acquisition of BP Mitchell Park would (in the absence of the undertaking </w:t>
      </w:r>
      <w:r w:rsidR="003850DD" w:rsidRPr="0016276A">
        <w:t xml:space="preserve">given </w:t>
      </w:r>
      <w:r w:rsidRPr="0016276A">
        <w:t xml:space="preserve">by Peregrine) </w:t>
      </w:r>
      <w:r w:rsidR="00C77706" w:rsidRPr="0016276A">
        <w:t>have</w:t>
      </w:r>
      <w:r w:rsidRPr="0016276A">
        <w:t xml:space="preserve"> the effect, or be likely to have the effect</w:t>
      </w:r>
      <w:r w:rsidR="003925C8" w:rsidRPr="0016276A">
        <w:t>,</w:t>
      </w:r>
      <w:r w:rsidRPr="0016276A">
        <w:t xml:space="preserve"> of substantially lessening competition in </w:t>
      </w:r>
      <w:r w:rsidR="00A7357A" w:rsidRPr="0016276A">
        <w:t xml:space="preserve">the local market surrounding the </w:t>
      </w:r>
      <w:r w:rsidR="001C7E51" w:rsidRPr="0016276A">
        <w:t>Target Site</w:t>
      </w:r>
      <w:r w:rsidR="00A7357A" w:rsidRPr="0016276A">
        <w:t>.</w:t>
      </w:r>
    </w:p>
    <w:p w:rsidR="0087526D" w:rsidRPr="0016276A" w:rsidRDefault="00987EDD" w:rsidP="00CC0B2E">
      <w:pPr>
        <w:pStyle w:val="NormalParagraph"/>
        <w:ind w:hanging="502"/>
      </w:pPr>
      <w:r w:rsidRPr="0016276A">
        <w:t>Peregrine’s undertaking require</w:t>
      </w:r>
      <w:r w:rsidR="000F6407" w:rsidRPr="0016276A">
        <w:t>d</w:t>
      </w:r>
      <w:r w:rsidRPr="0016276A">
        <w:t xml:space="preserve"> Peregrine to divest its nearby OTR South Plympton site to Caltex. OTR South Plympton is approximately 4km to the north of the </w:t>
      </w:r>
      <w:r w:rsidR="001C7E51" w:rsidRPr="0016276A">
        <w:t>Target Site</w:t>
      </w:r>
      <w:r w:rsidRPr="0016276A">
        <w:t>, on the same side of Marion Road, at the intersection with Cross Road.</w:t>
      </w:r>
    </w:p>
    <w:p w:rsidR="00B271A4" w:rsidRPr="0016276A" w:rsidRDefault="00B271A4" w:rsidP="00CC0B2E">
      <w:pPr>
        <w:pStyle w:val="NormalParagraph"/>
        <w:ind w:hanging="502"/>
      </w:pPr>
      <w:r w:rsidRPr="0016276A">
        <w:t>The ACCC considered that Peregrine’s undertaking addressed its competition concerns in this local market. When considered together, Peregrine’s acquisition of BP Mitchell Park and divestment of OTR South Plympton would:</w:t>
      </w:r>
    </w:p>
    <w:p w:rsidR="00B271A4" w:rsidRPr="0016276A" w:rsidRDefault="00B271A4" w:rsidP="0068571F">
      <w:pPr>
        <w:pStyle w:val="ABCList"/>
        <w:numPr>
          <w:ilvl w:val="0"/>
          <w:numId w:val="19"/>
        </w:numPr>
      </w:pPr>
      <w:r w:rsidRPr="0016276A">
        <w:t>not change the number of Peregrine owned sites on Marion Road;</w:t>
      </w:r>
      <w:r w:rsidR="00E16340" w:rsidRPr="0016276A">
        <w:t xml:space="preserve"> and</w:t>
      </w:r>
    </w:p>
    <w:p w:rsidR="00B271A4" w:rsidRPr="0016276A" w:rsidRDefault="00B271A4" w:rsidP="0068571F">
      <w:pPr>
        <w:pStyle w:val="ABCList"/>
        <w:numPr>
          <w:ilvl w:val="0"/>
          <w:numId w:val="18"/>
        </w:numPr>
      </w:pPr>
      <w:r w:rsidRPr="0016276A">
        <w:t xml:space="preserve">not change the number of operators on Marion Road, as </w:t>
      </w:r>
      <w:r w:rsidR="00176B17" w:rsidRPr="0016276A">
        <w:t xml:space="preserve">the loss of </w:t>
      </w:r>
      <w:r w:rsidRPr="0016276A">
        <w:t xml:space="preserve">BP would be </w:t>
      </w:r>
      <w:r w:rsidR="00176B17" w:rsidRPr="0016276A">
        <w:t xml:space="preserve">offset by the introduction of </w:t>
      </w:r>
      <w:r w:rsidRPr="0016276A">
        <w:t>Caltex</w:t>
      </w:r>
      <w:r w:rsidR="00176B17" w:rsidRPr="0016276A">
        <w:t xml:space="preserve"> (which did not previously </w:t>
      </w:r>
      <w:r w:rsidR="0042351D" w:rsidRPr="0016276A">
        <w:t xml:space="preserve">operate a site on </w:t>
      </w:r>
      <w:r w:rsidR="00176B17" w:rsidRPr="0016276A">
        <w:t>Marion Road).</w:t>
      </w:r>
    </w:p>
    <w:p w:rsidR="00B271A4" w:rsidRPr="0016276A" w:rsidRDefault="006F3706" w:rsidP="00CC0B2E">
      <w:pPr>
        <w:pStyle w:val="NormalParagraph"/>
        <w:ind w:hanging="502"/>
      </w:pPr>
      <w:r w:rsidRPr="0016276A">
        <w:t xml:space="preserve">Peregrine’s divestment of OTR South Plympton does not directly address the loss of competition that would come from Peregrine owning both the BP Mitchell Park site and its nearby existing site – OTR Marion. However, </w:t>
      </w:r>
      <w:r w:rsidR="003C6CA6" w:rsidRPr="0016276A">
        <w:t xml:space="preserve">this competition concern was alleviated somewhat by </w:t>
      </w:r>
      <w:r w:rsidRPr="0016276A">
        <w:t>the presence of Caltex/Woolworths Marion (which is situated between BP Mitchell Park and OTR Marion, on Mari</w:t>
      </w:r>
      <w:r w:rsidR="003C6CA6" w:rsidRPr="0016276A">
        <w:t>o</w:t>
      </w:r>
      <w:r w:rsidRPr="0016276A">
        <w:t>n Road)</w:t>
      </w:r>
      <w:r w:rsidR="003C6CA6" w:rsidRPr="0016276A">
        <w:t xml:space="preserve">. Accordingly, </w:t>
      </w:r>
      <w:r w:rsidR="00F83FE5" w:rsidRPr="0016276A">
        <w:t>the ACCC</w:t>
      </w:r>
      <w:r w:rsidRPr="0016276A">
        <w:t xml:space="preserve"> </w:t>
      </w:r>
      <w:r w:rsidR="00F83FE5" w:rsidRPr="0016276A">
        <w:t xml:space="preserve">did not consider that the acquisition of BP Mitchell Park </w:t>
      </w:r>
      <w:r w:rsidR="003C6CA6" w:rsidRPr="0016276A">
        <w:t xml:space="preserve">would </w:t>
      </w:r>
      <w:r w:rsidR="00F83FE5" w:rsidRPr="0016276A">
        <w:t>have the effect, or be likely to have the effect of substantially lessening competition in the relevant local market (when considered together with Peregrine’s undertaking to divest OTR South Plympton).</w:t>
      </w:r>
    </w:p>
    <w:p w:rsidR="00EB4614" w:rsidRPr="0016276A" w:rsidRDefault="005A0D2C" w:rsidP="00CC0B2E">
      <w:pPr>
        <w:pStyle w:val="NormalParagraph"/>
        <w:ind w:hanging="502"/>
      </w:pPr>
      <w:r w:rsidRPr="0016276A">
        <w:t>The ACCC considered that t</w:t>
      </w:r>
      <w:r w:rsidR="00C3633A" w:rsidRPr="0016276A">
        <w:t xml:space="preserve">he acquisition of On the Run South Plympton by Caltex would </w:t>
      </w:r>
      <w:r w:rsidRPr="0016276A">
        <w:t xml:space="preserve">not </w:t>
      </w:r>
      <w:r w:rsidR="00C3633A" w:rsidRPr="0016276A">
        <w:t xml:space="preserve">raise competition concerns. </w:t>
      </w:r>
      <w:r w:rsidR="00D82D36" w:rsidRPr="0016276A">
        <w:t xml:space="preserve">In particular, while it </w:t>
      </w:r>
      <w:r w:rsidR="00F45EDA" w:rsidRPr="0016276A">
        <w:t xml:space="preserve">operates </w:t>
      </w:r>
      <w:r w:rsidR="008B278A" w:rsidRPr="0016276A">
        <w:t>two</w:t>
      </w:r>
      <w:r w:rsidR="00D82D36" w:rsidRPr="0016276A">
        <w:t xml:space="preserve"> sites on the parallel South Road, </w:t>
      </w:r>
      <w:r w:rsidR="00C3633A" w:rsidRPr="0016276A">
        <w:t xml:space="preserve">Caltex </w:t>
      </w:r>
      <w:r w:rsidR="000F6407" w:rsidRPr="0016276A">
        <w:t xml:space="preserve">did not </w:t>
      </w:r>
      <w:r w:rsidR="00C3633A" w:rsidRPr="0016276A">
        <w:t>operate any site</w:t>
      </w:r>
      <w:r w:rsidRPr="0016276A">
        <w:t>s</w:t>
      </w:r>
      <w:r w:rsidR="00C3633A" w:rsidRPr="0016276A">
        <w:t xml:space="preserve"> on Marion Road</w:t>
      </w:r>
      <w:r w:rsidRPr="0016276A">
        <w:t xml:space="preserve">. </w:t>
      </w:r>
    </w:p>
    <w:p w:rsidR="00EB4614" w:rsidRPr="0016276A" w:rsidRDefault="00EB4614" w:rsidP="00D70F62">
      <w:pPr>
        <w:pStyle w:val="Heading5"/>
        <w:keepNext/>
        <w:keepLines/>
      </w:pPr>
      <w:r w:rsidRPr="0016276A">
        <w:lastRenderedPageBreak/>
        <w:t>BP Westbourne Park</w:t>
      </w:r>
    </w:p>
    <w:p w:rsidR="00CB6C2F" w:rsidRPr="0016276A" w:rsidRDefault="00CB6C2F" w:rsidP="00D70F62">
      <w:pPr>
        <w:pStyle w:val="Caption"/>
        <w:keepLines/>
        <w:ind w:left="0"/>
      </w:pPr>
      <w:r w:rsidRPr="0016276A">
        <w:t xml:space="preserve">Figure </w:t>
      </w:r>
      <w:fldSimple w:instr=" SEQ Figure \* ARABIC ">
        <w:r w:rsidR="00F126FE">
          <w:rPr>
            <w:noProof/>
          </w:rPr>
          <w:t>5</w:t>
        </w:r>
      </w:fldSimple>
      <w:r w:rsidRPr="0016276A">
        <w:t>: Map of area surrounding BP Westbourne Park</w:t>
      </w:r>
    </w:p>
    <w:p w:rsidR="00CB6C2F" w:rsidRPr="0016276A" w:rsidRDefault="00F126FE" w:rsidP="00CB6C2F">
      <w:pPr>
        <w:pStyle w:val="NormalParagraph"/>
        <w:numPr>
          <w:ilvl w:val="0"/>
          <w:numId w:val="0"/>
        </w:numPr>
      </w:pPr>
      <w:r>
        <w:pict>
          <v:shape id="_x0000_i1030" type="#_x0000_t75" style="width:446.05pt;height:631.15pt">
            <v:imagedata r:id="rId14" o:title="Map WP" croptop="2674f" cropbottom="4379f" cropleft="3128f" cropright="3808f"/>
          </v:shape>
        </w:pict>
      </w:r>
    </w:p>
    <w:p w:rsidR="00B7427B" w:rsidRPr="0016276A" w:rsidRDefault="00F45EDA" w:rsidP="00CC0B2E">
      <w:pPr>
        <w:pStyle w:val="NormalParagraph"/>
        <w:ind w:hanging="502"/>
      </w:pPr>
      <w:r w:rsidRPr="0016276A">
        <w:lastRenderedPageBreak/>
        <w:t xml:space="preserve">The Target Site, </w:t>
      </w:r>
      <w:r w:rsidR="00B7427B" w:rsidRPr="0016276A">
        <w:t>BP Westbourne Park</w:t>
      </w:r>
      <w:r w:rsidRPr="0016276A">
        <w:t>,</w:t>
      </w:r>
      <w:r w:rsidR="00B7427B" w:rsidRPr="0016276A">
        <w:t xml:space="preserve"> is located </w:t>
      </w:r>
      <w:r w:rsidR="00B46299" w:rsidRPr="0016276A">
        <w:t xml:space="preserve">at the intersection of Goodwood Road and Angas Road, </w:t>
      </w:r>
      <w:r w:rsidR="00DE7594" w:rsidRPr="0016276A">
        <w:t>approximately 5km south of Adelaide’s CBD.</w:t>
      </w:r>
      <w:r w:rsidR="00DA4B69" w:rsidRPr="0016276A">
        <w:t xml:space="preserve"> Goodwood Road is a main </w:t>
      </w:r>
      <w:r w:rsidR="00163EAE" w:rsidRPr="0016276A">
        <w:t xml:space="preserve">arterial </w:t>
      </w:r>
      <w:r w:rsidR="00DA4B69" w:rsidRPr="0016276A">
        <w:t xml:space="preserve">road </w:t>
      </w:r>
      <w:r w:rsidR="00163EAE" w:rsidRPr="0016276A">
        <w:t xml:space="preserve">for traffic </w:t>
      </w:r>
      <w:r w:rsidR="002A4583" w:rsidRPr="0016276A">
        <w:t>between</w:t>
      </w:r>
      <w:r w:rsidR="00163EAE" w:rsidRPr="0016276A">
        <w:t xml:space="preserve"> </w:t>
      </w:r>
      <w:r w:rsidR="00DA4B69" w:rsidRPr="0016276A">
        <w:t xml:space="preserve">Adelaide’s CBD and </w:t>
      </w:r>
      <w:r w:rsidR="002A4583" w:rsidRPr="0016276A">
        <w:t xml:space="preserve">its </w:t>
      </w:r>
      <w:r w:rsidR="00163EAE" w:rsidRPr="0016276A">
        <w:t>south</w:t>
      </w:r>
      <w:r w:rsidR="002A4583" w:rsidRPr="0016276A">
        <w:t>ern suburbs</w:t>
      </w:r>
      <w:r w:rsidR="00163EAE" w:rsidRPr="0016276A">
        <w:t xml:space="preserve">. It has </w:t>
      </w:r>
      <w:r w:rsidR="00DA4B69" w:rsidRPr="0016276A">
        <w:t>two lanes of traffic in each direction.</w:t>
      </w:r>
      <w:r w:rsidR="00D53FD2" w:rsidRPr="0016276A">
        <w:t xml:space="preserve"> Goodwood Road continues into Fiveash Drive </w:t>
      </w:r>
      <w:r w:rsidR="003C6CA6" w:rsidRPr="0016276A">
        <w:t>to the</w:t>
      </w:r>
      <w:r w:rsidR="00D53FD2" w:rsidRPr="0016276A">
        <w:t xml:space="preserve"> south, and </w:t>
      </w:r>
      <w:r w:rsidR="00E16340" w:rsidRPr="0016276A">
        <w:t xml:space="preserve">continues into </w:t>
      </w:r>
      <w:r w:rsidR="00D53FD2" w:rsidRPr="0016276A">
        <w:t xml:space="preserve">West Terrace </w:t>
      </w:r>
      <w:r w:rsidR="003C6CA6" w:rsidRPr="0016276A">
        <w:t>to the</w:t>
      </w:r>
      <w:r w:rsidR="00D53FD2" w:rsidRPr="0016276A">
        <w:t xml:space="preserve"> north.</w:t>
      </w:r>
    </w:p>
    <w:p w:rsidR="001D5C4B" w:rsidRPr="0016276A" w:rsidRDefault="00D702D6" w:rsidP="00CC0B2E">
      <w:pPr>
        <w:pStyle w:val="NormalParagraph"/>
        <w:ind w:hanging="502"/>
      </w:pPr>
      <w:r w:rsidRPr="0016276A">
        <w:t>Based on its market inquiries and other information available to it</w:t>
      </w:r>
      <w:r w:rsidR="00E16340" w:rsidRPr="0016276A">
        <w:t>,</w:t>
      </w:r>
      <w:r w:rsidRPr="0016276A">
        <w:t xml:space="preserve"> the ACCC understands that BP Westbourne Park is a close competitor to three existing Peregrine sites </w:t>
      </w:r>
      <w:r w:rsidR="00540083" w:rsidRPr="0016276A">
        <w:t xml:space="preserve">along Goodwood Road / Fiveash Drive - BP OTR Wayville, BP OTR Clarence Park and BP OTR Pasadena. </w:t>
      </w:r>
    </w:p>
    <w:p w:rsidR="00D702D6" w:rsidRPr="0016276A" w:rsidRDefault="001D5C4B" w:rsidP="00CC0B2E">
      <w:pPr>
        <w:pStyle w:val="NormalParagraph"/>
        <w:ind w:hanging="502"/>
      </w:pPr>
      <w:r w:rsidRPr="0016276A">
        <w:t xml:space="preserve">The ACCC further considered that competitor sites on parallel roads, or intersecting streets, </w:t>
      </w:r>
      <w:r w:rsidR="00B55894" w:rsidRPr="0016276A">
        <w:t>we</w:t>
      </w:r>
      <w:r w:rsidRPr="0016276A">
        <w:t xml:space="preserve">re unlikely to be close substitutes for BP Westbourne Park or other sites on Goodwood Road. In reaching this view, the ACCC had regard to traffic </w:t>
      </w:r>
      <w:r w:rsidR="003C6CA6" w:rsidRPr="0016276A">
        <w:t xml:space="preserve">flow </w:t>
      </w:r>
      <w:r w:rsidRPr="0016276A">
        <w:t xml:space="preserve">information provided to it during the course of its review which demonstrated that </w:t>
      </w:r>
      <w:r w:rsidR="003C6CA6" w:rsidRPr="0016276A">
        <w:t xml:space="preserve">traffic in this area primarily flows along the length of </w:t>
      </w:r>
      <w:r w:rsidRPr="0016276A">
        <w:t>Goodwood Road. Only a minority of Goodwood Road motorists also drive past petrol stations on perpendicular streets such as Cross Road.</w:t>
      </w:r>
    </w:p>
    <w:p w:rsidR="00F00286" w:rsidRPr="0016276A" w:rsidRDefault="000F6407" w:rsidP="00CC0B2E">
      <w:pPr>
        <w:pStyle w:val="NormalParagraph"/>
        <w:ind w:hanging="502"/>
      </w:pPr>
      <w:r w:rsidRPr="0016276A">
        <w:t xml:space="preserve">Had </w:t>
      </w:r>
      <w:r w:rsidR="00F00286" w:rsidRPr="0016276A">
        <w:t xml:space="preserve">Peregrine </w:t>
      </w:r>
      <w:r w:rsidRPr="0016276A">
        <w:t xml:space="preserve">acquired BP Westbourne Park, it </w:t>
      </w:r>
      <w:r w:rsidR="00F00286" w:rsidRPr="0016276A">
        <w:t xml:space="preserve">would have operated four sites in a row along Goodwood Road, and five out of six sites in approximately </w:t>
      </w:r>
      <w:r w:rsidR="006E43D0" w:rsidRPr="0016276A">
        <w:t xml:space="preserve">a </w:t>
      </w:r>
      <w:r w:rsidR="00F00286" w:rsidRPr="0016276A">
        <w:t xml:space="preserve">9km span between the West Terrace / Port Road intersection in the north of Adelaide’s CBD and the intersection of Fiveash Drive and Quinlan Avenue in the suburb of Pasadena. The only competitor to Peregrine on that section of road would be Coles Express West Terrace, in the CBD. </w:t>
      </w:r>
    </w:p>
    <w:p w:rsidR="00CF1A81" w:rsidRPr="0016276A" w:rsidRDefault="001D5C4B" w:rsidP="00CC0B2E">
      <w:pPr>
        <w:pStyle w:val="NormalParagraph"/>
        <w:ind w:hanging="502"/>
      </w:pPr>
      <w:r w:rsidRPr="0016276A">
        <w:t>In light of the above, the ACCC considered that by increasing the concentration of Peregrine</w:t>
      </w:r>
      <w:r w:rsidR="000F6407" w:rsidRPr="0016276A">
        <w:noBreakHyphen/>
      </w:r>
      <w:r w:rsidRPr="0016276A">
        <w:t xml:space="preserve">operated sites along Goodwood Road, and removing BP as a competitor on that road, Peregrine’s proposed acquisition of BP Westbourne Park </w:t>
      </w:r>
      <w:r w:rsidR="00CF1A81" w:rsidRPr="0016276A">
        <w:t xml:space="preserve">would (in the absence of the undertaking </w:t>
      </w:r>
      <w:r w:rsidR="003850DD" w:rsidRPr="0016276A">
        <w:t xml:space="preserve">given </w:t>
      </w:r>
      <w:r w:rsidR="00CF1A81" w:rsidRPr="0016276A">
        <w:t xml:space="preserve">by Peregrine) have the effect, or be likely to have the effect of substantially lessening competition in the local market surrounding the </w:t>
      </w:r>
      <w:r w:rsidR="001C7E51" w:rsidRPr="0016276A">
        <w:t>Target Site</w:t>
      </w:r>
      <w:r w:rsidR="00CF1A81" w:rsidRPr="0016276A">
        <w:t>.</w:t>
      </w:r>
    </w:p>
    <w:p w:rsidR="00540083" w:rsidRPr="0016276A" w:rsidRDefault="00B7427B" w:rsidP="00CC0B2E">
      <w:pPr>
        <w:pStyle w:val="NormalParagraph"/>
        <w:ind w:hanging="502"/>
      </w:pPr>
      <w:r w:rsidRPr="0016276A">
        <w:t>Peregrine’s undertaking require</w:t>
      </w:r>
      <w:r w:rsidR="00FA561A" w:rsidRPr="0016276A">
        <w:t>d</w:t>
      </w:r>
      <w:r w:rsidRPr="0016276A">
        <w:t xml:space="preserve"> Peregrine to divest BP Westbourne Park to Caltex. The ACCC considered that the acquisition of BP Westbourne Park by Caltex would not raise </w:t>
      </w:r>
      <w:r w:rsidR="00307B05" w:rsidRPr="0016276A">
        <w:t xml:space="preserve">any </w:t>
      </w:r>
      <w:r w:rsidRPr="0016276A">
        <w:t>significant competition concerns. While Caltex ha</w:t>
      </w:r>
      <w:r w:rsidR="000F6407" w:rsidRPr="0016276A">
        <w:t>d</w:t>
      </w:r>
      <w:r w:rsidRPr="0016276A">
        <w:t xml:space="preserve"> some sites on the parallel South Road, it </w:t>
      </w:r>
      <w:r w:rsidR="000F6407" w:rsidRPr="0016276A">
        <w:t xml:space="preserve">did not already </w:t>
      </w:r>
      <w:r w:rsidRPr="0016276A">
        <w:t xml:space="preserve">operate any sites on </w:t>
      </w:r>
      <w:r w:rsidR="003C6CA6" w:rsidRPr="0016276A">
        <w:t xml:space="preserve">Goodwood </w:t>
      </w:r>
      <w:r w:rsidRPr="0016276A">
        <w:t>Road.</w:t>
      </w:r>
    </w:p>
    <w:p w:rsidR="00A33D0B" w:rsidRPr="0016276A" w:rsidRDefault="00A33D0B" w:rsidP="005279EC">
      <w:pPr>
        <w:pStyle w:val="Heading5"/>
        <w:keepNext/>
      </w:pPr>
      <w:r w:rsidRPr="0016276A">
        <w:t>Other local markets</w:t>
      </w:r>
    </w:p>
    <w:p w:rsidR="002F32CE" w:rsidRPr="0016276A" w:rsidRDefault="00B852D9" w:rsidP="00CC0B2E">
      <w:pPr>
        <w:pStyle w:val="NormalParagraph"/>
        <w:ind w:hanging="502"/>
      </w:pPr>
      <w:r w:rsidRPr="0016276A">
        <w:t>The ACCC also considered the likely competitive impact of Peregrine acquiring each of the other BP sites that were part of the Acquisition</w:t>
      </w:r>
      <w:r w:rsidR="007F1B1B" w:rsidRPr="0016276A">
        <w:t xml:space="preserve"> (including the sites in regional South Australia)</w:t>
      </w:r>
      <w:r w:rsidRPr="0016276A">
        <w:t xml:space="preserve">. In respect of each of these acquisitions </w:t>
      </w:r>
      <w:r w:rsidR="003C6CA6" w:rsidRPr="0016276A">
        <w:t xml:space="preserve">the </w:t>
      </w:r>
      <w:r w:rsidRPr="0016276A">
        <w:t>ACCC formed the view that there would remain sufficient competition in the local market</w:t>
      </w:r>
      <w:r w:rsidR="00307B05" w:rsidRPr="0016276A">
        <w:t>s</w:t>
      </w:r>
      <w:r w:rsidRPr="0016276A">
        <w:t xml:space="preserve"> to constrain Peregrine’s behaviour following the Acquisition.</w:t>
      </w:r>
    </w:p>
    <w:p w:rsidR="00B75AE0" w:rsidRPr="0016276A" w:rsidRDefault="00B75AE0" w:rsidP="008C300C">
      <w:pPr>
        <w:pStyle w:val="Heading4"/>
        <w:keepLines/>
      </w:pPr>
      <w:r w:rsidRPr="0016276A">
        <w:t xml:space="preserve">Impact of the Acquisition on </w:t>
      </w:r>
      <w:r w:rsidR="00E51471" w:rsidRPr="0016276A">
        <w:t xml:space="preserve">the </w:t>
      </w:r>
      <w:r w:rsidRPr="0016276A">
        <w:t>Adelaide market</w:t>
      </w:r>
    </w:p>
    <w:p w:rsidR="008C300C" w:rsidRPr="0016276A" w:rsidRDefault="008C300C" w:rsidP="00CC0B2E">
      <w:pPr>
        <w:pStyle w:val="NormalParagraph"/>
        <w:ind w:hanging="502"/>
      </w:pPr>
      <w:r w:rsidRPr="0016276A">
        <w:t xml:space="preserve">As mentioned above at </w:t>
      </w:r>
      <w:r w:rsidR="00C1039B" w:rsidRPr="0016276A">
        <w:t xml:space="preserve">paragraph </w:t>
      </w:r>
      <w:r w:rsidR="00D05C4A" w:rsidRPr="0016276A">
        <w:fldChar w:fldCharType="begin"/>
      </w:r>
      <w:r w:rsidR="00D05C4A" w:rsidRPr="0016276A">
        <w:instrText xml:space="preserve"> REF _Ref380585851 \r \h </w:instrText>
      </w:r>
      <w:r w:rsidR="0016276A">
        <w:instrText xml:space="preserve"> \* MERGEFORMAT </w:instrText>
      </w:r>
      <w:r w:rsidR="00D05C4A" w:rsidRPr="0016276A">
        <w:fldChar w:fldCharType="separate"/>
      </w:r>
      <w:r w:rsidR="00F126FE">
        <w:t>101</w:t>
      </w:r>
      <w:r w:rsidR="00D05C4A" w:rsidRPr="0016276A">
        <w:fldChar w:fldCharType="end"/>
      </w:r>
      <w:r w:rsidRPr="0016276A">
        <w:t>, the Acquisition would change the total competitive constraint being imposed on Peregrine in Adelaide in two ways:</w:t>
      </w:r>
    </w:p>
    <w:p w:rsidR="008C300C" w:rsidRPr="0016276A" w:rsidRDefault="00F45EDA" w:rsidP="0068571F">
      <w:pPr>
        <w:pStyle w:val="ABCList"/>
        <w:keepNext/>
        <w:keepLines/>
        <w:numPr>
          <w:ilvl w:val="0"/>
          <w:numId w:val="24"/>
        </w:numPr>
      </w:pPr>
      <w:r w:rsidRPr="0016276A">
        <w:t>i</w:t>
      </w:r>
      <w:r w:rsidR="008C300C" w:rsidRPr="0016276A">
        <w:t xml:space="preserve">t would remove a </w:t>
      </w:r>
      <w:r w:rsidR="002F39B2" w:rsidRPr="0016276A">
        <w:t xml:space="preserve">competitor </w:t>
      </w:r>
      <w:r w:rsidR="008C300C" w:rsidRPr="0016276A">
        <w:t>– company owned and operated BP sites – in its entirety</w:t>
      </w:r>
      <w:r w:rsidR="001069FB" w:rsidRPr="0016276A">
        <w:t>.</w:t>
      </w:r>
    </w:p>
    <w:p w:rsidR="008C300C" w:rsidRPr="0016276A" w:rsidRDefault="00F45EDA" w:rsidP="008C300C">
      <w:pPr>
        <w:pStyle w:val="ABCList"/>
      </w:pPr>
      <w:r w:rsidRPr="0016276A">
        <w:t>i</w:t>
      </w:r>
      <w:r w:rsidR="008C300C" w:rsidRPr="0016276A">
        <w:t>t would increase the number of sites under Peregrine’s control.</w:t>
      </w:r>
    </w:p>
    <w:p w:rsidR="005E00E5" w:rsidRPr="0016276A" w:rsidRDefault="00441B56" w:rsidP="00CC0B2E">
      <w:pPr>
        <w:pStyle w:val="NormalParagraph"/>
        <w:ind w:hanging="502"/>
      </w:pPr>
      <w:r w:rsidRPr="0016276A">
        <w:lastRenderedPageBreak/>
        <w:fldChar w:fldCharType="begin"/>
      </w:r>
      <w:r w:rsidRPr="0016276A">
        <w:instrText xml:space="preserve"> REF _Ref377660613 \h  \* MERGEFORMAT </w:instrText>
      </w:r>
      <w:r w:rsidRPr="0016276A">
        <w:fldChar w:fldCharType="separate"/>
      </w:r>
      <w:r w:rsidR="00F126FE" w:rsidRPr="0016276A">
        <w:t xml:space="preserve">Table </w:t>
      </w:r>
      <w:r w:rsidR="00F126FE">
        <w:rPr>
          <w:noProof/>
        </w:rPr>
        <w:t>1</w:t>
      </w:r>
      <w:r w:rsidRPr="0016276A">
        <w:fldChar w:fldCharType="end"/>
      </w:r>
      <w:r w:rsidR="005E00E5" w:rsidRPr="0016276A">
        <w:t xml:space="preserve"> below summarises the impact of the Acquisition on the structure of the Adelaide market.</w:t>
      </w:r>
    </w:p>
    <w:p w:rsidR="00DD4A0D" w:rsidRPr="0016276A" w:rsidRDefault="00DD4A0D" w:rsidP="003C2B2B">
      <w:pPr>
        <w:pStyle w:val="Caption"/>
      </w:pPr>
      <w:bookmarkStart w:id="34" w:name="_Ref377660613"/>
      <w:r w:rsidRPr="0016276A">
        <w:t xml:space="preserve">Table </w:t>
      </w:r>
      <w:fldSimple w:instr=" SEQ Table \* ARABIC ">
        <w:r w:rsidR="00F126FE">
          <w:rPr>
            <w:noProof/>
          </w:rPr>
          <w:t>1</w:t>
        </w:r>
      </w:fldSimple>
      <w:bookmarkEnd w:id="34"/>
      <w:r w:rsidRPr="0016276A">
        <w:t xml:space="preserve"> – Adelaide market shares</w:t>
      </w:r>
      <w:r w:rsidR="00DA2C70" w:rsidRPr="0016276A">
        <w:t xml:space="preserve"> (by site numbers)</w:t>
      </w:r>
      <w:r w:rsidR="00C45F93" w:rsidRPr="0016276A">
        <w:rPr>
          <w:rStyle w:val="FootnoteReference"/>
        </w:rPr>
        <w:footnoteReference w:id="9"/>
      </w:r>
    </w:p>
    <w:tbl>
      <w:tblPr>
        <w:tblW w:w="79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43"/>
        <w:gridCol w:w="1520"/>
        <w:gridCol w:w="1599"/>
        <w:gridCol w:w="1441"/>
        <w:gridCol w:w="1521"/>
      </w:tblGrid>
      <w:tr w:rsidR="00E16340" w:rsidRPr="0016276A" w:rsidTr="00690B66">
        <w:trPr>
          <w:trHeight w:val="304"/>
        </w:trPr>
        <w:tc>
          <w:tcPr>
            <w:tcW w:w="1843" w:type="dxa"/>
            <w:shd w:val="clear" w:color="auto" w:fill="D9D9D9"/>
            <w:noWrap/>
            <w:tcMar>
              <w:top w:w="0" w:type="dxa"/>
              <w:left w:w="108" w:type="dxa"/>
              <w:bottom w:w="0" w:type="dxa"/>
              <w:right w:w="108" w:type="dxa"/>
            </w:tcMar>
            <w:vAlign w:val="center"/>
          </w:tcPr>
          <w:p w:rsidR="00E16340" w:rsidRPr="0016276A" w:rsidRDefault="00E16340" w:rsidP="00E16340">
            <w:pPr>
              <w:keepNext/>
              <w:keepLines/>
              <w:spacing w:beforeLines="60" w:before="144" w:afterLines="60" w:after="144"/>
              <w:ind w:left="730" w:hanging="730"/>
              <w:rPr>
                <w:rFonts w:ascii="Arial" w:hAnsi="Arial" w:cs="Arial"/>
                <w:b/>
                <w:bCs/>
                <w:color w:val="000000"/>
                <w:sz w:val="22"/>
                <w:szCs w:val="22"/>
              </w:rPr>
            </w:pPr>
          </w:p>
        </w:tc>
        <w:tc>
          <w:tcPr>
            <w:tcW w:w="3119" w:type="dxa"/>
            <w:gridSpan w:val="2"/>
            <w:shd w:val="clear" w:color="auto" w:fill="D9D9D9"/>
            <w:vAlign w:val="center"/>
          </w:tcPr>
          <w:p w:rsidR="00E16340" w:rsidRPr="0016276A" w:rsidRDefault="00DA2C70" w:rsidP="00E16340">
            <w:pPr>
              <w:keepNext/>
              <w:keepLines/>
              <w:spacing w:beforeLines="60" w:before="144" w:afterLines="60" w:after="144"/>
              <w:jc w:val="center"/>
              <w:rPr>
                <w:rFonts w:ascii="Arial" w:hAnsi="Arial" w:cs="Arial"/>
                <w:b/>
                <w:bCs/>
                <w:color w:val="000000"/>
                <w:sz w:val="22"/>
                <w:szCs w:val="22"/>
              </w:rPr>
            </w:pPr>
            <w:r w:rsidRPr="0016276A">
              <w:rPr>
                <w:rFonts w:ascii="Arial" w:hAnsi="Arial" w:cs="Arial"/>
                <w:b/>
                <w:bCs/>
                <w:color w:val="000000"/>
                <w:sz w:val="22"/>
                <w:szCs w:val="22"/>
              </w:rPr>
              <w:t xml:space="preserve">Without </w:t>
            </w:r>
            <w:r w:rsidR="00E16340" w:rsidRPr="0016276A">
              <w:rPr>
                <w:rFonts w:ascii="Arial" w:hAnsi="Arial" w:cs="Arial"/>
                <w:b/>
                <w:bCs/>
                <w:color w:val="000000"/>
                <w:sz w:val="22"/>
                <w:szCs w:val="22"/>
              </w:rPr>
              <w:t>the Acquisition</w:t>
            </w:r>
          </w:p>
        </w:tc>
        <w:tc>
          <w:tcPr>
            <w:tcW w:w="2962" w:type="dxa"/>
            <w:gridSpan w:val="2"/>
            <w:shd w:val="clear" w:color="auto" w:fill="D9D9D9"/>
            <w:vAlign w:val="center"/>
          </w:tcPr>
          <w:p w:rsidR="00E16340" w:rsidRPr="0016276A" w:rsidRDefault="00DA2C70" w:rsidP="00E16340">
            <w:pPr>
              <w:keepNext/>
              <w:keepLines/>
              <w:spacing w:beforeLines="60" w:before="144" w:afterLines="60" w:after="144"/>
              <w:jc w:val="center"/>
              <w:rPr>
                <w:rFonts w:ascii="Arial" w:hAnsi="Arial" w:cs="Arial"/>
                <w:b/>
                <w:bCs/>
                <w:color w:val="000000"/>
                <w:sz w:val="22"/>
                <w:szCs w:val="22"/>
              </w:rPr>
            </w:pPr>
            <w:r w:rsidRPr="0016276A">
              <w:rPr>
                <w:rFonts w:ascii="Arial" w:hAnsi="Arial" w:cs="Arial"/>
                <w:b/>
                <w:bCs/>
                <w:color w:val="000000"/>
                <w:sz w:val="22"/>
                <w:szCs w:val="22"/>
              </w:rPr>
              <w:t xml:space="preserve">With </w:t>
            </w:r>
            <w:r w:rsidR="00E16340" w:rsidRPr="0016276A">
              <w:rPr>
                <w:rFonts w:ascii="Arial" w:hAnsi="Arial" w:cs="Arial"/>
                <w:b/>
                <w:bCs/>
                <w:color w:val="000000"/>
                <w:sz w:val="22"/>
                <w:szCs w:val="22"/>
              </w:rPr>
              <w:t>the Acquisition</w:t>
            </w:r>
            <w:r w:rsidR="003C2B2B" w:rsidRPr="0016276A">
              <w:rPr>
                <w:rStyle w:val="FootnoteReference"/>
                <w:rFonts w:ascii="Arial" w:hAnsi="Arial" w:cs="Arial"/>
                <w:b/>
                <w:bCs/>
                <w:color w:val="000000"/>
                <w:sz w:val="22"/>
                <w:szCs w:val="22"/>
              </w:rPr>
              <w:footnoteReference w:id="10"/>
            </w:r>
          </w:p>
        </w:tc>
      </w:tr>
      <w:tr w:rsidR="00E16340" w:rsidRPr="0016276A" w:rsidTr="00690B66">
        <w:trPr>
          <w:trHeight w:val="468"/>
        </w:trPr>
        <w:tc>
          <w:tcPr>
            <w:tcW w:w="1843" w:type="dxa"/>
            <w:shd w:val="clear" w:color="auto" w:fill="D9D9D9"/>
            <w:noWrap/>
            <w:tcMar>
              <w:top w:w="0" w:type="dxa"/>
              <w:left w:w="108" w:type="dxa"/>
              <w:bottom w:w="0" w:type="dxa"/>
              <w:right w:w="108" w:type="dxa"/>
            </w:tcMar>
            <w:vAlign w:val="center"/>
            <w:hideMark/>
          </w:tcPr>
          <w:p w:rsidR="00E16340" w:rsidRPr="0016276A" w:rsidRDefault="00E16340" w:rsidP="00E16340">
            <w:pPr>
              <w:keepNext/>
              <w:keepLines/>
              <w:spacing w:beforeLines="60" w:before="144" w:afterLines="60" w:after="144"/>
              <w:ind w:left="730" w:hanging="730"/>
              <w:rPr>
                <w:rFonts w:ascii="Arial" w:hAnsi="Arial" w:cs="Arial"/>
                <w:b/>
                <w:bCs/>
                <w:color w:val="000000"/>
                <w:sz w:val="22"/>
                <w:szCs w:val="22"/>
              </w:rPr>
            </w:pPr>
            <w:r w:rsidRPr="0016276A">
              <w:rPr>
                <w:rFonts w:ascii="Arial" w:hAnsi="Arial" w:cs="Arial"/>
                <w:b/>
                <w:bCs/>
                <w:color w:val="000000"/>
                <w:sz w:val="22"/>
                <w:szCs w:val="22"/>
              </w:rPr>
              <w:t>Retailer</w:t>
            </w:r>
          </w:p>
        </w:tc>
        <w:tc>
          <w:tcPr>
            <w:tcW w:w="1520" w:type="dxa"/>
            <w:shd w:val="clear" w:color="auto" w:fill="D9D9D9"/>
            <w:noWrap/>
            <w:tcMar>
              <w:top w:w="0" w:type="dxa"/>
              <w:left w:w="108" w:type="dxa"/>
              <w:bottom w:w="0" w:type="dxa"/>
              <w:right w:w="108" w:type="dxa"/>
            </w:tcMar>
            <w:vAlign w:val="center"/>
            <w:hideMark/>
          </w:tcPr>
          <w:p w:rsidR="00E16340" w:rsidRPr="0016276A" w:rsidRDefault="00DA2C70" w:rsidP="00DA2C70">
            <w:pPr>
              <w:keepNext/>
              <w:keepLines/>
              <w:spacing w:beforeLines="60" w:before="144" w:afterLines="60" w:after="144"/>
              <w:jc w:val="center"/>
              <w:rPr>
                <w:rFonts w:ascii="Arial" w:hAnsi="Arial" w:cs="Arial"/>
                <w:b/>
                <w:bCs/>
                <w:color w:val="000000"/>
                <w:sz w:val="22"/>
                <w:szCs w:val="22"/>
              </w:rPr>
            </w:pPr>
            <w:r w:rsidRPr="0016276A">
              <w:rPr>
                <w:rFonts w:ascii="Arial" w:hAnsi="Arial" w:cs="Arial"/>
                <w:b/>
                <w:bCs/>
                <w:color w:val="000000"/>
                <w:sz w:val="22"/>
                <w:szCs w:val="22"/>
              </w:rPr>
              <w:t>S</w:t>
            </w:r>
            <w:r w:rsidR="00E16340" w:rsidRPr="0016276A">
              <w:rPr>
                <w:rFonts w:ascii="Arial" w:hAnsi="Arial" w:cs="Arial"/>
                <w:b/>
                <w:bCs/>
                <w:color w:val="000000"/>
                <w:sz w:val="22"/>
                <w:szCs w:val="22"/>
              </w:rPr>
              <w:t>ites</w:t>
            </w:r>
          </w:p>
        </w:tc>
        <w:tc>
          <w:tcPr>
            <w:tcW w:w="1599" w:type="dxa"/>
            <w:shd w:val="clear" w:color="auto" w:fill="D9D9D9"/>
            <w:noWrap/>
            <w:tcMar>
              <w:top w:w="0" w:type="dxa"/>
              <w:left w:w="108" w:type="dxa"/>
              <w:bottom w:w="0" w:type="dxa"/>
              <w:right w:w="108" w:type="dxa"/>
            </w:tcMar>
            <w:vAlign w:val="center"/>
            <w:hideMark/>
          </w:tcPr>
          <w:p w:rsidR="00E16340" w:rsidRPr="0016276A" w:rsidRDefault="00E16340" w:rsidP="00690B66">
            <w:pPr>
              <w:keepNext/>
              <w:keepLines/>
              <w:spacing w:beforeLines="60" w:before="144" w:afterLines="60" w:after="144"/>
              <w:jc w:val="center"/>
              <w:rPr>
                <w:rFonts w:ascii="Arial" w:hAnsi="Arial" w:cs="Arial"/>
                <w:b/>
                <w:bCs/>
                <w:color w:val="000000"/>
                <w:sz w:val="22"/>
                <w:szCs w:val="22"/>
              </w:rPr>
            </w:pPr>
            <w:r w:rsidRPr="0016276A">
              <w:rPr>
                <w:rFonts w:ascii="Arial" w:hAnsi="Arial" w:cs="Arial"/>
                <w:b/>
                <w:bCs/>
                <w:color w:val="000000"/>
                <w:sz w:val="22"/>
                <w:szCs w:val="22"/>
              </w:rPr>
              <w:t>Market share</w:t>
            </w:r>
          </w:p>
        </w:tc>
        <w:tc>
          <w:tcPr>
            <w:tcW w:w="1441" w:type="dxa"/>
            <w:shd w:val="clear" w:color="auto" w:fill="D9D9D9"/>
            <w:vAlign w:val="center"/>
          </w:tcPr>
          <w:p w:rsidR="00E16340" w:rsidRPr="0016276A" w:rsidRDefault="00DA2C70" w:rsidP="00DA2C70">
            <w:pPr>
              <w:keepNext/>
              <w:keepLines/>
              <w:spacing w:beforeLines="60" w:before="144" w:afterLines="60" w:after="144"/>
              <w:jc w:val="center"/>
              <w:rPr>
                <w:rFonts w:ascii="Arial" w:hAnsi="Arial" w:cs="Arial"/>
                <w:b/>
                <w:bCs/>
                <w:color w:val="000000"/>
                <w:sz w:val="22"/>
                <w:szCs w:val="22"/>
              </w:rPr>
            </w:pPr>
            <w:r w:rsidRPr="0016276A">
              <w:rPr>
                <w:rFonts w:ascii="Arial" w:hAnsi="Arial" w:cs="Arial"/>
                <w:b/>
                <w:bCs/>
                <w:color w:val="000000"/>
                <w:sz w:val="22"/>
                <w:szCs w:val="22"/>
              </w:rPr>
              <w:t>S</w:t>
            </w:r>
            <w:r w:rsidR="00E16340" w:rsidRPr="0016276A">
              <w:rPr>
                <w:rFonts w:ascii="Arial" w:hAnsi="Arial" w:cs="Arial"/>
                <w:b/>
                <w:bCs/>
                <w:color w:val="000000"/>
                <w:sz w:val="22"/>
                <w:szCs w:val="22"/>
              </w:rPr>
              <w:t>ites</w:t>
            </w:r>
          </w:p>
        </w:tc>
        <w:tc>
          <w:tcPr>
            <w:tcW w:w="1521" w:type="dxa"/>
            <w:shd w:val="clear" w:color="auto" w:fill="D9D9D9"/>
            <w:vAlign w:val="center"/>
          </w:tcPr>
          <w:p w:rsidR="00E16340" w:rsidRPr="0016276A" w:rsidRDefault="00E16340" w:rsidP="00E91E22">
            <w:pPr>
              <w:keepNext/>
              <w:keepLines/>
              <w:spacing w:beforeLines="60" w:before="144" w:afterLines="60" w:after="144"/>
              <w:jc w:val="center"/>
              <w:rPr>
                <w:rFonts w:ascii="Arial" w:hAnsi="Arial" w:cs="Arial"/>
                <w:b/>
                <w:bCs/>
                <w:color w:val="000000"/>
                <w:sz w:val="22"/>
                <w:szCs w:val="22"/>
              </w:rPr>
            </w:pPr>
            <w:r w:rsidRPr="0016276A">
              <w:rPr>
                <w:rFonts w:ascii="Arial" w:hAnsi="Arial" w:cs="Arial"/>
                <w:b/>
                <w:bCs/>
                <w:color w:val="000000"/>
                <w:sz w:val="22"/>
                <w:szCs w:val="22"/>
              </w:rPr>
              <w:t>Market share</w:t>
            </w:r>
          </w:p>
        </w:tc>
      </w:tr>
      <w:tr w:rsidR="0064117C" w:rsidRPr="0016276A" w:rsidTr="00690B66">
        <w:trPr>
          <w:trHeight w:val="304"/>
        </w:trPr>
        <w:tc>
          <w:tcPr>
            <w:tcW w:w="1843" w:type="dxa"/>
            <w:shd w:val="clear" w:color="auto" w:fill="F2F2F2"/>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Peregrine</w:t>
            </w:r>
          </w:p>
        </w:tc>
        <w:tc>
          <w:tcPr>
            <w:tcW w:w="1520" w:type="dxa"/>
            <w:shd w:val="clear" w:color="auto" w:fill="F2F2F2"/>
            <w:noWrap/>
            <w:tcMar>
              <w:top w:w="0" w:type="dxa"/>
              <w:left w:w="108" w:type="dxa"/>
              <w:bottom w:w="0" w:type="dxa"/>
              <w:right w:w="108" w:type="dxa"/>
            </w:tcMar>
            <w:vAlign w:val="center"/>
            <w:hideMark/>
          </w:tcPr>
          <w:p w:rsidR="0064117C" w:rsidRPr="0016276A" w:rsidRDefault="00340FB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78</w:t>
            </w:r>
          </w:p>
        </w:tc>
        <w:tc>
          <w:tcPr>
            <w:tcW w:w="1599" w:type="dxa"/>
            <w:shd w:val="clear" w:color="auto" w:fill="F2F2F2"/>
            <w:noWrap/>
            <w:tcMar>
              <w:top w:w="0" w:type="dxa"/>
              <w:left w:w="108" w:type="dxa"/>
              <w:bottom w:w="0" w:type="dxa"/>
              <w:right w:w="108" w:type="dxa"/>
            </w:tcMar>
            <w:vAlign w:val="center"/>
          </w:tcPr>
          <w:p w:rsidR="0064117C" w:rsidRPr="0016276A" w:rsidRDefault="0064117C" w:rsidP="00690B66">
            <w:pPr>
              <w:keepNext/>
              <w:keepLines/>
              <w:spacing w:beforeLines="60" w:before="144" w:afterLines="60" w:after="144"/>
              <w:jc w:val="center"/>
              <w:rPr>
                <w:rFonts w:ascii="Arial" w:hAnsi="Arial" w:cs="Arial"/>
                <w:b/>
                <w:color w:val="000000"/>
                <w:sz w:val="22"/>
                <w:szCs w:val="22"/>
              </w:rPr>
            </w:pPr>
            <w:r w:rsidRPr="0016276A">
              <w:rPr>
                <w:rFonts w:ascii="Arial" w:hAnsi="Arial" w:cs="Arial"/>
                <w:color w:val="000000"/>
                <w:sz w:val="22"/>
                <w:szCs w:val="22"/>
              </w:rPr>
              <w:t>3</w:t>
            </w:r>
            <w:r w:rsidR="00690B66" w:rsidRPr="0016276A">
              <w:rPr>
                <w:rFonts w:ascii="Arial" w:hAnsi="Arial" w:cs="Arial"/>
                <w:color w:val="000000"/>
                <w:sz w:val="22"/>
                <w:szCs w:val="22"/>
              </w:rPr>
              <w:t>3</w:t>
            </w:r>
            <w:r w:rsidRPr="0016276A">
              <w:rPr>
                <w:rFonts w:ascii="Arial" w:hAnsi="Arial" w:cs="Arial"/>
                <w:color w:val="000000"/>
                <w:sz w:val="22"/>
                <w:szCs w:val="22"/>
              </w:rPr>
              <w:t>%</w:t>
            </w:r>
          </w:p>
        </w:tc>
        <w:tc>
          <w:tcPr>
            <w:tcW w:w="1441" w:type="dxa"/>
            <w:shd w:val="clear" w:color="auto" w:fill="F2F2F2"/>
            <w:vAlign w:val="center"/>
          </w:tcPr>
          <w:p w:rsidR="0064117C" w:rsidRPr="0016276A" w:rsidRDefault="00F54990"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93</w:t>
            </w:r>
          </w:p>
        </w:tc>
        <w:tc>
          <w:tcPr>
            <w:tcW w:w="1521" w:type="dxa"/>
            <w:shd w:val="clear" w:color="auto" w:fill="F2F2F2"/>
            <w:vAlign w:val="center"/>
          </w:tcPr>
          <w:p w:rsidR="0064117C" w:rsidRPr="0016276A" w:rsidRDefault="00975EBB" w:rsidP="00690B66">
            <w:pPr>
              <w:keepNext/>
              <w:keepLines/>
              <w:spacing w:beforeLines="60" w:before="144" w:afterLines="60" w:after="144"/>
              <w:jc w:val="center"/>
              <w:rPr>
                <w:rFonts w:ascii="Arial" w:hAnsi="Arial" w:cs="Arial"/>
                <w:b/>
                <w:color w:val="000000"/>
                <w:sz w:val="22"/>
                <w:szCs w:val="22"/>
              </w:rPr>
            </w:pPr>
            <w:r w:rsidRPr="0016276A">
              <w:rPr>
                <w:rFonts w:ascii="Arial" w:hAnsi="Arial" w:cs="Arial"/>
                <w:color w:val="000000"/>
                <w:sz w:val="22"/>
                <w:szCs w:val="22"/>
              </w:rPr>
              <w:t>39</w:t>
            </w:r>
            <w:r w:rsidR="0064117C" w:rsidRPr="0016276A">
              <w:rPr>
                <w:rFonts w:ascii="Arial" w:hAnsi="Arial" w:cs="Arial"/>
                <w:color w:val="000000"/>
                <w:sz w:val="22"/>
                <w:szCs w:val="22"/>
              </w:rPr>
              <w:t>%</w:t>
            </w:r>
          </w:p>
        </w:tc>
      </w:tr>
      <w:tr w:rsidR="0064117C" w:rsidRPr="0016276A" w:rsidTr="00690B66">
        <w:trPr>
          <w:trHeight w:val="304"/>
        </w:trPr>
        <w:tc>
          <w:tcPr>
            <w:tcW w:w="1843" w:type="dxa"/>
            <w:shd w:val="clear" w:color="auto" w:fill="F2F2F2"/>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BP</w:t>
            </w:r>
          </w:p>
        </w:tc>
        <w:tc>
          <w:tcPr>
            <w:tcW w:w="1520" w:type="dxa"/>
            <w:shd w:val="clear" w:color="auto" w:fill="F2F2F2"/>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16</w:t>
            </w:r>
          </w:p>
        </w:tc>
        <w:tc>
          <w:tcPr>
            <w:tcW w:w="1599" w:type="dxa"/>
            <w:shd w:val="clear" w:color="auto" w:fill="F2F2F2"/>
            <w:noWrap/>
            <w:tcMar>
              <w:top w:w="0" w:type="dxa"/>
              <w:left w:w="108" w:type="dxa"/>
              <w:bottom w:w="0" w:type="dxa"/>
              <w:right w:w="108" w:type="dxa"/>
            </w:tcMar>
            <w:vAlign w:val="center"/>
          </w:tcPr>
          <w:p w:rsidR="0064117C" w:rsidRPr="0016276A" w:rsidRDefault="00340FB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7</w:t>
            </w:r>
            <w:r w:rsidR="0064117C" w:rsidRPr="0016276A">
              <w:rPr>
                <w:rFonts w:ascii="Arial" w:hAnsi="Arial" w:cs="Arial"/>
                <w:color w:val="000000"/>
                <w:sz w:val="22"/>
                <w:szCs w:val="22"/>
              </w:rPr>
              <w:t>%</w:t>
            </w:r>
          </w:p>
        </w:tc>
        <w:tc>
          <w:tcPr>
            <w:tcW w:w="1441" w:type="dxa"/>
            <w:shd w:val="clear" w:color="auto" w:fill="F2F2F2"/>
            <w:vAlign w:val="center"/>
          </w:tcPr>
          <w:p w:rsidR="0064117C" w:rsidRPr="0016276A" w:rsidRDefault="00DA2C70" w:rsidP="00E91E22">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w:t>
            </w:r>
          </w:p>
        </w:tc>
        <w:tc>
          <w:tcPr>
            <w:tcW w:w="1521" w:type="dxa"/>
            <w:shd w:val="clear" w:color="auto" w:fill="F2F2F2"/>
            <w:vAlign w:val="center"/>
          </w:tcPr>
          <w:p w:rsidR="0064117C" w:rsidRPr="0016276A" w:rsidRDefault="00DA2C70" w:rsidP="00E91E22">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w:t>
            </w:r>
          </w:p>
        </w:tc>
      </w:tr>
      <w:tr w:rsidR="0064117C" w:rsidRPr="0016276A" w:rsidTr="00690B66">
        <w:trPr>
          <w:trHeight w:val="304"/>
        </w:trPr>
        <w:tc>
          <w:tcPr>
            <w:tcW w:w="1843"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Woolworths</w:t>
            </w:r>
          </w:p>
        </w:tc>
        <w:tc>
          <w:tcPr>
            <w:tcW w:w="1520"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33</w:t>
            </w:r>
          </w:p>
        </w:tc>
        <w:tc>
          <w:tcPr>
            <w:tcW w:w="1599" w:type="dxa"/>
            <w:noWrap/>
            <w:tcMar>
              <w:top w:w="0" w:type="dxa"/>
              <w:left w:w="108" w:type="dxa"/>
              <w:bottom w:w="0" w:type="dxa"/>
              <w:right w:w="108" w:type="dxa"/>
            </w:tcMar>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w:t>
            </w:r>
            <w:r w:rsidR="00690B66" w:rsidRPr="0016276A">
              <w:rPr>
                <w:rFonts w:ascii="Arial" w:hAnsi="Arial" w:cs="Arial"/>
                <w:color w:val="000000"/>
                <w:sz w:val="22"/>
                <w:szCs w:val="22"/>
              </w:rPr>
              <w:t>4</w:t>
            </w:r>
            <w:r w:rsidRPr="0016276A">
              <w:rPr>
                <w:rFonts w:ascii="Arial" w:hAnsi="Arial" w:cs="Arial"/>
                <w:color w:val="000000"/>
                <w:sz w:val="22"/>
                <w:szCs w:val="22"/>
              </w:rPr>
              <w:t>%</w:t>
            </w:r>
          </w:p>
        </w:tc>
        <w:tc>
          <w:tcPr>
            <w:tcW w:w="1441" w:type="dxa"/>
            <w:vAlign w:val="center"/>
          </w:tcPr>
          <w:p w:rsidR="0064117C" w:rsidRPr="0016276A" w:rsidRDefault="0064117C"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33</w:t>
            </w:r>
          </w:p>
        </w:tc>
        <w:tc>
          <w:tcPr>
            <w:tcW w:w="1521" w:type="dxa"/>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w:t>
            </w:r>
            <w:r w:rsidR="00690B66" w:rsidRPr="0016276A">
              <w:rPr>
                <w:rFonts w:ascii="Arial" w:hAnsi="Arial" w:cs="Arial"/>
                <w:color w:val="000000"/>
                <w:sz w:val="22"/>
                <w:szCs w:val="22"/>
              </w:rPr>
              <w:t>4</w:t>
            </w:r>
            <w:r w:rsidRPr="0016276A">
              <w:rPr>
                <w:rFonts w:ascii="Arial" w:hAnsi="Arial" w:cs="Arial"/>
                <w:color w:val="000000"/>
                <w:sz w:val="22"/>
                <w:szCs w:val="22"/>
              </w:rPr>
              <w:t>%</w:t>
            </w:r>
          </w:p>
        </w:tc>
      </w:tr>
      <w:tr w:rsidR="0064117C" w:rsidRPr="0016276A" w:rsidTr="00690B66">
        <w:trPr>
          <w:trHeight w:val="304"/>
        </w:trPr>
        <w:tc>
          <w:tcPr>
            <w:tcW w:w="1843"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Coles</w:t>
            </w:r>
          </w:p>
        </w:tc>
        <w:tc>
          <w:tcPr>
            <w:tcW w:w="1520" w:type="dxa"/>
            <w:noWrap/>
            <w:tcMar>
              <w:top w:w="0" w:type="dxa"/>
              <w:left w:w="108" w:type="dxa"/>
              <w:bottom w:w="0" w:type="dxa"/>
              <w:right w:w="108" w:type="dxa"/>
            </w:tcMar>
            <w:vAlign w:val="center"/>
            <w:hideMark/>
          </w:tcPr>
          <w:p w:rsidR="0064117C" w:rsidRPr="0016276A" w:rsidRDefault="00340FB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29</w:t>
            </w:r>
          </w:p>
        </w:tc>
        <w:tc>
          <w:tcPr>
            <w:tcW w:w="1599" w:type="dxa"/>
            <w:noWrap/>
            <w:tcMar>
              <w:top w:w="0" w:type="dxa"/>
              <w:left w:w="108" w:type="dxa"/>
              <w:bottom w:w="0" w:type="dxa"/>
              <w:right w:w="108" w:type="dxa"/>
            </w:tcMar>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12%</w:t>
            </w:r>
          </w:p>
        </w:tc>
        <w:tc>
          <w:tcPr>
            <w:tcW w:w="1441" w:type="dxa"/>
            <w:vAlign w:val="center"/>
          </w:tcPr>
          <w:p w:rsidR="0064117C" w:rsidRPr="0016276A" w:rsidRDefault="0064117C"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29</w:t>
            </w:r>
          </w:p>
        </w:tc>
        <w:tc>
          <w:tcPr>
            <w:tcW w:w="1521" w:type="dxa"/>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12%</w:t>
            </w:r>
          </w:p>
        </w:tc>
      </w:tr>
      <w:tr w:rsidR="0064117C" w:rsidRPr="0016276A" w:rsidTr="00690B66">
        <w:trPr>
          <w:trHeight w:val="304"/>
        </w:trPr>
        <w:tc>
          <w:tcPr>
            <w:tcW w:w="1843"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Caltex</w:t>
            </w:r>
          </w:p>
        </w:tc>
        <w:tc>
          <w:tcPr>
            <w:tcW w:w="1520" w:type="dxa"/>
            <w:noWrap/>
            <w:tcMar>
              <w:top w:w="0" w:type="dxa"/>
              <w:left w:w="108" w:type="dxa"/>
              <w:bottom w:w="0" w:type="dxa"/>
              <w:right w:w="108" w:type="dxa"/>
            </w:tcMar>
            <w:vAlign w:val="center"/>
            <w:hideMark/>
          </w:tcPr>
          <w:p w:rsidR="0064117C" w:rsidRPr="0016276A" w:rsidRDefault="0064117C" w:rsidP="0064117C">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21</w:t>
            </w:r>
          </w:p>
        </w:tc>
        <w:tc>
          <w:tcPr>
            <w:tcW w:w="1599" w:type="dxa"/>
            <w:noWrap/>
            <w:tcMar>
              <w:top w:w="0" w:type="dxa"/>
              <w:left w:w="108" w:type="dxa"/>
              <w:bottom w:w="0" w:type="dxa"/>
              <w:right w:w="108" w:type="dxa"/>
            </w:tcMar>
            <w:vAlign w:val="center"/>
          </w:tcPr>
          <w:p w:rsidR="0064117C" w:rsidRPr="0016276A" w:rsidRDefault="00690B6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9</w:t>
            </w:r>
            <w:r w:rsidR="0064117C" w:rsidRPr="0016276A">
              <w:rPr>
                <w:rFonts w:ascii="Arial" w:hAnsi="Arial" w:cs="Arial"/>
                <w:color w:val="000000"/>
                <w:sz w:val="22"/>
                <w:szCs w:val="22"/>
              </w:rPr>
              <w:t>%</w:t>
            </w:r>
          </w:p>
        </w:tc>
        <w:tc>
          <w:tcPr>
            <w:tcW w:w="1441" w:type="dxa"/>
            <w:vAlign w:val="center"/>
          </w:tcPr>
          <w:p w:rsidR="0064117C" w:rsidRPr="0016276A" w:rsidRDefault="00340FB6" w:rsidP="00F5499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2</w:t>
            </w:r>
            <w:r w:rsidR="00F54990" w:rsidRPr="0016276A">
              <w:rPr>
                <w:rFonts w:ascii="Arial" w:hAnsi="Arial" w:cs="Arial"/>
                <w:color w:val="000000"/>
                <w:sz w:val="22"/>
                <w:szCs w:val="22"/>
              </w:rPr>
              <w:t>3</w:t>
            </w:r>
          </w:p>
        </w:tc>
        <w:tc>
          <w:tcPr>
            <w:tcW w:w="1521" w:type="dxa"/>
            <w:vAlign w:val="center"/>
          </w:tcPr>
          <w:p w:rsidR="0064117C" w:rsidRPr="0016276A" w:rsidRDefault="00690B6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10</w:t>
            </w:r>
            <w:r w:rsidR="0064117C" w:rsidRPr="0016276A">
              <w:rPr>
                <w:rFonts w:ascii="Arial" w:hAnsi="Arial" w:cs="Arial"/>
                <w:color w:val="000000"/>
                <w:sz w:val="22"/>
                <w:szCs w:val="22"/>
              </w:rPr>
              <w:t>%</w:t>
            </w:r>
          </w:p>
        </w:tc>
      </w:tr>
      <w:tr w:rsidR="0064117C" w:rsidRPr="0016276A" w:rsidTr="00690B66">
        <w:trPr>
          <w:trHeight w:val="304"/>
        </w:trPr>
        <w:tc>
          <w:tcPr>
            <w:tcW w:w="1843"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Agostino</w:t>
            </w:r>
          </w:p>
        </w:tc>
        <w:tc>
          <w:tcPr>
            <w:tcW w:w="1520"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9</w:t>
            </w:r>
          </w:p>
        </w:tc>
        <w:tc>
          <w:tcPr>
            <w:tcW w:w="1599" w:type="dxa"/>
            <w:noWrap/>
            <w:tcMar>
              <w:top w:w="0" w:type="dxa"/>
              <w:left w:w="108" w:type="dxa"/>
              <w:bottom w:w="0" w:type="dxa"/>
              <w:right w:w="108" w:type="dxa"/>
            </w:tcMar>
            <w:vAlign w:val="center"/>
          </w:tcPr>
          <w:p w:rsidR="0064117C" w:rsidRPr="0016276A" w:rsidRDefault="00690B6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4</w:t>
            </w:r>
            <w:r w:rsidR="0064117C" w:rsidRPr="0016276A">
              <w:rPr>
                <w:rFonts w:ascii="Arial" w:hAnsi="Arial" w:cs="Arial"/>
                <w:color w:val="000000"/>
                <w:sz w:val="22"/>
                <w:szCs w:val="22"/>
              </w:rPr>
              <w:t>%</w:t>
            </w:r>
          </w:p>
        </w:tc>
        <w:tc>
          <w:tcPr>
            <w:tcW w:w="1441" w:type="dxa"/>
            <w:vAlign w:val="center"/>
          </w:tcPr>
          <w:p w:rsidR="0064117C" w:rsidRPr="0016276A" w:rsidRDefault="00F54990"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8</w:t>
            </w:r>
          </w:p>
        </w:tc>
        <w:tc>
          <w:tcPr>
            <w:tcW w:w="1521" w:type="dxa"/>
            <w:vAlign w:val="center"/>
          </w:tcPr>
          <w:p w:rsidR="0064117C" w:rsidRPr="0016276A" w:rsidRDefault="00975EBB"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w:t>
            </w:r>
          </w:p>
        </w:tc>
      </w:tr>
      <w:tr w:rsidR="0064117C" w:rsidRPr="0016276A" w:rsidTr="00690B66">
        <w:trPr>
          <w:trHeight w:val="304"/>
        </w:trPr>
        <w:tc>
          <w:tcPr>
            <w:tcW w:w="1843"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Nemer</w:t>
            </w:r>
          </w:p>
        </w:tc>
        <w:tc>
          <w:tcPr>
            <w:tcW w:w="1520"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8</w:t>
            </w:r>
          </w:p>
        </w:tc>
        <w:tc>
          <w:tcPr>
            <w:tcW w:w="1599" w:type="dxa"/>
            <w:noWrap/>
            <w:tcMar>
              <w:top w:w="0" w:type="dxa"/>
              <w:left w:w="108" w:type="dxa"/>
              <w:bottom w:w="0" w:type="dxa"/>
              <w:right w:w="108" w:type="dxa"/>
            </w:tcMar>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w:t>
            </w:r>
          </w:p>
        </w:tc>
        <w:tc>
          <w:tcPr>
            <w:tcW w:w="1441" w:type="dxa"/>
            <w:vAlign w:val="center"/>
          </w:tcPr>
          <w:p w:rsidR="0064117C" w:rsidRPr="0016276A" w:rsidRDefault="0064117C"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8</w:t>
            </w:r>
          </w:p>
        </w:tc>
        <w:tc>
          <w:tcPr>
            <w:tcW w:w="1521" w:type="dxa"/>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w:t>
            </w:r>
          </w:p>
        </w:tc>
      </w:tr>
      <w:tr w:rsidR="0064117C" w:rsidRPr="0016276A" w:rsidTr="00690B66">
        <w:trPr>
          <w:trHeight w:val="304"/>
        </w:trPr>
        <w:tc>
          <w:tcPr>
            <w:tcW w:w="1843"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United</w:t>
            </w:r>
          </w:p>
        </w:tc>
        <w:tc>
          <w:tcPr>
            <w:tcW w:w="1520"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8</w:t>
            </w:r>
          </w:p>
        </w:tc>
        <w:tc>
          <w:tcPr>
            <w:tcW w:w="1599" w:type="dxa"/>
            <w:noWrap/>
            <w:tcMar>
              <w:top w:w="0" w:type="dxa"/>
              <w:left w:w="108" w:type="dxa"/>
              <w:bottom w:w="0" w:type="dxa"/>
              <w:right w:w="108" w:type="dxa"/>
            </w:tcMar>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w:t>
            </w:r>
          </w:p>
        </w:tc>
        <w:tc>
          <w:tcPr>
            <w:tcW w:w="1441" w:type="dxa"/>
            <w:vAlign w:val="center"/>
          </w:tcPr>
          <w:p w:rsidR="0064117C" w:rsidRPr="0016276A" w:rsidRDefault="0064117C"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8</w:t>
            </w:r>
          </w:p>
        </w:tc>
        <w:tc>
          <w:tcPr>
            <w:tcW w:w="1521" w:type="dxa"/>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w:t>
            </w:r>
          </w:p>
        </w:tc>
      </w:tr>
      <w:tr w:rsidR="0064117C" w:rsidRPr="0016276A" w:rsidTr="00690B66">
        <w:trPr>
          <w:trHeight w:val="304"/>
        </w:trPr>
        <w:tc>
          <w:tcPr>
            <w:tcW w:w="1843"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Andrash</w:t>
            </w:r>
          </w:p>
        </w:tc>
        <w:tc>
          <w:tcPr>
            <w:tcW w:w="1520" w:type="dxa"/>
            <w:noWrap/>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6</w:t>
            </w:r>
          </w:p>
        </w:tc>
        <w:tc>
          <w:tcPr>
            <w:tcW w:w="1599" w:type="dxa"/>
            <w:noWrap/>
            <w:tcMar>
              <w:top w:w="0" w:type="dxa"/>
              <w:left w:w="108" w:type="dxa"/>
              <w:bottom w:w="0" w:type="dxa"/>
              <w:right w:w="108" w:type="dxa"/>
            </w:tcMar>
            <w:vAlign w:val="center"/>
          </w:tcPr>
          <w:p w:rsidR="0064117C" w:rsidRPr="0016276A" w:rsidRDefault="00690B6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w:t>
            </w:r>
            <w:r w:rsidR="0064117C" w:rsidRPr="0016276A">
              <w:rPr>
                <w:rFonts w:ascii="Arial" w:hAnsi="Arial" w:cs="Arial"/>
                <w:color w:val="000000"/>
                <w:sz w:val="22"/>
                <w:szCs w:val="22"/>
              </w:rPr>
              <w:t>%</w:t>
            </w:r>
          </w:p>
        </w:tc>
        <w:tc>
          <w:tcPr>
            <w:tcW w:w="1441" w:type="dxa"/>
            <w:vAlign w:val="center"/>
          </w:tcPr>
          <w:p w:rsidR="0064117C" w:rsidRPr="0016276A" w:rsidRDefault="0064117C"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6</w:t>
            </w:r>
          </w:p>
        </w:tc>
        <w:tc>
          <w:tcPr>
            <w:tcW w:w="1521" w:type="dxa"/>
            <w:vAlign w:val="center"/>
          </w:tcPr>
          <w:p w:rsidR="0064117C" w:rsidRPr="0016276A" w:rsidRDefault="00690B6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w:t>
            </w:r>
            <w:r w:rsidR="0064117C" w:rsidRPr="0016276A">
              <w:rPr>
                <w:rFonts w:ascii="Arial" w:hAnsi="Arial" w:cs="Arial"/>
                <w:color w:val="000000"/>
                <w:sz w:val="22"/>
                <w:szCs w:val="22"/>
              </w:rPr>
              <w:t>%</w:t>
            </w:r>
          </w:p>
        </w:tc>
      </w:tr>
      <w:tr w:rsidR="0064117C" w:rsidRPr="0016276A" w:rsidTr="00690B66">
        <w:trPr>
          <w:trHeight w:val="430"/>
        </w:trPr>
        <w:tc>
          <w:tcPr>
            <w:tcW w:w="1843" w:type="dxa"/>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rPr>
                <w:rFonts w:ascii="Arial" w:hAnsi="Arial" w:cs="Arial"/>
                <w:color w:val="000000"/>
                <w:sz w:val="22"/>
                <w:szCs w:val="22"/>
              </w:rPr>
            </w:pPr>
            <w:r w:rsidRPr="0016276A">
              <w:rPr>
                <w:rFonts w:ascii="Arial" w:hAnsi="Arial" w:cs="Arial"/>
                <w:color w:val="000000"/>
                <w:sz w:val="22"/>
                <w:szCs w:val="22"/>
              </w:rPr>
              <w:t>Other (independents)</w:t>
            </w:r>
            <w:r w:rsidR="00975EBB" w:rsidRPr="0016276A">
              <w:rPr>
                <w:rStyle w:val="FootnoteReference"/>
                <w:rFonts w:ascii="Arial" w:hAnsi="Arial" w:cs="Arial"/>
                <w:color w:val="000000"/>
                <w:sz w:val="22"/>
                <w:szCs w:val="22"/>
              </w:rPr>
              <w:footnoteReference w:id="11"/>
            </w:r>
            <w:r w:rsidRPr="0016276A">
              <w:rPr>
                <w:rFonts w:ascii="Arial" w:hAnsi="Arial" w:cs="Arial"/>
                <w:color w:val="000000"/>
                <w:sz w:val="22"/>
                <w:szCs w:val="22"/>
              </w:rPr>
              <w:t xml:space="preserve"> </w:t>
            </w:r>
          </w:p>
        </w:tc>
        <w:tc>
          <w:tcPr>
            <w:tcW w:w="1520" w:type="dxa"/>
            <w:tcMar>
              <w:top w:w="0" w:type="dxa"/>
              <w:left w:w="108" w:type="dxa"/>
              <w:bottom w:w="0" w:type="dxa"/>
              <w:right w:w="108" w:type="dxa"/>
            </w:tcMar>
            <w:vAlign w:val="center"/>
            <w:hideMark/>
          </w:tcPr>
          <w:p w:rsidR="0064117C" w:rsidRPr="0016276A" w:rsidRDefault="0064117C"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30</w:t>
            </w:r>
          </w:p>
        </w:tc>
        <w:tc>
          <w:tcPr>
            <w:tcW w:w="1599" w:type="dxa"/>
            <w:noWrap/>
            <w:tcMar>
              <w:top w:w="0" w:type="dxa"/>
              <w:left w:w="108" w:type="dxa"/>
              <w:bottom w:w="0" w:type="dxa"/>
              <w:right w:w="108" w:type="dxa"/>
            </w:tcMar>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w:t>
            </w:r>
            <w:r w:rsidR="00690B66" w:rsidRPr="0016276A">
              <w:rPr>
                <w:rFonts w:ascii="Arial" w:hAnsi="Arial" w:cs="Arial"/>
                <w:color w:val="000000"/>
                <w:sz w:val="22"/>
                <w:szCs w:val="22"/>
              </w:rPr>
              <w:t>3</w:t>
            </w:r>
            <w:r w:rsidRPr="0016276A">
              <w:rPr>
                <w:rFonts w:ascii="Arial" w:hAnsi="Arial" w:cs="Arial"/>
                <w:color w:val="000000"/>
                <w:sz w:val="22"/>
                <w:szCs w:val="22"/>
              </w:rPr>
              <w:t>%</w:t>
            </w:r>
          </w:p>
        </w:tc>
        <w:tc>
          <w:tcPr>
            <w:tcW w:w="1441" w:type="dxa"/>
            <w:vAlign w:val="center"/>
          </w:tcPr>
          <w:p w:rsidR="0064117C" w:rsidRPr="0016276A" w:rsidRDefault="0064117C"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30</w:t>
            </w:r>
          </w:p>
        </w:tc>
        <w:tc>
          <w:tcPr>
            <w:tcW w:w="1521" w:type="dxa"/>
            <w:vAlign w:val="center"/>
          </w:tcPr>
          <w:p w:rsidR="0064117C" w:rsidRPr="0016276A" w:rsidRDefault="0064117C" w:rsidP="00690B66">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w:t>
            </w:r>
            <w:r w:rsidR="00690B66" w:rsidRPr="0016276A">
              <w:rPr>
                <w:rFonts w:ascii="Arial" w:hAnsi="Arial" w:cs="Arial"/>
                <w:color w:val="000000"/>
                <w:sz w:val="22"/>
                <w:szCs w:val="22"/>
              </w:rPr>
              <w:t>3</w:t>
            </w:r>
            <w:r w:rsidRPr="0016276A">
              <w:rPr>
                <w:rFonts w:ascii="Arial" w:hAnsi="Arial" w:cs="Arial"/>
                <w:color w:val="000000"/>
                <w:sz w:val="22"/>
                <w:szCs w:val="22"/>
              </w:rPr>
              <w:t>%</w:t>
            </w:r>
          </w:p>
        </w:tc>
      </w:tr>
      <w:tr w:rsidR="00E16340" w:rsidRPr="0016276A" w:rsidTr="00690B66">
        <w:trPr>
          <w:trHeight w:val="71"/>
        </w:trPr>
        <w:tc>
          <w:tcPr>
            <w:tcW w:w="1843" w:type="dxa"/>
            <w:tcMar>
              <w:top w:w="0" w:type="dxa"/>
              <w:left w:w="108" w:type="dxa"/>
              <w:bottom w:w="0" w:type="dxa"/>
              <w:right w:w="108" w:type="dxa"/>
            </w:tcMar>
            <w:vAlign w:val="center"/>
            <w:hideMark/>
          </w:tcPr>
          <w:p w:rsidR="00E16340" w:rsidRPr="0016276A" w:rsidRDefault="00E16340" w:rsidP="00E16340">
            <w:pPr>
              <w:keepNext/>
              <w:keepLines/>
              <w:spacing w:beforeLines="60" w:before="144" w:afterLines="60" w:after="144"/>
              <w:rPr>
                <w:rFonts w:ascii="Arial" w:hAnsi="Arial" w:cs="Arial"/>
                <w:b/>
                <w:color w:val="000000"/>
                <w:sz w:val="22"/>
                <w:szCs w:val="22"/>
              </w:rPr>
            </w:pPr>
            <w:r w:rsidRPr="0016276A">
              <w:rPr>
                <w:rFonts w:ascii="Arial" w:hAnsi="Arial" w:cs="Arial"/>
                <w:b/>
                <w:color w:val="000000"/>
                <w:sz w:val="22"/>
                <w:szCs w:val="22"/>
              </w:rPr>
              <w:t>Total</w:t>
            </w:r>
          </w:p>
        </w:tc>
        <w:tc>
          <w:tcPr>
            <w:tcW w:w="1520" w:type="dxa"/>
            <w:tcMar>
              <w:top w:w="0" w:type="dxa"/>
              <w:left w:w="108" w:type="dxa"/>
              <w:bottom w:w="0" w:type="dxa"/>
              <w:right w:w="108" w:type="dxa"/>
            </w:tcMar>
            <w:vAlign w:val="center"/>
            <w:hideMark/>
          </w:tcPr>
          <w:p w:rsidR="00E16340" w:rsidRPr="0016276A" w:rsidRDefault="00340FB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238</w:t>
            </w:r>
          </w:p>
        </w:tc>
        <w:tc>
          <w:tcPr>
            <w:tcW w:w="1599" w:type="dxa"/>
            <w:noWrap/>
            <w:tcMar>
              <w:top w:w="0" w:type="dxa"/>
              <w:left w:w="108" w:type="dxa"/>
              <w:bottom w:w="0" w:type="dxa"/>
              <w:right w:w="108" w:type="dxa"/>
            </w:tcMar>
            <w:vAlign w:val="center"/>
            <w:hideMark/>
          </w:tcPr>
          <w:p w:rsidR="00E16340" w:rsidRPr="0016276A" w:rsidRDefault="00E16340"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100%</w:t>
            </w:r>
            <w:r w:rsidR="00690B66" w:rsidRPr="0016276A">
              <w:rPr>
                <w:rStyle w:val="FootnoteReference"/>
                <w:rFonts w:cs="Arial"/>
                <w:b/>
                <w:bCs/>
                <w:color w:val="000000"/>
                <w:szCs w:val="22"/>
              </w:rPr>
              <w:footnoteReference w:id="12"/>
            </w:r>
          </w:p>
        </w:tc>
        <w:tc>
          <w:tcPr>
            <w:tcW w:w="1441" w:type="dxa"/>
            <w:vAlign w:val="center"/>
          </w:tcPr>
          <w:p w:rsidR="00E16340" w:rsidRPr="0016276A" w:rsidRDefault="00340FB6" w:rsidP="003C2B2B">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238</w:t>
            </w:r>
          </w:p>
        </w:tc>
        <w:tc>
          <w:tcPr>
            <w:tcW w:w="1521" w:type="dxa"/>
            <w:vAlign w:val="center"/>
          </w:tcPr>
          <w:p w:rsidR="00E16340" w:rsidRPr="0016276A" w:rsidRDefault="00E16340" w:rsidP="00E16340">
            <w:pPr>
              <w:keepNext/>
              <w:keepLines/>
              <w:spacing w:beforeLines="60" w:before="144" w:afterLines="60" w:after="144"/>
              <w:jc w:val="center"/>
              <w:rPr>
                <w:rFonts w:ascii="Arial" w:hAnsi="Arial" w:cs="Arial"/>
                <w:color w:val="000000"/>
                <w:sz w:val="22"/>
                <w:szCs w:val="22"/>
              </w:rPr>
            </w:pPr>
            <w:r w:rsidRPr="0016276A">
              <w:rPr>
                <w:rFonts w:ascii="Arial" w:hAnsi="Arial" w:cs="Arial"/>
                <w:color w:val="000000"/>
                <w:sz w:val="22"/>
                <w:szCs w:val="22"/>
              </w:rPr>
              <w:t>100%</w:t>
            </w:r>
          </w:p>
        </w:tc>
      </w:tr>
    </w:tbl>
    <w:p w:rsidR="00F53082" w:rsidRPr="0016276A" w:rsidRDefault="00441B56" w:rsidP="00CC0B2E">
      <w:pPr>
        <w:pStyle w:val="NormalParagraph"/>
        <w:ind w:left="363" w:hanging="505"/>
      </w:pPr>
      <w:r w:rsidRPr="0016276A">
        <w:fldChar w:fldCharType="begin"/>
      </w:r>
      <w:r w:rsidRPr="0016276A">
        <w:instrText xml:space="preserve"> REF _Ref377660613 \h  \* MERGEFORMAT </w:instrText>
      </w:r>
      <w:r w:rsidRPr="0016276A">
        <w:fldChar w:fldCharType="separate"/>
      </w:r>
      <w:r w:rsidR="00F126FE" w:rsidRPr="0016276A">
        <w:t xml:space="preserve">Table </w:t>
      </w:r>
      <w:r w:rsidR="00F126FE">
        <w:t>1</w:t>
      </w:r>
      <w:r w:rsidRPr="0016276A">
        <w:fldChar w:fldCharType="end"/>
      </w:r>
      <w:r w:rsidR="00F53082" w:rsidRPr="0016276A">
        <w:t xml:space="preserve"> illustrates that Peregrine was already the largest </w:t>
      </w:r>
      <w:r w:rsidR="00E07803" w:rsidRPr="0016276A">
        <w:t>petrol</w:t>
      </w:r>
      <w:r w:rsidR="00F53082" w:rsidRPr="0016276A">
        <w:t xml:space="preserve"> retailer in Adelaide prior to the Acquisition (when considered by number of sites). The Acquisition would further increase </w:t>
      </w:r>
      <w:r w:rsidR="000F6407" w:rsidRPr="0016276A">
        <w:t xml:space="preserve">its </w:t>
      </w:r>
      <w:r w:rsidR="00F53082" w:rsidRPr="0016276A">
        <w:t xml:space="preserve">size. Following the Acquisition, </w:t>
      </w:r>
      <w:r w:rsidR="001C31D2" w:rsidRPr="0016276A">
        <w:t xml:space="preserve">Peregrine would operate </w:t>
      </w:r>
      <w:r w:rsidR="00C46BCD" w:rsidRPr="0016276A">
        <w:t>approximately 39</w:t>
      </w:r>
      <w:r w:rsidR="002F4D86" w:rsidRPr="0016276A">
        <w:t xml:space="preserve"> per cent </w:t>
      </w:r>
      <w:r w:rsidR="001C31D2" w:rsidRPr="0016276A">
        <w:t xml:space="preserve">of all petrol station sites in Adelaide, nearly three times as many as its nearest rival. </w:t>
      </w:r>
      <w:r w:rsidR="00CC0B2E" w:rsidRPr="0016276A">
        <w:t xml:space="preserve"> </w:t>
      </w:r>
    </w:p>
    <w:p w:rsidR="00323A0B" w:rsidRPr="0016276A" w:rsidRDefault="00036E47" w:rsidP="00323A0B">
      <w:pPr>
        <w:pStyle w:val="NormalParagraph"/>
        <w:ind w:hanging="502"/>
      </w:pPr>
      <w:r w:rsidRPr="0016276A">
        <w:lastRenderedPageBreak/>
        <w:t>T</w:t>
      </w:r>
      <w:r w:rsidR="008C300C" w:rsidRPr="0016276A">
        <w:t>he ACCC considered unilateral effects and coordinated effects theories of harm to ascertain whether the</w:t>
      </w:r>
      <w:r w:rsidR="00926C4F" w:rsidRPr="0016276A">
        <w:t xml:space="preserve"> Acquisition </w:t>
      </w:r>
      <w:r w:rsidR="008C300C" w:rsidRPr="0016276A">
        <w:t xml:space="preserve">would be likely to have the effect of substantially lessening competition in </w:t>
      </w:r>
      <w:r w:rsidR="002C65F0" w:rsidRPr="0016276A">
        <w:t xml:space="preserve">the </w:t>
      </w:r>
      <w:r w:rsidR="008C300C" w:rsidRPr="0016276A">
        <w:t>Adelaide</w:t>
      </w:r>
      <w:r w:rsidR="006C5D65" w:rsidRPr="0016276A">
        <w:t xml:space="preserve"> </w:t>
      </w:r>
      <w:r w:rsidR="008C300C" w:rsidRPr="0016276A">
        <w:t>market.</w:t>
      </w:r>
    </w:p>
    <w:p w:rsidR="008C300C" w:rsidRPr="0016276A" w:rsidRDefault="008C300C" w:rsidP="00323A0B">
      <w:pPr>
        <w:pStyle w:val="Heading5"/>
        <w:keepNext/>
      </w:pPr>
      <w:r w:rsidRPr="0016276A">
        <w:t>Coordinated effects</w:t>
      </w:r>
    </w:p>
    <w:p w:rsidR="004745BF" w:rsidRPr="0016276A" w:rsidRDefault="004745BF" w:rsidP="00CC0B2E">
      <w:pPr>
        <w:pStyle w:val="NormalParagraph"/>
        <w:ind w:hanging="502"/>
      </w:pPr>
      <w:r w:rsidRPr="0016276A">
        <w:t>Concerns about coordinated effects arise because mergers and acquisitions can enhance the ability and incentive of firms in a market to act in their mutual interest (e.g. by not competing aggressively). Coordinated effects rely on either an explicit communication between the parties or tacit conditioning of firms through their repeated market interactions over time.</w:t>
      </w:r>
    </w:p>
    <w:p w:rsidR="00BA6206" w:rsidRPr="0016276A" w:rsidRDefault="00BA6206" w:rsidP="00CC0B2E">
      <w:pPr>
        <w:pStyle w:val="NormalParagraph"/>
        <w:ind w:hanging="502"/>
      </w:pPr>
      <w:r w:rsidRPr="0016276A">
        <w:t xml:space="preserve">The main theory of harm considered by the ACCC in respect of the Adelaide market </w:t>
      </w:r>
      <w:r w:rsidR="00F76120" w:rsidRPr="0016276A">
        <w:t>was</w:t>
      </w:r>
      <w:r w:rsidRPr="0016276A">
        <w:t xml:space="preserve"> whether the Acquisition could increase the </w:t>
      </w:r>
      <w:r w:rsidR="00424BF0" w:rsidRPr="0016276A">
        <w:t xml:space="preserve">likelihood, </w:t>
      </w:r>
      <w:r w:rsidRPr="0016276A">
        <w:t xml:space="preserve">effectiveness and/or stability of </w:t>
      </w:r>
      <w:r w:rsidR="00C55EF1" w:rsidRPr="0016276A">
        <w:t>coordinated conduct</w:t>
      </w:r>
      <w:r w:rsidR="008E2B87" w:rsidRPr="0016276A">
        <w:t xml:space="preserve">, particularly in </w:t>
      </w:r>
      <w:r w:rsidRPr="0016276A">
        <w:t xml:space="preserve">the restoration phase of the </w:t>
      </w:r>
      <w:r w:rsidR="00483DF0" w:rsidRPr="0016276A">
        <w:t>petrol p</w:t>
      </w:r>
      <w:r w:rsidRPr="0016276A">
        <w:t>rice cycle.</w:t>
      </w:r>
      <w:r w:rsidR="006406EF" w:rsidRPr="0016276A">
        <w:t xml:space="preserve"> The ACCC considered whether it might have effect</w:t>
      </w:r>
      <w:r w:rsidR="00146932" w:rsidRPr="0016276A">
        <w:t>s such as</w:t>
      </w:r>
      <w:r w:rsidR="006406EF" w:rsidRPr="0016276A">
        <w:t>:</w:t>
      </w:r>
    </w:p>
    <w:p w:rsidR="00282633" w:rsidRPr="0016276A" w:rsidRDefault="00282633" w:rsidP="0068571F">
      <w:pPr>
        <w:pStyle w:val="ABCList"/>
        <w:numPr>
          <w:ilvl w:val="0"/>
          <w:numId w:val="25"/>
        </w:numPr>
      </w:pPr>
      <w:bookmarkStart w:id="35" w:name="_Ref380759168"/>
      <w:r w:rsidRPr="0016276A">
        <w:t xml:space="preserve">reducing the risk </w:t>
      </w:r>
      <w:r w:rsidR="00146932" w:rsidRPr="0016276A">
        <w:t xml:space="preserve">faced by </w:t>
      </w:r>
      <w:r w:rsidRPr="0016276A">
        <w:t xml:space="preserve">Peregrine or another retail </w:t>
      </w:r>
      <w:r w:rsidR="00E07803" w:rsidRPr="0016276A">
        <w:t>petrol</w:t>
      </w:r>
      <w:r w:rsidRPr="0016276A">
        <w:t xml:space="preserve"> network </w:t>
      </w:r>
      <w:r w:rsidR="00146932" w:rsidRPr="0016276A">
        <w:t xml:space="preserve">when </w:t>
      </w:r>
      <w:r w:rsidRPr="0016276A">
        <w:t>initiat</w:t>
      </w:r>
      <w:r w:rsidR="00146932" w:rsidRPr="0016276A">
        <w:t>ing</w:t>
      </w:r>
      <w:r w:rsidRPr="0016276A">
        <w:t xml:space="preserve"> </w:t>
      </w:r>
      <w:r w:rsidR="00146932" w:rsidRPr="0016276A">
        <w:t xml:space="preserve">or following </w:t>
      </w:r>
      <w:r w:rsidRPr="0016276A">
        <w:t>an attempted restoration</w:t>
      </w:r>
      <w:r w:rsidR="000E3E4B" w:rsidRPr="0016276A">
        <w:t xml:space="preserve">. The proposed acquisition </w:t>
      </w:r>
      <w:r w:rsidRPr="0016276A">
        <w:t xml:space="preserve">would </w:t>
      </w:r>
      <w:r w:rsidR="00B639DF" w:rsidRPr="0016276A">
        <w:t xml:space="preserve">result in </w:t>
      </w:r>
      <w:r w:rsidRPr="0016276A">
        <w:t xml:space="preserve">one </w:t>
      </w:r>
      <w:r w:rsidR="00BB1F2E" w:rsidRPr="0016276A">
        <w:t xml:space="preserve">less </w:t>
      </w:r>
      <w:r w:rsidRPr="0016276A">
        <w:t xml:space="preserve">competitor which might undermine </w:t>
      </w:r>
      <w:r w:rsidR="000E3E4B" w:rsidRPr="0016276A">
        <w:t xml:space="preserve">an </w:t>
      </w:r>
      <w:r w:rsidRPr="0016276A">
        <w:t>attempt</w:t>
      </w:r>
      <w:r w:rsidR="000E3E4B" w:rsidRPr="0016276A">
        <w:t>ed restoration</w:t>
      </w:r>
      <w:r w:rsidRPr="0016276A">
        <w:t xml:space="preserve"> (through not restoring</w:t>
      </w:r>
      <w:r w:rsidR="00222660" w:rsidRPr="0016276A">
        <w:t xml:space="preserve"> prices</w:t>
      </w:r>
      <w:r w:rsidRPr="0016276A">
        <w:t xml:space="preserve">, or </w:t>
      </w:r>
      <w:r w:rsidR="000F6407" w:rsidRPr="0016276A">
        <w:t xml:space="preserve">a </w:t>
      </w:r>
      <w:r w:rsidRPr="0016276A">
        <w:t>delay in restoring prices). This may</w:t>
      </w:r>
      <w:r w:rsidR="00F73E54" w:rsidRPr="0016276A">
        <w:t>, for example,</w:t>
      </w:r>
      <w:r w:rsidRPr="0016276A">
        <w:t xml:space="preserve"> lead to fewer failed restorations, restorations of a greater magnitude, and/or restorations earlier in the petrol price cycle (such that prices might not be as low for as long at the end of the discounting phase)</w:t>
      </w:r>
      <w:bookmarkEnd w:id="35"/>
    </w:p>
    <w:p w:rsidR="00282633" w:rsidRPr="0016276A" w:rsidRDefault="00282633" w:rsidP="006406EF">
      <w:pPr>
        <w:pStyle w:val="ABCList"/>
      </w:pPr>
      <w:bookmarkStart w:id="36" w:name="_Ref380759123"/>
      <w:r w:rsidRPr="0016276A">
        <w:t>making it easier for major retail networks to establish a common focal point for a restoration price (especially if Peregrine's restoration price acts as the focal point). This may lead to fewer failed restorations and/or restorations of a greater magnitude</w:t>
      </w:r>
      <w:bookmarkEnd w:id="36"/>
    </w:p>
    <w:p w:rsidR="00282633" w:rsidRPr="0016276A" w:rsidRDefault="00282633" w:rsidP="006406EF">
      <w:pPr>
        <w:pStyle w:val="ABCList"/>
      </w:pPr>
      <w:bookmarkStart w:id="37" w:name="_Ref380759131"/>
      <w:r w:rsidRPr="0016276A">
        <w:t xml:space="preserve">increasing the presence of Peregrine, giving it a greater ability to </w:t>
      </w:r>
      <w:r w:rsidR="00407E53" w:rsidRPr="0016276A">
        <w:t>lead and enforce a coordinated outcome</w:t>
      </w:r>
      <w:r w:rsidRPr="0016276A">
        <w:t xml:space="preserve"> by punishing those who deviate. This may lead to fewer failed restorations</w:t>
      </w:r>
      <w:r w:rsidR="00F73E54" w:rsidRPr="0016276A">
        <w:t xml:space="preserve"> and support the effects described in </w:t>
      </w:r>
      <w:r w:rsidR="00F73E54" w:rsidRPr="0016276A">
        <w:fldChar w:fldCharType="begin"/>
      </w:r>
      <w:r w:rsidR="00F73E54" w:rsidRPr="0016276A">
        <w:instrText xml:space="preserve"> REF _Ref380759168 \r \h </w:instrText>
      </w:r>
      <w:r w:rsidR="0016276A">
        <w:instrText xml:space="preserve"> \* MERGEFORMAT </w:instrText>
      </w:r>
      <w:r w:rsidR="00F73E54" w:rsidRPr="0016276A">
        <w:fldChar w:fldCharType="separate"/>
      </w:r>
      <w:r w:rsidR="00F126FE">
        <w:t>a</w:t>
      </w:r>
      <w:r w:rsidR="00F73E54" w:rsidRPr="0016276A">
        <w:fldChar w:fldCharType="end"/>
      </w:r>
      <w:r w:rsidR="002F4D86" w:rsidRPr="0016276A">
        <w:t>.</w:t>
      </w:r>
      <w:r w:rsidR="00F73E54" w:rsidRPr="0016276A">
        <w:t xml:space="preserve"> </w:t>
      </w:r>
      <w:proofErr w:type="gramStart"/>
      <w:r w:rsidR="00F73E54" w:rsidRPr="0016276A">
        <w:t>and</w:t>
      </w:r>
      <w:proofErr w:type="gramEnd"/>
      <w:r w:rsidR="00F73E54" w:rsidRPr="0016276A">
        <w:t xml:space="preserve"> </w:t>
      </w:r>
      <w:r w:rsidR="00F73E54" w:rsidRPr="0016276A">
        <w:fldChar w:fldCharType="begin"/>
      </w:r>
      <w:r w:rsidR="00F73E54" w:rsidRPr="0016276A">
        <w:instrText xml:space="preserve"> REF _Ref380759123 \r \h </w:instrText>
      </w:r>
      <w:r w:rsidR="0016276A">
        <w:instrText xml:space="preserve"> \* MERGEFORMAT </w:instrText>
      </w:r>
      <w:r w:rsidR="00F73E54" w:rsidRPr="0016276A">
        <w:fldChar w:fldCharType="separate"/>
      </w:r>
      <w:r w:rsidR="00F126FE">
        <w:t>b</w:t>
      </w:r>
      <w:r w:rsidR="00F73E54" w:rsidRPr="0016276A">
        <w:fldChar w:fldCharType="end"/>
      </w:r>
      <w:r w:rsidR="002F4D86" w:rsidRPr="0016276A">
        <w:t>.</w:t>
      </w:r>
      <w:r w:rsidR="00F73E54" w:rsidRPr="0016276A">
        <w:t xml:space="preserve"> above</w:t>
      </w:r>
      <w:r w:rsidRPr="0016276A">
        <w:t>.</w:t>
      </w:r>
      <w:bookmarkEnd w:id="37"/>
    </w:p>
    <w:p w:rsidR="008505A7" w:rsidRPr="0016276A" w:rsidRDefault="008505A7" w:rsidP="00CC0B2E">
      <w:pPr>
        <w:pStyle w:val="NormalParagraph"/>
        <w:ind w:hanging="502"/>
      </w:pPr>
      <w:r w:rsidRPr="0016276A">
        <w:t>The ACCC consider</w:t>
      </w:r>
      <w:r w:rsidR="00146932" w:rsidRPr="0016276A">
        <w:t>ed</w:t>
      </w:r>
      <w:r w:rsidRPr="0016276A">
        <w:t xml:space="preserve"> that, prima facie, the loss of a competitor such as BP </w:t>
      </w:r>
      <w:r w:rsidR="00B639DF" w:rsidRPr="0016276A">
        <w:t>may</w:t>
      </w:r>
      <w:r w:rsidRPr="0016276A">
        <w:t xml:space="preserve"> make coordinated conduct more </w:t>
      </w:r>
      <w:r w:rsidR="00443857" w:rsidRPr="0016276A">
        <w:t xml:space="preserve">likely, </w:t>
      </w:r>
      <w:r w:rsidRPr="0016276A">
        <w:t>effective</w:t>
      </w:r>
      <w:r w:rsidR="00071EAF" w:rsidRPr="0016276A">
        <w:t xml:space="preserve"> and/or stable</w:t>
      </w:r>
      <w:r w:rsidRPr="0016276A">
        <w:t xml:space="preserve">. </w:t>
      </w:r>
      <w:r w:rsidR="00071EAF" w:rsidRPr="0016276A">
        <w:t>In assessing this theory of harm, the ACCC considered whether the increased likelihood of effective and stable coordinated conduct would be of sufficient magnitude to be meaningful in the context of competition in the Adelaide market.</w:t>
      </w:r>
    </w:p>
    <w:p w:rsidR="001117FF" w:rsidRPr="0016276A" w:rsidRDefault="005A1D2E" w:rsidP="00CC0B2E">
      <w:pPr>
        <w:pStyle w:val="NormalParagraph"/>
        <w:ind w:hanging="502"/>
      </w:pPr>
      <w:bookmarkStart w:id="38" w:name="_Ref380588775"/>
      <w:r w:rsidRPr="0016276A">
        <w:t xml:space="preserve">The ACCC concluded that </w:t>
      </w:r>
      <w:r w:rsidR="0019286A" w:rsidRPr="0016276A">
        <w:t>the Acquisition</w:t>
      </w:r>
      <w:r w:rsidR="001117FF" w:rsidRPr="0016276A">
        <w:t xml:space="preserve"> was not likely to </w:t>
      </w:r>
      <w:r w:rsidR="00E92D64" w:rsidRPr="0016276A">
        <w:t>make coordinated effects</w:t>
      </w:r>
      <w:r w:rsidR="00FD1378" w:rsidRPr="0016276A">
        <w:t xml:space="preserve"> substantially</w:t>
      </w:r>
      <w:r w:rsidR="00E92D64" w:rsidRPr="0016276A">
        <w:t xml:space="preserve"> more likely</w:t>
      </w:r>
      <w:r w:rsidR="00FD1378" w:rsidRPr="0016276A">
        <w:t xml:space="preserve"> or effective</w:t>
      </w:r>
      <w:r w:rsidR="00E92D64" w:rsidRPr="0016276A">
        <w:t xml:space="preserve">, </w:t>
      </w:r>
      <w:r w:rsidR="00F73E54" w:rsidRPr="0016276A">
        <w:t xml:space="preserve">despite the </w:t>
      </w:r>
      <w:r w:rsidR="008E018C" w:rsidRPr="0016276A">
        <w:t>increas</w:t>
      </w:r>
      <w:r w:rsidR="007665B5" w:rsidRPr="0016276A">
        <w:t>ed</w:t>
      </w:r>
      <w:r w:rsidR="008E018C" w:rsidRPr="0016276A">
        <w:t xml:space="preserve"> </w:t>
      </w:r>
      <w:r w:rsidR="00F73E54" w:rsidRPr="0016276A">
        <w:t xml:space="preserve">size of Peregrine. In reaching this conclusion, the ACCC took </w:t>
      </w:r>
      <w:r w:rsidR="001117FF" w:rsidRPr="0016276A">
        <w:t xml:space="preserve">into account the totality of the relevant factors </w:t>
      </w:r>
      <w:r w:rsidR="00F07E76" w:rsidRPr="0016276A">
        <w:t>applying in this particular case</w:t>
      </w:r>
      <w:r w:rsidR="00CD2E27" w:rsidRPr="0016276A">
        <w:t>, including</w:t>
      </w:r>
      <w:r w:rsidR="00F07E76" w:rsidRPr="0016276A">
        <w:t xml:space="preserve"> the following</w:t>
      </w:r>
      <w:r w:rsidR="001117FF" w:rsidRPr="0016276A">
        <w:t>:</w:t>
      </w:r>
      <w:bookmarkEnd w:id="38"/>
    </w:p>
    <w:p w:rsidR="005A1D2E" w:rsidRPr="0016276A" w:rsidRDefault="009C542B" w:rsidP="0068571F">
      <w:pPr>
        <w:pStyle w:val="ABCList"/>
        <w:numPr>
          <w:ilvl w:val="0"/>
          <w:numId w:val="26"/>
        </w:numPr>
      </w:pPr>
      <w:r w:rsidRPr="0016276A">
        <w:t xml:space="preserve">Prior to the Acquisition BP was only the fifth largest </w:t>
      </w:r>
      <w:r w:rsidR="00CB57A2" w:rsidRPr="0016276A">
        <w:t xml:space="preserve">petrol </w:t>
      </w:r>
      <w:r w:rsidRPr="0016276A">
        <w:t xml:space="preserve">retailer in Adelaide by number of sites, and </w:t>
      </w:r>
      <w:r w:rsidR="0069267E" w:rsidRPr="0016276A">
        <w:t>the sites being acquired by Peregrine as part of the Acquisition only amount to approximately 7</w:t>
      </w:r>
      <w:r w:rsidR="0083320B" w:rsidRPr="0016276A">
        <w:t> per cent</w:t>
      </w:r>
      <w:r w:rsidR="0069267E" w:rsidRPr="0016276A">
        <w:t xml:space="preserve"> of the total sites in the Adelaide market</w:t>
      </w:r>
      <w:r w:rsidR="005F30D2" w:rsidRPr="0016276A">
        <w:t>.</w:t>
      </w:r>
    </w:p>
    <w:p w:rsidR="0069267E" w:rsidRPr="0016276A" w:rsidRDefault="005F5DA2" w:rsidP="0068571F">
      <w:pPr>
        <w:pStyle w:val="ABCList"/>
        <w:numPr>
          <w:ilvl w:val="0"/>
          <w:numId w:val="26"/>
        </w:numPr>
      </w:pPr>
      <w:bookmarkStart w:id="39" w:name="_Ref380588792"/>
      <w:bookmarkStart w:id="40" w:name="_Ref387332682"/>
      <w:r w:rsidRPr="0016276A">
        <w:t>F</w:t>
      </w:r>
      <w:r w:rsidR="00996F92" w:rsidRPr="0016276A">
        <w:t>ollowing the Acquisition</w:t>
      </w:r>
      <w:r w:rsidR="0046054D" w:rsidRPr="0016276A">
        <w:t xml:space="preserve">, a number of multi-site </w:t>
      </w:r>
      <w:r w:rsidR="00644670" w:rsidRPr="0016276A">
        <w:t xml:space="preserve">operators </w:t>
      </w:r>
      <w:r w:rsidR="0046054D" w:rsidRPr="0016276A">
        <w:t>would compete with Peregr</w:t>
      </w:r>
      <w:r w:rsidR="00240D51" w:rsidRPr="0016276A">
        <w:t xml:space="preserve">ine, including </w:t>
      </w:r>
      <w:r w:rsidR="005F30D2" w:rsidRPr="0016276A">
        <w:t xml:space="preserve">Coles Express, Caltex/Woolworths, </w:t>
      </w:r>
      <w:r w:rsidR="0046054D" w:rsidRPr="0016276A">
        <w:t>Caltex, and four independent chains – Agostino, Nemer, United and Andrash. Despite their smaller size, some of these independents have historically had more aggressive pricing than BP</w:t>
      </w:r>
      <w:bookmarkEnd w:id="39"/>
      <w:r w:rsidR="005F30D2" w:rsidRPr="0016276A">
        <w:t>.</w:t>
      </w:r>
      <w:bookmarkEnd w:id="40"/>
    </w:p>
    <w:p w:rsidR="001117FF" w:rsidRPr="0016276A" w:rsidRDefault="00476C15" w:rsidP="0068571F">
      <w:pPr>
        <w:pStyle w:val="ABCList"/>
        <w:numPr>
          <w:ilvl w:val="0"/>
          <w:numId w:val="26"/>
        </w:numPr>
      </w:pPr>
      <w:bookmarkStart w:id="41" w:name="_Ref387332686"/>
      <w:r w:rsidRPr="0016276A">
        <w:lastRenderedPageBreak/>
        <w:t xml:space="preserve">While </w:t>
      </w:r>
      <w:r w:rsidR="00FB720F" w:rsidRPr="0016276A">
        <w:t xml:space="preserve">Peregrine has </w:t>
      </w:r>
      <w:r w:rsidRPr="0016276A">
        <w:t xml:space="preserve">previously </w:t>
      </w:r>
      <w:r w:rsidR="002D0497" w:rsidRPr="0016276A">
        <w:t xml:space="preserve">demonstrated </w:t>
      </w:r>
      <w:r w:rsidR="00FB720F" w:rsidRPr="0016276A">
        <w:t>an ability to lead the price restoration phase</w:t>
      </w:r>
      <w:r w:rsidR="002D0497" w:rsidRPr="0016276A">
        <w:t xml:space="preserve"> of the petrol price cycle, </w:t>
      </w:r>
      <w:r w:rsidRPr="0016276A">
        <w:t>the Acquisition</w:t>
      </w:r>
      <w:r w:rsidRPr="0016276A" w:rsidDel="00476C15">
        <w:t xml:space="preserve"> </w:t>
      </w:r>
      <w:r w:rsidR="0083320B" w:rsidRPr="0016276A">
        <w:t xml:space="preserve">would </w:t>
      </w:r>
      <w:r w:rsidRPr="0016276A">
        <w:t>be unlikely to enhance</w:t>
      </w:r>
      <w:r w:rsidR="005F30D2" w:rsidRPr="0016276A">
        <w:t xml:space="preserve"> </w:t>
      </w:r>
      <w:r w:rsidRPr="0016276A">
        <w:t>this ability substantially</w:t>
      </w:r>
      <w:r w:rsidR="005F30D2" w:rsidRPr="0016276A">
        <w:t>.</w:t>
      </w:r>
      <w:bookmarkEnd w:id="41"/>
      <w:r w:rsidRPr="0016276A">
        <w:t xml:space="preserve"> </w:t>
      </w:r>
    </w:p>
    <w:p w:rsidR="00984794" w:rsidRPr="0016276A" w:rsidRDefault="005F5DA2" w:rsidP="0068571F">
      <w:pPr>
        <w:pStyle w:val="ABCList"/>
        <w:numPr>
          <w:ilvl w:val="0"/>
          <w:numId w:val="26"/>
        </w:numPr>
      </w:pPr>
      <w:bookmarkStart w:id="42" w:name="_Ref395174010"/>
      <w:r w:rsidRPr="0016276A">
        <w:t>A</w:t>
      </w:r>
      <w:r w:rsidR="00984794" w:rsidRPr="0016276A">
        <w:t xml:space="preserve">s described above at </w:t>
      </w:r>
      <w:r w:rsidR="00EA7521" w:rsidRPr="0016276A">
        <w:t xml:space="preserve">paragraph </w:t>
      </w:r>
      <w:r w:rsidR="00C54435" w:rsidRPr="0016276A">
        <w:fldChar w:fldCharType="begin"/>
      </w:r>
      <w:r w:rsidR="00C54435" w:rsidRPr="0016276A">
        <w:instrText xml:space="preserve"> REF _Ref380684812 \r \h  \* MERGEFORMAT </w:instrText>
      </w:r>
      <w:r w:rsidR="00C54435" w:rsidRPr="0016276A">
        <w:fldChar w:fldCharType="separate"/>
      </w:r>
      <w:r w:rsidR="00F126FE">
        <w:t>88</w:t>
      </w:r>
      <w:r w:rsidR="00C54435" w:rsidRPr="0016276A">
        <w:fldChar w:fldCharType="end"/>
      </w:r>
      <w:r w:rsidR="00984794" w:rsidRPr="0016276A">
        <w:t xml:space="preserve">, BP has historically tended to lead attempted price restorations, or quickly follow another operator’s attempted restorations. </w:t>
      </w:r>
      <w:r w:rsidR="00646D88" w:rsidRPr="0016276A">
        <w:t xml:space="preserve">As noted above at paragraph </w:t>
      </w:r>
      <w:r w:rsidR="00646D88" w:rsidRPr="0016276A">
        <w:fldChar w:fldCharType="begin"/>
      </w:r>
      <w:r w:rsidR="00646D88" w:rsidRPr="0016276A">
        <w:instrText xml:space="preserve"> REF _Ref391031027 \r \h </w:instrText>
      </w:r>
      <w:r w:rsidR="0016276A">
        <w:instrText xml:space="preserve"> \* MERGEFORMAT </w:instrText>
      </w:r>
      <w:r w:rsidR="00646D88" w:rsidRPr="0016276A">
        <w:fldChar w:fldCharType="separate"/>
      </w:r>
      <w:r w:rsidR="00F126FE">
        <w:t>91</w:t>
      </w:r>
      <w:r w:rsidR="00646D88" w:rsidRPr="0016276A">
        <w:fldChar w:fldCharType="end"/>
      </w:r>
      <w:r w:rsidR="00646D88" w:rsidRPr="0016276A">
        <w:t xml:space="preserve">, the ACCC did not accept that past behaviour was necessarily indicative of how BP would behave in the absence of the Acquisition. </w:t>
      </w:r>
      <w:r w:rsidR="00901C39" w:rsidRPr="0016276A">
        <w:t>For this reason, t</w:t>
      </w:r>
      <w:r w:rsidR="006D6831" w:rsidRPr="0016276A">
        <w:t>he ACCC also consider</w:t>
      </w:r>
      <w:r w:rsidR="00901C39" w:rsidRPr="0016276A">
        <w:t>ed</w:t>
      </w:r>
      <w:r w:rsidR="006D6831" w:rsidRPr="0016276A">
        <w:t xml:space="preserve"> </w:t>
      </w:r>
      <w:r w:rsidR="00F3787C" w:rsidRPr="0016276A">
        <w:t xml:space="preserve">whether </w:t>
      </w:r>
      <w:r w:rsidR="006D6831" w:rsidRPr="0016276A">
        <w:t xml:space="preserve">BP’s behaviour may change in the future in the absence of the Acquisition. </w:t>
      </w:r>
      <w:r w:rsidR="001E1667" w:rsidRPr="0016276A">
        <w:t xml:space="preserve">However, in this case the ACCC concluded that it was unlikely that </w:t>
      </w:r>
      <w:r w:rsidR="008E018C" w:rsidRPr="0016276A">
        <w:t>BP would be transformed into an operator that was likely to disrupt co-ordination sufficiently to lead to failed restorations, or limit the magnitude of a successful restoration</w:t>
      </w:r>
      <w:r w:rsidR="001E1667" w:rsidRPr="0016276A">
        <w:t>, in the absence of the Acquisition</w:t>
      </w:r>
      <w:r w:rsidR="008E018C" w:rsidRPr="0016276A">
        <w:t>.</w:t>
      </w:r>
      <w:bookmarkEnd w:id="42"/>
      <w:r w:rsidR="008E018C" w:rsidRPr="0016276A">
        <w:t xml:space="preserve"> </w:t>
      </w:r>
    </w:p>
    <w:p w:rsidR="002D0497" w:rsidRPr="0016276A" w:rsidRDefault="002D0497" w:rsidP="00BB38AA">
      <w:pPr>
        <w:pStyle w:val="Heading5"/>
        <w:keepNext/>
      </w:pPr>
      <w:r w:rsidRPr="0016276A">
        <w:t>Unilateral effects</w:t>
      </w:r>
    </w:p>
    <w:p w:rsidR="00DD02FB" w:rsidRPr="0016276A" w:rsidRDefault="00DB3710" w:rsidP="00CC0B2E">
      <w:pPr>
        <w:pStyle w:val="NormalParagraph"/>
        <w:ind w:hanging="502"/>
      </w:pPr>
      <w:r w:rsidRPr="0016276A">
        <w:t xml:space="preserve">The ACCC considered whether the Acquisition would have the potential to result in a substantial lessening of competition </w:t>
      </w:r>
      <w:r w:rsidR="00013537" w:rsidRPr="0016276A">
        <w:t xml:space="preserve">in the Adelaide market </w:t>
      </w:r>
      <w:r w:rsidR="002D5320" w:rsidRPr="0016276A">
        <w:t>as a result of</w:t>
      </w:r>
      <w:r w:rsidRPr="0016276A">
        <w:t xml:space="preserve"> unilateral effects. Mergers have unilateral effects when they remove or weaken competitive constraints in such a way that the merged firm’s unilateral market power is increased. That is, the ACCC considered</w:t>
      </w:r>
      <w:r w:rsidR="00DD02FB" w:rsidRPr="0016276A">
        <w:t xml:space="preserve"> whether</w:t>
      </w:r>
      <w:r w:rsidR="004D619F" w:rsidRPr="0016276A">
        <w:t xml:space="preserve">, as a result of the Acquisition, Peregrine would have found it profitable to raise prices </w:t>
      </w:r>
      <w:r w:rsidR="00B02853" w:rsidRPr="0016276A">
        <w:t xml:space="preserve">or reduce service levels </w:t>
      </w:r>
      <w:r w:rsidR="004D619F" w:rsidRPr="0016276A">
        <w:t>across Adelaide,</w:t>
      </w:r>
      <w:r w:rsidRPr="0016276A">
        <w:t xml:space="preserve"> even given the expected competitive response of other market participants to </w:t>
      </w:r>
      <w:r w:rsidR="00FD2C65" w:rsidRPr="0016276A">
        <w:t>such a price increase</w:t>
      </w:r>
      <w:r w:rsidRPr="0016276A">
        <w:t>.</w:t>
      </w:r>
    </w:p>
    <w:p w:rsidR="00FE13B5" w:rsidRPr="0016276A" w:rsidRDefault="00DB3710" w:rsidP="00CC0B2E">
      <w:pPr>
        <w:pStyle w:val="NormalParagraph"/>
        <w:ind w:hanging="502"/>
      </w:pPr>
      <w:r w:rsidRPr="0016276A">
        <w:t>T</w:t>
      </w:r>
      <w:r w:rsidR="00FE13B5" w:rsidRPr="0016276A">
        <w:t xml:space="preserve">he ACCC concluded that the Acquisition would not have the effect, or be likely to have the effect, of substantially lessening competition in the Adelaide market </w:t>
      </w:r>
      <w:r w:rsidR="00B02853" w:rsidRPr="0016276A">
        <w:t>on the basis of</w:t>
      </w:r>
      <w:r w:rsidR="00FE13B5" w:rsidRPr="0016276A">
        <w:t xml:space="preserve"> unilateral effects. </w:t>
      </w:r>
      <w:r w:rsidRPr="0016276A">
        <w:t>In reaching this conclusion, the ACCC had particular regard to the continued existence of a number of other significant retail chains in Adelaide following the Acquisition</w:t>
      </w:r>
      <w:r w:rsidR="000555B5" w:rsidRPr="0016276A">
        <w:t xml:space="preserve"> </w:t>
      </w:r>
      <w:r w:rsidR="0083320B" w:rsidRPr="0016276A">
        <w:t xml:space="preserve">along with the other factors </w:t>
      </w:r>
      <w:r w:rsidR="000555B5" w:rsidRPr="0016276A">
        <w:t>outlined above at</w:t>
      </w:r>
      <w:r w:rsidR="00A60F72" w:rsidRPr="0016276A">
        <w:t xml:space="preserve"> paragraph</w:t>
      </w:r>
      <w:r w:rsidR="000555B5" w:rsidRPr="0016276A">
        <w:t xml:space="preserve"> </w:t>
      </w:r>
      <w:r w:rsidR="000555B5" w:rsidRPr="0016276A">
        <w:fldChar w:fldCharType="begin"/>
      </w:r>
      <w:r w:rsidR="000555B5" w:rsidRPr="0016276A">
        <w:instrText xml:space="preserve"> REF _Ref380588775 \r \h </w:instrText>
      </w:r>
      <w:r w:rsidR="0016276A">
        <w:instrText xml:space="preserve"> \* MERGEFORMAT </w:instrText>
      </w:r>
      <w:r w:rsidR="000555B5" w:rsidRPr="0016276A">
        <w:fldChar w:fldCharType="separate"/>
      </w:r>
      <w:r w:rsidR="00F126FE">
        <w:t>145</w:t>
      </w:r>
      <w:r w:rsidR="000555B5" w:rsidRPr="0016276A">
        <w:fldChar w:fldCharType="end"/>
      </w:r>
      <w:r w:rsidRPr="0016276A">
        <w:t>, which the ACCC considered would be sufficient to constrain any unilateral attempt by Peregrine to raise prices across Adelaide</w:t>
      </w:r>
      <w:r w:rsidR="000555B5" w:rsidRPr="0016276A">
        <w:t>.</w:t>
      </w:r>
      <w:r w:rsidR="00FD3D74" w:rsidRPr="0016276A">
        <w:t xml:space="preserve"> </w:t>
      </w:r>
    </w:p>
    <w:p w:rsidR="00453E06" w:rsidRPr="0016276A" w:rsidRDefault="00453E06" w:rsidP="00453E06">
      <w:pPr>
        <w:pStyle w:val="Heading3"/>
      </w:pPr>
      <w:r w:rsidRPr="0016276A">
        <w:t>Competition analysis: Caltex Fullarton</w:t>
      </w:r>
    </w:p>
    <w:p w:rsidR="00EF3C6C" w:rsidRPr="0016276A" w:rsidRDefault="00BB17E6" w:rsidP="00CC0B2E">
      <w:pPr>
        <w:pStyle w:val="NormalParagraph"/>
        <w:ind w:hanging="502"/>
      </w:pPr>
      <w:bookmarkStart w:id="43" w:name="_Ref387662973"/>
      <w:r w:rsidRPr="0016276A">
        <w:t>Consistent with its consideration of the Acquisition, the ACCC</w:t>
      </w:r>
      <w:r w:rsidR="005725E2" w:rsidRPr="0016276A">
        <w:t xml:space="preserve"> </w:t>
      </w:r>
      <w:r w:rsidRPr="0016276A">
        <w:t>considered the com</w:t>
      </w:r>
      <w:r w:rsidR="00DD27C4" w:rsidRPr="0016276A">
        <w:t>petitive effect of the</w:t>
      </w:r>
      <w:r w:rsidRPr="0016276A">
        <w:t xml:space="preserve"> Fullarton </w:t>
      </w:r>
      <w:r w:rsidR="004B1FA4" w:rsidRPr="0016276A">
        <w:t xml:space="preserve">Acquisition </w:t>
      </w:r>
      <w:r w:rsidRPr="0016276A">
        <w:t xml:space="preserve">in </w:t>
      </w:r>
      <w:r w:rsidR="00222660" w:rsidRPr="0016276A">
        <w:t xml:space="preserve">the Adelaide market and </w:t>
      </w:r>
      <w:r w:rsidR="00DE3B94" w:rsidRPr="0016276A">
        <w:t>the</w:t>
      </w:r>
      <w:r w:rsidRPr="0016276A">
        <w:t xml:space="preserve"> local market surrounding Caltex Fullarton. </w:t>
      </w:r>
    </w:p>
    <w:p w:rsidR="00DD27C4" w:rsidRPr="0016276A" w:rsidRDefault="00617EA2" w:rsidP="00CC0B2E">
      <w:pPr>
        <w:pStyle w:val="NormalParagraph"/>
        <w:ind w:hanging="502"/>
      </w:pPr>
      <w:r w:rsidRPr="0016276A">
        <w:t>While t</w:t>
      </w:r>
      <w:r w:rsidR="00F07E76" w:rsidRPr="0016276A">
        <w:t xml:space="preserve">he ACCC did not consider that the acquisition of </w:t>
      </w:r>
      <w:r w:rsidR="00557A9A" w:rsidRPr="0016276A">
        <w:t>this</w:t>
      </w:r>
      <w:r w:rsidR="00F07E76" w:rsidRPr="0016276A">
        <w:t xml:space="preserve"> </w:t>
      </w:r>
      <w:r w:rsidR="004C7268" w:rsidRPr="0016276A">
        <w:t xml:space="preserve">single </w:t>
      </w:r>
      <w:r w:rsidR="00F07E76" w:rsidRPr="0016276A">
        <w:t xml:space="preserve">site would have </w:t>
      </w:r>
      <w:r w:rsidR="00557A9A" w:rsidRPr="0016276A">
        <w:t xml:space="preserve">the effect, or be likely to have the effect, of substantially lessening competition </w:t>
      </w:r>
      <w:r w:rsidR="00F07E76" w:rsidRPr="0016276A">
        <w:t>in the Adelaide market</w:t>
      </w:r>
      <w:r w:rsidRPr="0016276A">
        <w:t xml:space="preserve">, it concluded that the acquisition of Caltex Fullerton would be likely to substantially lessen competition in </w:t>
      </w:r>
      <w:r w:rsidR="00771572" w:rsidRPr="0016276A">
        <w:t xml:space="preserve">the </w:t>
      </w:r>
      <w:r w:rsidRPr="0016276A">
        <w:t>local market</w:t>
      </w:r>
      <w:r w:rsidR="00771572" w:rsidRPr="0016276A">
        <w:t xml:space="preserve"> relevant to that site</w:t>
      </w:r>
      <w:r w:rsidR="00F07E76" w:rsidRPr="0016276A">
        <w:t>.</w:t>
      </w:r>
      <w:bookmarkEnd w:id="43"/>
      <w:r w:rsidRPr="0016276A">
        <w:t xml:space="preserve"> On that basis, the ACCC opposed the </w:t>
      </w:r>
      <w:r w:rsidR="004C7268" w:rsidRPr="0016276A">
        <w:t>Fullarton Acquisition</w:t>
      </w:r>
      <w:r w:rsidRPr="0016276A">
        <w:t>.</w:t>
      </w:r>
    </w:p>
    <w:p w:rsidR="00005349" w:rsidRPr="0016276A" w:rsidRDefault="00005349" w:rsidP="00005349">
      <w:pPr>
        <w:pStyle w:val="Heading4"/>
      </w:pPr>
      <w:r w:rsidRPr="0016276A">
        <w:t>Impact of the Acquisition on the local market</w:t>
      </w:r>
    </w:p>
    <w:p w:rsidR="00145334" w:rsidRPr="0016276A" w:rsidRDefault="00145334" w:rsidP="00CC0B2E">
      <w:pPr>
        <w:pStyle w:val="NormalParagraph"/>
        <w:ind w:hanging="502"/>
      </w:pPr>
      <w:r w:rsidRPr="0016276A">
        <w:t>Caltex Fullarton is located approximately four kilometres to the southeast of the CBD. It is on the eastern (southbound) side of Fullarton Road (which runs north to south) on the corner of Fisher Street. Fullarton Road is a main local road, with two lanes of traffic in each direction.</w:t>
      </w:r>
    </w:p>
    <w:p w:rsidR="00145334" w:rsidRPr="0016276A" w:rsidRDefault="00145334" w:rsidP="00CC0B2E">
      <w:pPr>
        <w:pStyle w:val="NormalParagraph"/>
        <w:ind w:hanging="502"/>
      </w:pPr>
      <w:r w:rsidRPr="0016276A">
        <w:t>The geographically closest retail petrol station to Caltex Fullarton is BP Glenunga</w:t>
      </w:r>
      <w:r w:rsidR="00E92D64" w:rsidRPr="0016276A">
        <w:t xml:space="preserve"> which</w:t>
      </w:r>
      <w:r w:rsidRPr="0016276A">
        <w:t xml:space="preserve"> Peregrine propose</w:t>
      </w:r>
      <w:r w:rsidR="00A76F56" w:rsidRPr="0016276A">
        <w:t>d</w:t>
      </w:r>
      <w:r w:rsidRPr="0016276A">
        <w:t xml:space="preserve"> to acquire as part of the Acquisition.</w:t>
      </w:r>
    </w:p>
    <w:p w:rsidR="00145334" w:rsidRPr="0016276A" w:rsidRDefault="00145334" w:rsidP="00CC0B2E">
      <w:pPr>
        <w:pStyle w:val="NormalParagraph"/>
        <w:ind w:hanging="502"/>
      </w:pPr>
      <w:r w:rsidRPr="0016276A">
        <w:lastRenderedPageBreak/>
        <w:fldChar w:fldCharType="begin"/>
      </w:r>
      <w:r w:rsidRPr="0016276A">
        <w:instrText xml:space="preserve"> REF _Ref387335900 \h </w:instrText>
      </w:r>
      <w:r w:rsidR="002756C4" w:rsidRPr="0016276A">
        <w:instrText xml:space="preserve"> \* MERGEFORMAT </w:instrText>
      </w:r>
      <w:r w:rsidRPr="0016276A">
        <w:fldChar w:fldCharType="separate"/>
      </w:r>
      <w:r w:rsidR="00F126FE" w:rsidRPr="0016276A">
        <w:t xml:space="preserve">Figure </w:t>
      </w:r>
      <w:r w:rsidR="00F126FE">
        <w:rPr>
          <w:noProof/>
        </w:rPr>
        <w:t>6</w:t>
      </w:r>
      <w:r w:rsidRPr="0016276A">
        <w:fldChar w:fldCharType="end"/>
      </w:r>
      <w:r w:rsidRPr="0016276A">
        <w:t xml:space="preserve"> below contains a map showing Caltex Fullarton and its surrounding area.</w:t>
      </w:r>
    </w:p>
    <w:p w:rsidR="00145334" w:rsidRPr="0016276A" w:rsidRDefault="00145334" w:rsidP="00D46108">
      <w:pPr>
        <w:pStyle w:val="Caption"/>
        <w:spacing w:after="0"/>
      </w:pPr>
      <w:bookmarkStart w:id="44" w:name="_Ref387335900"/>
      <w:r w:rsidRPr="0016276A">
        <w:t xml:space="preserve">Figure </w:t>
      </w:r>
      <w:r w:rsidR="00F126FE">
        <w:fldChar w:fldCharType="begin"/>
      </w:r>
      <w:r w:rsidR="00F126FE">
        <w:instrText xml:space="preserve"> SEQ Figure \* ARABIC </w:instrText>
      </w:r>
      <w:r w:rsidR="00F126FE">
        <w:fldChar w:fldCharType="separate"/>
      </w:r>
      <w:r w:rsidR="00F126FE">
        <w:rPr>
          <w:noProof/>
        </w:rPr>
        <w:t>6</w:t>
      </w:r>
      <w:r w:rsidR="00F126FE">
        <w:rPr>
          <w:noProof/>
        </w:rPr>
        <w:fldChar w:fldCharType="end"/>
      </w:r>
      <w:bookmarkEnd w:id="44"/>
      <w:r w:rsidRPr="0016276A">
        <w:t>: Map of area surrounding Caltex Fullarton</w:t>
      </w:r>
    </w:p>
    <w:p w:rsidR="00145334" w:rsidRPr="0016276A" w:rsidRDefault="00F126FE" w:rsidP="007A4767">
      <w:pPr>
        <w:pStyle w:val="NormalParagraph"/>
        <w:numPr>
          <w:ilvl w:val="0"/>
          <w:numId w:val="0"/>
        </w:numPr>
        <w:ind w:left="360"/>
      </w:pPr>
      <w:r>
        <w:rPr>
          <w:rFonts w:cs="Arial"/>
          <w:noProof/>
        </w:rPr>
        <w:pict>
          <v:shape id="_x0000_i1031" type="#_x0000_t75" style="width:427.3pt;height:609.65pt">
            <v:imagedata r:id="rId15" o:title="CF" croptop="3175f" cropbottom="4069f" cropleft="1701f" cropright="2687f"/>
          </v:shape>
        </w:pict>
      </w:r>
    </w:p>
    <w:p w:rsidR="00145334" w:rsidRPr="0016276A" w:rsidRDefault="00145334" w:rsidP="00CC0B2E">
      <w:pPr>
        <w:pStyle w:val="NormalParagraph"/>
        <w:ind w:hanging="502"/>
      </w:pPr>
      <w:bookmarkStart w:id="45" w:name="_Ref387400169"/>
      <w:r w:rsidRPr="0016276A">
        <w:t xml:space="preserve">Based on its market inquiries and other information available to it (including </w:t>
      </w:r>
      <w:r w:rsidR="007379DD" w:rsidRPr="0016276A">
        <w:t xml:space="preserve">information about the competitive reactions of local sites to each other’s pricing </w:t>
      </w:r>
      <w:r w:rsidR="007379DD" w:rsidRPr="0016276A">
        <w:lastRenderedPageBreak/>
        <w:t xml:space="preserve">behaviour and </w:t>
      </w:r>
      <w:r w:rsidRPr="0016276A">
        <w:t>submissions made by Peregrine to the ACCC about the competitive impact of the Acquisition), the ACCC concluded that:</w:t>
      </w:r>
      <w:bookmarkEnd w:id="45"/>
    </w:p>
    <w:p w:rsidR="00145334" w:rsidRPr="0016276A" w:rsidRDefault="00145334" w:rsidP="00145334">
      <w:pPr>
        <w:pStyle w:val="ABCList"/>
        <w:numPr>
          <w:ilvl w:val="0"/>
          <w:numId w:val="38"/>
        </w:numPr>
      </w:pPr>
      <w:r w:rsidRPr="0016276A">
        <w:t>BP Glenunga and Caltex Fullarton are close competitors to each other.</w:t>
      </w:r>
    </w:p>
    <w:p w:rsidR="00145334" w:rsidRPr="0016276A" w:rsidRDefault="00145334" w:rsidP="00145334">
      <w:pPr>
        <w:pStyle w:val="ABCList"/>
      </w:pPr>
      <w:r w:rsidRPr="0016276A">
        <w:t xml:space="preserve">Two other nearby sites – OTR Glen Osmond and Liberty Glenunga </w:t>
      </w:r>
      <w:r w:rsidR="007379DD" w:rsidRPr="0016276A">
        <w:t xml:space="preserve">(each of which are in prominent locations on nearby main roads) </w:t>
      </w:r>
      <w:r w:rsidRPr="0016276A">
        <w:t xml:space="preserve">- are also close competitors to BP Glenunga and Caltex Fullarton, especially for local traffic. </w:t>
      </w:r>
    </w:p>
    <w:p w:rsidR="00145334" w:rsidRPr="0016276A" w:rsidRDefault="00145334" w:rsidP="00CC0B2E">
      <w:pPr>
        <w:pStyle w:val="NormalParagraph"/>
        <w:ind w:hanging="502"/>
      </w:pPr>
      <w:r w:rsidRPr="0016276A">
        <w:t>The ACCC considered that Peregrine’s proposed acquisition of Caltex Fullarton, when considered in light of its acquisition of BP Glenunga as part of the</w:t>
      </w:r>
      <w:r w:rsidR="00345A6E" w:rsidRPr="0016276A">
        <w:t xml:space="preserve"> original</w:t>
      </w:r>
      <w:r w:rsidRPr="0016276A">
        <w:t xml:space="preserve"> Acquisition, would </w:t>
      </w:r>
      <w:r w:rsidR="00E92D64" w:rsidRPr="0016276A">
        <w:t xml:space="preserve">result in </w:t>
      </w:r>
      <w:r w:rsidRPr="0016276A">
        <w:t>Peregrine</w:t>
      </w:r>
      <w:r w:rsidR="004B57B2" w:rsidRPr="0016276A">
        <w:t xml:space="preserve"> </w:t>
      </w:r>
      <w:r w:rsidRPr="0016276A">
        <w:t>operat</w:t>
      </w:r>
      <w:r w:rsidR="00E92D64" w:rsidRPr="0016276A">
        <w:t>ing</w:t>
      </w:r>
      <w:r w:rsidRPr="0016276A">
        <w:t xml:space="preserve"> three out of four retail petrol station sites which would otherwise be each other’s closest competitors.</w:t>
      </w:r>
    </w:p>
    <w:p w:rsidR="00145334" w:rsidRPr="0016276A" w:rsidRDefault="00145334" w:rsidP="00F40EEB">
      <w:pPr>
        <w:pStyle w:val="NormalParagraph"/>
        <w:ind w:hanging="502"/>
      </w:pPr>
      <w:r w:rsidRPr="0016276A">
        <w:t>Peregrine</w:t>
      </w:r>
      <w:r w:rsidR="00A669FB" w:rsidRPr="0016276A">
        <w:t xml:space="preserve"> also</w:t>
      </w:r>
      <w:r w:rsidRPr="0016276A">
        <w:t xml:space="preserve"> already has a significant presence in the broader area around Caltex Fullarton</w:t>
      </w:r>
      <w:r w:rsidR="0061414B" w:rsidRPr="0016276A">
        <w:t xml:space="preserve">. </w:t>
      </w:r>
      <w:r w:rsidRPr="0016276A">
        <w:t>The Fullarton</w:t>
      </w:r>
      <w:r w:rsidR="004B1FA4" w:rsidRPr="0016276A">
        <w:t xml:space="preserve"> Acquisition</w:t>
      </w:r>
      <w:r w:rsidRPr="0016276A">
        <w:t>, when considered together with the acquisition of nearby BP sites as part of the Acquisition, would give Peregrine seven out of 13 sites within a 3km radius of Caltex Fullarton, and 17 out of 35 sites within a 5km radius.</w:t>
      </w:r>
    </w:p>
    <w:p w:rsidR="00145334" w:rsidRPr="0016276A" w:rsidRDefault="00145334" w:rsidP="00CC0B2E">
      <w:pPr>
        <w:pStyle w:val="NormalParagraph"/>
        <w:ind w:hanging="502"/>
      </w:pPr>
      <w:bookmarkStart w:id="46" w:name="_Ref387400545"/>
      <w:r w:rsidRPr="0016276A">
        <w:t xml:space="preserve">In addition to Liberty Glenunga, the ACCC noted the presence of other more geographically distant competitors such as Coles Express Rose Park, Caltex/Woolworths Hackney and Caltex Adelaide (Hutt St), each to the north of Caltex Fullarton. However, the ACCC considered that these more geographically distant sites </w:t>
      </w:r>
      <w:r w:rsidR="00F07E76" w:rsidRPr="0016276A">
        <w:t xml:space="preserve">were </w:t>
      </w:r>
      <w:r w:rsidRPr="0016276A">
        <w:t xml:space="preserve">not as close competitors to the sites discussed above at paragraph </w:t>
      </w:r>
      <w:r w:rsidRPr="0016276A">
        <w:fldChar w:fldCharType="begin"/>
      </w:r>
      <w:r w:rsidRPr="0016276A">
        <w:instrText xml:space="preserve"> REF _Ref387400169 \r \h </w:instrText>
      </w:r>
      <w:r w:rsidR="002756C4" w:rsidRPr="0016276A">
        <w:instrText xml:space="preserve"> \* MERGEFORMAT </w:instrText>
      </w:r>
      <w:r w:rsidRPr="0016276A">
        <w:fldChar w:fldCharType="separate"/>
      </w:r>
      <w:r w:rsidR="00F126FE">
        <w:t>153</w:t>
      </w:r>
      <w:r w:rsidRPr="0016276A">
        <w:fldChar w:fldCharType="end"/>
      </w:r>
      <w:r w:rsidRPr="0016276A">
        <w:t xml:space="preserve"> as those sites are to each other.</w:t>
      </w:r>
      <w:bookmarkEnd w:id="46"/>
      <w:r w:rsidRPr="0016276A">
        <w:t xml:space="preserve"> </w:t>
      </w:r>
    </w:p>
    <w:p w:rsidR="00216803" w:rsidRPr="0016276A" w:rsidRDefault="00A669FB" w:rsidP="00CC0B2E">
      <w:pPr>
        <w:pStyle w:val="NormalParagraph"/>
        <w:ind w:hanging="502"/>
      </w:pPr>
      <w:r w:rsidRPr="0016276A">
        <w:t>Further</w:t>
      </w:r>
      <w:r w:rsidR="00216803" w:rsidRPr="0016276A">
        <w:t xml:space="preserve"> (and in contrast to the ACCC’s view on the effectiveness of BP as a competitor discussed above at paragraphs </w:t>
      </w:r>
      <w:r w:rsidR="00216803" w:rsidRPr="0016276A">
        <w:fldChar w:fldCharType="begin"/>
      </w:r>
      <w:r w:rsidR="00216803" w:rsidRPr="0016276A">
        <w:instrText xml:space="preserve"> REF _Ref395173977 \r \h </w:instrText>
      </w:r>
      <w:r w:rsidR="0016276A">
        <w:instrText xml:space="preserve"> \* MERGEFORMAT </w:instrText>
      </w:r>
      <w:r w:rsidR="00216803" w:rsidRPr="0016276A">
        <w:fldChar w:fldCharType="separate"/>
      </w:r>
      <w:r w:rsidR="00F126FE">
        <w:t>88</w:t>
      </w:r>
      <w:r w:rsidR="00216803" w:rsidRPr="0016276A">
        <w:fldChar w:fldCharType="end"/>
      </w:r>
      <w:r w:rsidR="00216803" w:rsidRPr="0016276A">
        <w:t xml:space="preserve"> and </w:t>
      </w:r>
      <w:r w:rsidR="00216803" w:rsidRPr="0016276A">
        <w:fldChar w:fldCharType="begin"/>
      </w:r>
      <w:r w:rsidR="00216803" w:rsidRPr="0016276A">
        <w:instrText xml:space="preserve"> REF _Ref380588775 \r \h </w:instrText>
      </w:r>
      <w:r w:rsidR="0016276A">
        <w:instrText xml:space="preserve"> \* MERGEFORMAT </w:instrText>
      </w:r>
      <w:r w:rsidR="00216803" w:rsidRPr="0016276A">
        <w:fldChar w:fldCharType="separate"/>
      </w:r>
      <w:r w:rsidR="00F126FE">
        <w:t>145</w:t>
      </w:r>
      <w:r w:rsidR="00216803" w:rsidRPr="0016276A">
        <w:fldChar w:fldCharType="end"/>
      </w:r>
      <w:r w:rsidR="00216803" w:rsidRPr="0016276A">
        <w:t>(</w:t>
      </w:r>
      <w:r w:rsidR="00216803" w:rsidRPr="0016276A">
        <w:fldChar w:fldCharType="begin"/>
      </w:r>
      <w:r w:rsidR="00216803" w:rsidRPr="0016276A">
        <w:instrText xml:space="preserve"> REF _Ref395174010 \r \h </w:instrText>
      </w:r>
      <w:r w:rsidR="0016276A">
        <w:instrText xml:space="preserve"> \* MERGEFORMAT </w:instrText>
      </w:r>
      <w:r w:rsidR="00216803" w:rsidRPr="0016276A">
        <w:fldChar w:fldCharType="separate"/>
      </w:r>
      <w:r w:rsidR="00F126FE">
        <w:t>d</w:t>
      </w:r>
      <w:r w:rsidR="00216803" w:rsidRPr="0016276A">
        <w:fldChar w:fldCharType="end"/>
      </w:r>
      <w:r w:rsidR="00216803" w:rsidRPr="0016276A">
        <w:t>)), the ACCC considered that Caltex Fullarton was likely to be an effective competitor to the nearby Peregrine sites in the absence of the Fullarton Acquisition.</w:t>
      </w:r>
    </w:p>
    <w:p w:rsidR="00145334" w:rsidRPr="0016276A" w:rsidRDefault="00A669FB" w:rsidP="00CC0B2E">
      <w:pPr>
        <w:pStyle w:val="NormalParagraph"/>
        <w:ind w:hanging="502"/>
      </w:pPr>
      <w:bookmarkStart w:id="47" w:name="_Ref387400757"/>
      <w:r w:rsidRPr="0016276A">
        <w:t>For the reasons outlined above</w:t>
      </w:r>
      <w:r w:rsidR="00145334" w:rsidRPr="0016276A">
        <w:t>, the ACCC considered that</w:t>
      </w:r>
      <w:r w:rsidR="004B1FA4" w:rsidRPr="0016276A">
        <w:t xml:space="preserve"> the</w:t>
      </w:r>
      <w:r w:rsidR="00145334" w:rsidRPr="0016276A">
        <w:t xml:space="preserve"> Fullarton</w:t>
      </w:r>
      <w:r w:rsidR="004B1FA4" w:rsidRPr="0016276A">
        <w:t xml:space="preserve"> Acquisition</w:t>
      </w:r>
      <w:r w:rsidR="00145334" w:rsidRPr="0016276A">
        <w:t xml:space="preserve"> </w:t>
      </w:r>
      <w:r w:rsidR="00F07E76" w:rsidRPr="0016276A">
        <w:t>would have</w:t>
      </w:r>
      <w:r w:rsidR="00145334" w:rsidRPr="0016276A">
        <w:t xml:space="preserve"> the effect, or be likely to have the effect, of substantially lessening competition in the local market.</w:t>
      </w:r>
      <w:bookmarkEnd w:id="47"/>
    </w:p>
    <w:p w:rsidR="00145334" w:rsidRPr="0016276A" w:rsidRDefault="00145334" w:rsidP="00145334">
      <w:pPr>
        <w:pStyle w:val="Heading3"/>
      </w:pPr>
      <w:r w:rsidRPr="0016276A">
        <w:t>Conclusion</w:t>
      </w:r>
    </w:p>
    <w:p w:rsidR="00145334" w:rsidRPr="0016276A" w:rsidRDefault="00145334" w:rsidP="00CC0B2E">
      <w:pPr>
        <w:pStyle w:val="NormalParagraph"/>
        <w:ind w:hanging="502"/>
      </w:pPr>
      <w:r w:rsidRPr="0016276A">
        <w:t xml:space="preserve">On the basis of the above, including taking into account the undertaking </w:t>
      </w:r>
      <w:r w:rsidR="003850DD" w:rsidRPr="0016276A">
        <w:t xml:space="preserve">given </w:t>
      </w:r>
      <w:r w:rsidRPr="0016276A">
        <w:t xml:space="preserve">by Peregrine and accepted by the ACCC, the ACCC formed the view that the acquisition of </w:t>
      </w:r>
      <w:bookmarkStart w:id="48" w:name="Target4"/>
      <w:bookmarkEnd w:id="48"/>
      <w:r w:rsidRPr="0016276A">
        <w:t xml:space="preserve">25 BP Australia petrol retail sites in South Australia by </w:t>
      </w:r>
      <w:bookmarkStart w:id="49" w:name="Acquirer6"/>
      <w:bookmarkEnd w:id="49"/>
      <w:r w:rsidRPr="0016276A">
        <w:t>Peregrine Corporation would not have the effect or be likely to have the effect of substantially lessening of competition in any relevant market in contravention of section 50 of the Act.</w:t>
      </w:r>
    </w:p>
    <w:p w:rsidR="002D306C" w:rsidRPr="0016276A" w:rsidRDefault="002D306C" w:rsidP="002D306C">
      <w:pPr>
        <w:pStyle w:val="NormalParagraph"/>
        <w:ind w:hanging="502"/>
      </w:pPr>
      <w:r w:rsidRPr="0016276A">
        <w:t>However, Peregrine’s share of the Adelaide market has increased significantly as a result of the Acquisition and other recent acquisitions and site openings. Given the prominence of Peregrine in the Adelaide market, any further proposed acquisitions of petrol stations in Adelaide by Peregrine would be reviewed carefully by the ACCC.</w:t>
      </w:r>
    </w:p>
    <w:p w:rsidR="00DA7055" w:rsidRPr="0016276A" w:rsidRDefault="002D306C" w:rsidP="00CC0B2E">
      <w:pPr>
        <w:pStyle w:val="NormalParagraph"/>
        <w:ind w:hanging="502"/>
      </w:pPr>
      <w:r w:rsidRPr="0016276A">
        <w:t>F</w:t>
      </w:r>
      <w:r w:rsidR="00DA7055" w:rsidRPr="0016276A">
        <w:t xml:space="preserve">or the reasons outlined above at paragraphs </w:t>
      </w:r>
      <w:r w:rsidR="00145334" w:rsidRPr="0016276A">
        <w:fldChar w:fldCharType="begin"/>
      </w:r>
      <w:r w:rsidR="00145334" w:rsidRPr="0016276A">
        <w:instrText xml:space="preserve"> REF _Ref387400169 \r \h </w:instrText>
      </w:r>
      <w:r w:rsidR="00301273" w:rsidRPr="0016276A">
        <w:instrText xml:space="preserve"> \* MERGEFORMAT </w:instrText>
      </w:r>
      <w:r w:rsidR="00145334" w:rsidRPr="0016276A">
        <w:fldChar w:fldCharType="separate"/>
      </w:r>
      <w:r w:rsidR="00F126FE">
        <w:t>153</w:t>
      </w:r>
      <w:r w:rsidR="00145334" w:rsidRPr="0016276A">
        <w:fldChar w:fldCharType="end"/>
      </w:r>
      <w:r w:rsidR="00DA7055" w:rsidRPr="0016276A">
        <w:t xml:space="preserve"> to </w:t>
      </w:r>
      <w:r w:rsidR="00145334" w:rsidRPr="0016276A">
        <w:fldChar w:fldCharType="begin"/>
      </w:r>
      <w:r w:rsidR="00145334" w:rsidRPr="0016276A">
        <w:instrText xml:space="preserve"> REF _Ref387400757 \r \h </w:instrText>
      </w:r>
      <w:r w:rsidR="00301273" w:rsidRPr="0016276A">
        <w:instrText xml:space="preserve"> \* MERGEFORMAT </w:instrText>
      </w:r>
      <w:r w:rsidR="00145334" w:rsidRPr="0016276A">
        <w:fldChar w:fldCharType="separate"/>
      </w:r>
      <w:r w:rsidR="00F126FE">
        <w:t>158</w:t>
      </w:r>
      <w:r w:rsidR="00145334" w:rsidRPr="0016276A">
        <w:fldChar w:fldCharType="end"/>
      </w:r>
      <w:r w:rsidR="00DA7055" w:rsidRPr="0016276A">
        <w:t xml:space="preserve">, the ACCC formed the view that the Fullarton </w:t>
      </w:r>
      <w:r w:rsidR="004B1FA4" w:rsidRPr="0016276A">
        <w:t xml:space="preserve">Acquisition </w:t>
      </w:r>
      <w:r w:rsidR="00DA7055" w:rsidRPr="0016276A">
        <w:t>would have the effect, or be likely to have the effect, of substantially lessening competition in the local market surrounding that site.</w:t>
      </w:r>
    </w:p>
    <w:p w:rsidR="00D93070" w:rsidRPr="0016276A" w:rsidRDefault="00D93070" w:rsidP="001608B6">
      <w:pPr>
        <w:pStyle w:val="Heading3"/>
      </w:pPr>
      <w:r w:rsidRPr="0016276A">
        <w:br w:type="page"/>
      </w:r>
      <w:r w:rsidRPr="0016276A">
        <w:lastRenderedPageBreak/>
        <w:t xml:space="preserve">Attachment A – list of </w:t>
      </w:r>
      <w:r w:rsidR="00C30E8D" w:rsidRPr="0016276A">
        <w:t>T</w:t>
      </w:r>
      <w:r w:rsidRPr="0016276A">
        <w:t xml:space="preserve">arget </w:t>
      </w:r>
      <w:r w:rsidR="00C30E8D" w:rsidRPr="0016276A">
        <w:t>S</w:t>
      </w:r>
      <w:r w:rsidRPr="0016276A">
        <w:t>ites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4961"/>
      </w:tblGrid>
      <w:tr w:rsidR="001608B6" w:rsidRPr="0016276A" w:rsidTr="00540083">
        <w:trPr>
          <w:trHeight w:val="93"/>
        </w:trPr>
        <w:tc>
          <w:tcPr>
            <w:tcW w:w="3794" w:type="dxa"/>
            <w:vAlign w:val="center"/>
          </w:tcPr>
          <w:p w:rsidR="001608B6" w:rsidRPr="0016276A" w:rsidRDefault="001608B6" w:rsidP="00540083">
            <w:pPr>
              <w:spacing w:before="120" w:after="120"/>
              <w:rPr>
                <w:rStyle w:val="Strong"/>
              </w:rPr>
            </w:pPr>
            <w:r w:rsidRPr="0016276A">
              <w:rPr>
                <w:rStyle w:val="Strong"/>
              </w:rPr>
              <w:t xml:space="preserve">Adelaide metropolitan sites </w:t>
            </w:r>
          </w:p>
        </w:tc>
        <w:tc>
          <w:tcPr>
            <w:tcW w:w="4961" w:type="dxa"/>
            <w:vAlign w:val="center"/>
          </w:tcPr>
          <w:p w:rsidR="001608B6" w:rsidRPr="0016276A" w:rsidRDefault="001608B6" w:rsidP="00540083">
            <w:pPr>
              <w:spacing w:before="120" w:after="120"/>
              <w:rPr>
                <w:rStyle w:val="Strong"/>
              </w:rPr>
            </w:pPr>
            <w:r w:rsidRPr="0016276A">
              <w:rPr>
                <w:rStyle w:val="Strong"/>
              </w:rPr>
              <w:t xml:space="preserve">Address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2GO Modbury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931 North East Road, Modbury,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2GO O'Halloran Hill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131 Main South Road, O'Halloran Hill,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Belair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1 Main Street, Belair,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Elizabeth Vale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Cnr Main North &amp; Hogarth Roads, Elizabeth Vale,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Glenelg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66 Brighton Road, Glenelg,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Glenunga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303 Glen Osmond Road, Glenunga,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Golden Grove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Cnr Helicon Dve &amp; The Golden Way, Golden Grove,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Mile End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95 Henley Beach Road, Mile End,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Mitchell Park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843 Marion Road, Mitchell Park,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Prospect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70 Prospect Road, Prospect,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Salisbury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105 Park Terrace, Salisbury,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Westbourne Park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427 Goodwood Road, Westbourne Park,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Munno Para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43-45 Main North Road, Smithfield,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2GO Magill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257 Magill Road, Trinity Gardens,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Connect Southern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131 Main South Road, Morphett Vale, SA </w:t>
            </w:r>
          </w:p>
        </w:tc>
      </w:tr>
      <w:tr w:rsidR="001608B6" w:rsidRPr="0016276A" w:rsidTr="00540083">
        <w:trPr>
          <w:trHeight w:val="70"/>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BP Connect Paralowie</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Cnr Port Wakefield and Bolivar Roads, Paralowie, SA</w:t>
            </w:r>
          </w:p>
        </w:tc>
      </w:tr>
      <w:tr w:rsidR="001608B6" w:rsidRPr="0016276A" w:rsidTr="00540083">
        <w:trPr>
          <w:trHeight w:val="70"/>
        </w:trPr>
        <w:tc>
          <w:tcPr>
            <w:tcW w:w="3794" w:type="dxa"/>
          </w:tcPr>
          <w:p w:rsidR="001608B6" w:rsidRPr="0016276A" w:rsidRDefault="001608B6" w:rsidP="001608B6">
            <w:pPr>
              <w:spacing w:before="120" w:after="120"/>
              <w:rPr>
                <w:rStyle w:val="Strong"/>
              </w:rPr>
            </w:pPr>
            <w:r w:rsidRPr="0016276A">
              <w:rPr>
                <w:rStyle w:val="Strong"/>
              </w:rPr>
              <w:t>South Australian regional sites</w:t>
            </w:r>
          </w:p>
        </w:tc>
        <w:tc>
          <w:tcPr>
            <w:tcW w:w="4961" w:type="dxa"/>
          </w:tcPr>
          <w:p w:rsidR="001608B6" w:rsidRPr="0016276A" w:rsidRDefault="001608B6" w:rsidP="001608B6">
            <w:pPr>
              <w:spacing w:before="120" w:after="120"/>
              <w:rPr>
                <w:rStyle w:val="Strong"/>
              </w:rPr>
            </w:pPr>
            <w:r w:rsidRPr="0016276A">
              <w:rPr>
                <w:rStyle w:val="Strong"/>
              </w:rPr>
              <w:t xml:space="preserve">Address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McRitchie Whyalla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21-33 McRitchie Cresc, Whyalla,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Kingston Roadhouse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1 Princes Hwy, Kingston SE,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Two Wells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Old Port Wakefield Road, Two Wells,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Port Pirie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328 Senate Road, Port Pirie,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Loxton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Cnr Bookpurnong Tce and French Rd, Loxton,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Coonalpyn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1 Poyntz Terrace, Coonalpyn,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Kapunda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1 Milfred St, Kapunda, SA </w:t>
            </w:r>
          </w:p>
        </w:tc>
      </w:tr>
      <w:tr w:rsidR="001608B6" w:rsidRPr="0016276A"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Kadina </w:t>
            </w:r>
          </w:p>
        </w:tc>
        <w:tc>
          <w:tcPr>
            <w:tcW w:w="4961"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19 Frances Terrace, Kadina, SA </w:t>
            </w:r>
          </w:p>
        </w:tc>
      </w:tr>
      <w:tr w:rsidR="001608B6" w:rsidRPr="0036477E" w:rsidTr="00540083">
        <w:trPr>
          <w:trHeight w:val="93"/>
        </w:trPr>
        <w:tc>
          <w:tcPr>
            <w:tcW w:w="3794" w:type="dxa"/>
          </w:tcPr>
          <w:p w:rsidR="001608B6" w:rsidRPr="0016276A" w:rsidRDefault="001608B6" w:rsidP="00540083">
            <w:pPr>
              <w:spacing w:before="60" w:after="60"/>
              <w:rPr>
                <w:rFonts w:ascii="Arial" w:hAnsi="Arial" w:cs="Arial"/>
                <w:sz w:val="22"/>
                <w:szCs w:val="22"/>
              </w:rPr>
            </w:pPr>
            <w:r w:rsidRPr="0016276A">
              <w:rPr>
                <w:rFonts w:ascii="Arial" w:hAnsi="Arial" w:cs="Arial"/>
                <w:sz w:val="22"/>
                <w:szCs w:val="22"/>
              </w:rPr>
              <w:t xml:space="preserve">BP Nuriootpa </w:t>
            </w:r>
          </w:p>
        </w:tc>
        <w:tc>
          <w:tcPr>
            <w:tcW w:w="4961" w:type="dxa"/>
          </w:tcPr>
          <w:p w:rsidR="001608B6" w:rsidRPr="001608B6" w:rsidRDefault="001608B6" w:rsidP="00540083">
            <w:pPr>
              <w:spacing w:before="60" w:after="60"/>
              <w:rPr>
                <w:rFonts w:ascii="Arial" w:hAnsi="Arial" w:cs="Arial"/>
                <w:sz w:val="22"/>
                <w:szCs w:val="22"/>
              </w:rPr>
            </w:pPr>
            <w:r w:rsidRPr="0016276A">
              <w:rPr>
                <w:rFonts w:ascii="Arial" w:hAnsi="Arial" w:cs="Arial"/>
                <w:sz w:val="22"/>
                <w:szCs w:val="22"/>
              </w:rPr>
              <w:t>Cnr Tanunda and New Roads, Nuriootpa, SA</w:t>
            </w:r>
            <w:r w:rsidRPr="001608B6">
              <w:rPr>
                <w:rFonts w:ascii="Arial" w:hAnsi="Arial" w:cs="Arial"/>
                <w:sz w:val="22"/>
                <w:szCs w:val="22"/>
              </w:rPr>
              <w:t xml:space="preserve"> </w:t>
            </w:r>
          </w:p>
        </w:tc>
      </w:tr>
    </w:tbl>
    <w:p w:rsidR="00D93070" w:rsidRDefault="00D93070" w:rsidP="007A4767">
      <w:pPr>
        <w:pStyle w:val="NormalParagraph"/>
        <w:numPr>
          <w:ilvl w:val="0"/>
          <w:numId w:val="0"/>
        </w:numPr>
      </w:pPr>
    </w:p>
    <w:sectPr w:rsidR="00D93070">
      <w:headerReference w:type="default" r:id="rId16"/>
      <w:footerReference w:type="even" r:id="rId17"/>
      <w:footerReference w:type="default" r:id="rId18"/>
      <w:footerReference w:type="first" r:id="rId19"/>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62D7" w:rsidRDefault="00CD62D7">
      <w:r>
        <w:separator/>
      </w:r>
    </w:p>
  </w:endnote>
  <w:endnote w:type="continuationSeparator" w:id="0">
    <w:p w:rsidR="00CD62D7" w:rsidRDefault="00CD6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62D7" w:rsidRDefault="00CD62D7">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CD62D7" w:rsidRDefault="00CD62D7">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62D7" w:rsidRPr="001E2914" w:rsidRDefault="00CD62D7">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F126FE">
      <w:rPr>
        <w:rFonts w:ascii="Arial" w:hAnsi="Arial" w:cs="Arial"/>
        <w:b/>
        <w:noProof/>
        <w:sz w:val="22"/>
        <w:szCs w:val="22"/>
      </w:rPr>
      <w:t>30</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F126FE">
      <w:rPr>
        <w:rFonts w:ascii="Arial" w:hAnsi="Arial" w:cs="Arial"/>
        <w:b/>
        <w:noProof/>
        <w:sz w:val="22"/>
        <w:szCs w:val="22"/>
      </w:rPr>
      <w:t>30</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62D7" w:rsidRPr="00D11F62" w:rsidRDefault="00CD62D7">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F126FE">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F126FE">
      <w:rPr>
        <w:rFonts w:ascii="Arial" w:hAnsi="Arial" w:cs="Arial"/>
        <w:b/>
        <w:noProof/>
        <w:sz w:val="22"/>
        <w:szCs w:val="22"/>
      </w:rPr>
      <w:t>30</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62D7" w:rsidRDefault="00CD62D7">
      <w:r>
        <w:separator/>
      </w:r>
    </w:p>
  </w:footnote>
  <w:footnote w:type="continuationSeparator" w:id="0">
    <w:p w:rsidR="00CD62D7" w:rsidRDefault="00CD62D7">
      <w:r>
        <w:continuationSeparator/>
      </w:r>
    </w:p>
  </w:footnote>
  <w:footnote w:id="1">
    <w:p w:rsidR="00CD62D7" w:rsidRPr="00DB23C7" w:rsidRDefault="00CD62D7" w:rsidP="005E5038">
      <w:pPr>
        <w:pStyle w:val="FootnoteText"/>
        <w:ind w:left="0" w:firstLine="0"/>
        <w:rPr>
          <w:rFonts w:ascii="Arial" w:hAnsi="Arial" w:cs="Arial"/>
        </w:rPr>
      </w:pPr>
      <w:r w:rsidRPr="00DB23C7">
        <w:rPr>
          <w:rStyle w:val="FootnoteReference"/>
          <w:rFonts w:ascii="Arial" w:hAnsi="Arial" w:cs="Arial"/>
        </w:rPr>
        <w:footnoteRef/>
      </w:r>
      <w:r w:rsidRPr="00DB23C7">
        <w:rPr>
          <w:rFonts w:ascii="Arial" w:hAnsi="Arial" w:cs="Arial"/>
        </w:rPr>
        <w:t xml:space="preserve"> For the purpose of this Public Competition Assessment, ‘Peregrine Corporation’ (Peregrine) refers to Shahin Enterprises Pty. Ltd. (ACN 008 150 543) and each of its related bodies corporate and trusts controlled by the Shahin family which are engaged in petrol retailing in South Australia, including companies using the brand ‘On the Run’.</w:t>
      </w:r>
    </w:p>
  </w:footnote>
  <w:footnote w:id="2">
    <w:p w:rsidR="00CD62D7" w:rsidRPr="00DB23C7" w:rsidRDefault="00CD62D7" w:rsidP="00821EC1">
      <w:pPr>
        <w:pStyle w:val="FootnoteText"/>
        <w:ind w:left="142" w:hanging="142"/>
        <w:rPr>
          <w:rFonts w:ascii="Arial" w:hAnsi="Arial" w:cs="Arial"/>
        </w:rPr>
      </w:pPr>
      <w:r w:rsidRPr="00DB23C7">
        <w:rPr>
          <w:rStyle w:val="FootnoteReference"/>
          <w:rFonts w:ascii="Arial" w:hAnsi="Arial" w:cs="Arial"/>
        </w:rPr>
        <w:footnoteRef/>
      </w:r>
      <w:r w:rsidRPr="00DB23C7">
        <w:rPr>
          <w:rFonts w:ascii="Arial" w:hAnsi="Arial" w:cs="Arial"/>
        </w:rPr>
        <w:t xml:space="preserve"> In July 2012, Caltex announced that it would close its Kurnell refinery in the second half of 2014 and convert it into an import terminal</w:t>
      </w:r>
    </w:p>
  </w:footnote>
  <w:footnote w:id="3">
    <w:p w:rsidR="00CD62D7" w:rsidRPr="00DB23C7" w:rsidRDefault="00CD62D7" w:rsidP="00730B06">
      <w:pPr>
        <w:pStyle w:val="FootnoteText"/>
        <w:ind w:left="142" w:hanging="142"/>
        <w:rPr>
          <w:rFonts w:ascii="Arial" w:hAnsi="Arial" w:cs="Arial"/>
        </w:rPr>
      </w:pPr>
      <w:r w:rsidRPr="00DB23C7">
        <w:rPr>
          <w:rStyle w:val="FootnoteReference"/>
          <w:rFonts w:ascii="Arial" w:hAnsi="Arial" w:cs="Arial"/>
        </w:rPr>
        <w:footnoteRef/>
      </w:r>
      <w:r w:rsidRPr="00DB23C7">
        <w:rPr>
          <w:rFonts w:ascii="Arial" w:hAnsi="Arial" w:cs="Arial"/>
        </w:rPr>
        <w:t xml:space="preserve"> The ACCC understands the terms “discounting phase” and “restoration phase” have been commonly used in the industry to refer to the stage where prices decrease and increase respectively.</w:t>
      </w:r>
    </w:p>
  </w:footnote>
  <w:footnote w:id="4">
    <w:p w:rsidR="00CD62D7" w:rsidRPr="00DB23C7" w:rsidRDefault="00CD62D7" w:rsidP="000E57E4">
      <w:pPr>
        <w:pStyle w:val="FootnoteText"/>
        <w:ind w:left="0" w:firstLine="0"/>
        <w:rPr>
          <w:rFonts w:ascii="Arial" w:hAnsi="Arial" w:cs="Arial"/>
        </w:rPr>
      </w:pPr>
      <w:r w:rsidRPr="00DB23C7">
        <w:rPr>
          <w:rStyle w:val="FootnoteReference"/>
          <w:rFonts w:ascii="Arial" w:hAnsi="Arial" w:cs="Arial"/>
        </w:rPr>
        <w:footnoteRef/>
      </w:r>
      <w:r w:rsidRPr="00DB23C7">
        <w:rPr>
          <w:rFonts w:ascii="Arial" w:hAnsi="Arial" w:cs="Arial"/>
        </w:rPr>
        <w:t xml:space="preserve"> Source: ACCC calculations based on Informed Sources data, drawn from Monitoring of the Australian petroleum industry—Report of the ACCC into the prices, costs and profits of unleaded petrol in Australia, 2013.</w:t>
      </w:r>
    </w:p>
  </w:footnote>
  <w:footnote w:id="5">
    <w:p w:rsidR="00CD62D7" w:rsidRPr="00DB23C7" w:rsidRDefault="00CD62D7" w:rsidP="00037729">
      <w:pPr>
        <w:pStyle w:val="FootnoteText"/>
        <w:ind w:left="0" w:firstLine="0"/>
        <w:rPr>
          <w:rFonts w:ascii="Arial" w:hAnsi="Arial" w:cs="Arial"/>
        </w:rPr>
      </w:pPr>
      <w:r w:rsidRPr="00DB23C7">
        <w:rPr>
          <w:rStyle w:val="FootnoteReference"/>
          <w:rFonts w:ascii="Arial" w:hAnsi="Arial" w:cs="Arial"/>
        </w:rPr>
        <w:footnoteRef/>
      </w:r>
      <w:r w:rsidRPr="00DB23C7">
        <w:rPr>
          <w:rFonts w:ascii="Arial" w:hAnsi="Arial" w:cs="Arial"/>
        </w:rPr>
        <w:t xml:space="preserve"> Full public register entries for the Acquisition, and the Fullarton Acquisition are available at </w:t>
      </w:r>
      <w:hyperlink r:id="rId1" w:history="1">
        <w:r w:rsidRPr="00DB23C7">
          <w:rPr>
            <w:rStyle w:val="Hyperlink"/>
            <w:rFonts w:ascii="Arial" w:hAnsi="Arial" w:cs="Arial"/>
          </w:rPr>
          <w:t>http://registers.accc.gov.au/content/index.phtml/itemId/1178072/fromItemId/751043</w:t>
        </w:r>
      </w:hyperlink>
      <w:r w:rsidRPr="00DB23C7">
        <w:rPr>
          <w:rFonts w:ascii="Arial" w:hAnsi="Arial" w:cs="Arial"/>
        </w:rPr>
        <w:t xml:space="preserve"> and </w:t>
      </w:r>
      <w:hyperlink r:id="rId2" w:history="1">
        <w:r w:rsidRPr="00DB23C7">
          <w:rPr>
            <w:rStyle w:val="Hyperlink"/>
            <w:rFonts w:ascii="Arial" w:hAnsi="Arial" w:cs="Arial"/>
          </w:rPr>
          <w:t>http://registers.accc.gov.au/content/index.phtml/itemId/1178130/fromItemId/751043</w:t>
        </w:r>
      </w:hyperlink>
      <w:r w:rsidRPr="00DB23C7">
        <w:rPr>
          <w:rFonts w:ascii="Arial" w:hAnsi="Arial" w:cs="Arial"/>
        </w:rPr>
        <w:t xml:space="preserve"> respectively.</w:t>
      </w:r>
    </w:p>
  </w:footnote>
  <w:footnote w:id="6">
    <w:p w:rsidR="00CD62D7" w:rsidRPr="00DB23C7" w:rsidRDefault="00CD62D7" w:rsidP="00175990">
      <w:pPr>
        <w:pStyle w:val="FootnoteText"/>
        <w:rPr>
          <w:rFonts w:ascii="Arial" w:hAnsi="Arial" w:cs="Arial"/>
        </w:rPr>
      </w:pPr>
      <w:r w:rsidRPr="00DB23C7">
        <w:rPr>
          <w:rStyle w:val="FootnoteReference"/>
          <w:rFonts w:ascii="Arial" w:hAnsi="Arial" w:cs="Arial"/>
        </w:rPr>
        <w:footnoteRef/>
      </w:r>
      <w:r w:rsidRPr="00DB23C7">
        <w:rPr>
          <w:rFonts w:ascii="Arial" w:hAnsi="Arial" w:cs="Arial"/>
        </w:rPr>
        <w:t xml:space="preserve"> Ethanol blends are not sold in significant quantities in South Australia.</w:t>
      </w:r>
    </w:p>
  </w:footnote>
  <w:footnote w:id="7">
    <w:p w:rsidR="00CD62D7" w:rsidRPr="00DB23C7" w:rsidRDefault="00CD62D7">
      <w:pPr>
        <w:pStyle w:val="FootnoteText"/>
        <w:rPr>
          <w:rFonts w:ascii="Arial" w:hAnsi="Arial" w:cs="Arial"/>
        </w:rPr>
      </w:pPr>
      <w:r w:rsidRPr="00DB23C7">
        <w:rPr>
          <w:rStyle w:val="FootnoteReference"/>
          <w:rFonts w:ascii="Arial" w:hAnsi="Arial" w:cs="Arial"/>
        </w:rPr>
        <w:footnoteRef/>
      </w:r>
      <w:r w:rsidRPr="00DB23C7">
        <w:rPr>
          <w:rFonts w:ascii="Arial" w:hAnsi="Arial" w:cs="Arial"/>
        </w:rPr>
        <w:t xml:space="preserve"> See ACCC Merger Guidelines 2008, Section 4.</w:t>
      </w:r>
    </w:p>
  </w:footnote>
  <w:footnote w:id="8">
    <w:p w:rsidR="00CD62D7" w:rsidRPr="00DB23C7" w:rsidRDefault="00CD62D7" w:rsidP="002E086B">
      <w:pPr>
        <w:pStyle w:val="FootnoteText"/>
        <w:keepNext/>
        <w:ind w:left="0" w:firstLine="0"/>
        <w:rPr>
          <w:rFonts w:ascii="Arial" w:hAnsi="Arial" w:cs="Arial"/>
        </w:rPr>
      </w:pPr>
      <w:r w:rsidRPr="00DB23C7">
        <w:rPr>
          <w:rStyle w:val="FootnoteReference"/>
          <w:rFonts w:ascii="Arial" w:hAnsi="Arial" w:cs="Arial"/>
        </w:rPr>
        <w:footnoteRef/>
      </w:r>
      <w:r w:rsidRPr="00DB23C7">
        <w:rPr>
          <w:rFonts w:ascii="Arial" w:hAnsi="Arial" w:cs="Arial"/>
        </w:rPr>
        <w:t xml:space="preserve"> In this and other maps presented in this Public Competition Assessment, the blue circles are of radius 3km and the pink circles are of radius 5km. These circles are provided for scale only, and do not represent the geographic extent of local markets. </w:t>
      </w:r>
    </w:p>
  </w:footnote>
  <w:footnote w:id="9">
    <w:p w:rsidR="00CD62D7" w:rsidRPr="00DB23C7" w:rsidRDefault="00CD62D7" w:rsidP="00926C4F">
      <w:pPr>
        <w:pStyle w:val="FootnoteText"/>
        <w:ind w:left="0" w:firstLine="0"/>
        <w:rPr>
          <w:rFonts w:ascii="Arial" w:hAnsi="Arial" w:cs="Arial"/>
        </w:rPr>
      </w:pPr>
      <w:r w:rsidRPr="00DB23C7">
        <w:rPr>
          <w:rStyle w:val="FootnoteReference"/>
          <w:rFonts w:ascii="Arial" w:hAnsi="Arial" w:cs="Arial"/>
        </w:rPr>
        <w:footnoteRef/>
      </w:r>
      <w:r w:rsidRPr="00DB23C7">
        <w:rPr>
          <w:rFonts w:ascii="Arial" w:hAnsi="Arial" w:cs="Arial"/>
        </w:rPr>
        <w:t xml:space="preserve"> This table presents information based on the number of sites held by each fuel retailer in Adelaide. During the course of its review, the ACCC also received confidential information and estimates about the volumes of fuel sold by each operator in Adelaide. The ACCC is not able to provide the volume information in this Public Competition Assessment. However, the ACCC notes that Peregrine’s market share when considered by volume is smaller than when considered by sites. Conversely Woolworths and Coles both have higher market shares when considered by volume than they do when considered by number of sites.</w:t>
      </w:r>
    </w:p>
  </w:footnote>
  <w:footnote w:id="10">
    <w:p w:rsidR="00CD62D7" w:rsidRPr="00DB23C7" w:rsidRDefault="00CD62D7" w:rsidP="003C2B2B">
      <w:pPr>
        <w:pStyle w:val="FootnoteText"/>
        <w:ind w:left="0" w:firstLine="0"/>
        <w:rPr>
          <w:rFonts w:ascii="Arial" w:hAnsi="Arial" w:cs="Arial"/>
        </w:rPr>
      </w:pPr>
      <w:r w:rsidRPr="00DB23C7">
        <w:rPr>
          <w:rStyle w:val="FootnoteReference"/>
          <w:rFonts w:ascii="Arial" w:hAnsi="Arial" w:cs="Arial"/>
        </w:rPr>
        <w:footnoteRef/>
      </w:r>
      <w:r w:rsidRPr="00DB23C7">
        <w:rPr>
          <w:rFonts w:ascii="Arial" w:hAnsi="Arial" w:cs="Arial"/>
        </w:rPr>
        <w:t xml:space="preserve"> The ‘With the Acquisition’ columns in </w:t>
      </w:r>
      <w:r w:rsidRPr="00DB23C7">
        <w:rPr>
          <w:rFonts w:ascii="Arial" w:hAnsi="Arial" w:cs="Arial"/>
        </w:rPr>
        <w:fldChar w:fldCharType="begin"/>
      </w:r>
      <w:r w:rsidRPr="00DB23C7">
        <w:rPr>
          <w:rFonts w:ascii="Arial" w:hAnsi="Arial" w:cs="Arial"/>
        </w:rPr>
        <w:instrText xml:space="preserve"> REF _Ref377660613 \h </w:instrText>
      </w:r>
      <w:r w:rsidR="00DB23C7">
        <w:rPr>
          <w:rFonts w:ascii="Arial" w:hAnsi="Arial" w:cs="Arial"/>
        </w:rPr>
        <w:instrText xml:space="preserve"> \* MERGEFORMAT </w:instrText>
      </w:r>
      <w:r w:rsidRPr="00DB23C7">
        <w:rPr>
          <w:rFonts w:ascii="Arial" w:hAnsi="Arial" w:cs="Arial"/>
        </w:rPr>
      </w:r>
      <w:r w:rsidRPr="00DB23C7">
        <w:rPr>
          <w:rFonts w:ascii="Arial" w:hAnsi="Arial" w:cs="Arial"/>
        </w:rPr>
        <w:fldChar w:fldCharType="separate"/>
      </w:r>
      <w:r w:rsidR="00F126FE" w:rsidRPr="00F126FE">
        <w:rPr>
          <w:rFonts w:ascii="Arial" w:hAnsi="Arial" w:cs="Arial"/>
        </w:rPr>
        <w:t xml:space="preserve">Table </w:t>
      </w:r>
      <w:r w:rsidR="00F126FE" w:rsidRPr="00F126FE">
        <w:rPr>
          <w:rFonts w:ascii="Arial" w:hAnsi="Arial" w:cs="Arial"/>
          <w:noProof/>
        </w:rPr>
        <w:t>1</w:t>
      </w:r>
      <w:r w:rsidRPr="00DB23C7">
        <w:rPr>
          <w:rFonts w:ascii="Arial" w:hAnsi="Arial" w:cs="Arial"/>
        </w:rPr>
        <w:fldChar w:fldCharType="end"/>
      </w:r>
      <w:r w:rsidRPr="00DB23C7">
        <w:rPr>
          <w:rFonts w:ascii="Arial" w:hAnsi="Arial" w:cs="Arial"/>
        </w:rPr>
        <w:t xml:space="preserve"> also take into account the effect of the proposed acquisitions by Peregrine of Caltex and Agostino sites outlined above at paragraphs </w:t>
      </w:r>
      <w:r w:rsidRPr="00DB23C7">
        <w:rPr>
          <w:rFonts w:ascii="Arial" w:hAnsi="Arial" w:cs="Arial"/>
        </w:rPr>
        <w:fldChar w:fldCharType="begin"/>
      </w:r>
      <w:r w:rsidRPr="00DB23C7">
        <w:rPr>
          <w:rFonts w:ascii="Arial" w:hAnsi="Arial" w:cs="Arial"/>
        </w:rPr>
        <w:instrText xml:space="preserve"> REF _Ref387662882 \r \h </w:instrText>
      </w:r>
      <w:r w:rsidR="00DB23C7">
        <w:rPr>
          <w:rFonts w:ascii="Arial" w:hAnsi="Arial" w:cs="Arial"/>
        </w:rPr>
        <w:instrText xml:space="preserve"> \* MERGEFORMAT </w:instrText>
      </w:r>
      <w:r w:rsidRPr="00DB23C7">
        <w:rPr>
          <w:rFonts w:ascii="Arial" w:hAnsi="Arial" w:cs="Arial"/>
        </w:rPr>
      </w:r>
      <w:r w:rsidRPr="00DB23C7">
        <w:rPr>
          <w:rFonts w:ascii="Arial" w:hAnsi="Arial" w:cs="Arial"/>
        </w:rPr>
        <w:fldChar w:fldCharType="separate"/>
      </w:r>
      <w:r w:rsidR="00F126FE">
        <w:rPr>
          <w:rFonts w:ascii="Arial" w:hAnsi="Arial" w:cs="Arial"/>
        </w:rPr>
        <w:t>55</w:t>
      </w:r>
      <w:r w:rsidRPr="00DB23C7">
        <w:rPr>
          <w:rFonts w:ascii="Arial" w:hAnsi="Arial" w:cs="Arial"/>
        </w:rPr>
        <w:fldChar w:fldCharType="end"/>
      </w:r>
      <w:r w:rsidRPr="00DB23C7">
        <w:rPr>
          <w:rFonts w:ascii="Arial" w:hAnsi="Arial" w:cs="Arial"/>
        </w:rPr>
        <w:t xml:space="preserve"> and </w:t>
      </w:r>
      <w:r w:rsidRPr="00DB23C7">
        <w:rPr>
          <w:rFonts w:ascii="Arial" w:hAnsi="Arial" w:cs="Arial"/>
        </w:rPr>
        <w:fldChar w:fldCharType="begin"/>
      </w:r>
      <w:r w:rsidRPr="00DB23C7">
        <w:rPr>
          <w:rFonts w:ascii="Arial" w:hAnsi="Arial" w:cs="Arial"/>
        </w:rPr>
        <w:instrText xml:space="preserve"> REF _Ref387662893 \r \h </w:instrText>
      </w:r>
      <w:r w:rsidR="00DB23C7">
        <w:rPr>
          <w:rFonts w:ascii="Arial" w:hAnsi="Arial" w:cs="Arial"/>
        </w:rPr>
        <w:instrText xml:space="preserve"> \* MERGEFORMAT </w:instrText>
      </w:r>
      <w:r w:rsidRPr="00DB23C7">
        <w:rPr>
          <w:rFonts w:ascii="Arial" w:hAnsi="Arial" w:cs="Arial"/>
        </w:rPr>
      </w:r>
      <w:r w:rsidRPr="00DB23C7">
        <w:rPr>
          <w:rFonts w:ascii="Arial" w:hAnsi="Arial" w:cs="Arial"/>
        </w:rPr>
        <w:fldChar w:fldCharType="separate"/>
      </w:r>
      <w:r w:rsidR="00F126FE">
        <w:rPr>
          <w:rFonts w:ascii="Arial" w:hAnsi="Arial" w:cs="Arial"/>
        </w:rPr>
        <w:t>57</w:t>
      </w:r>
      <w:r w:rsidRPr="00DB23C7">
        <w:rPr>
          <w:rFonts w:ascii="Arial" w:hAnsi="Arial" w:cs="Arial"/>
        </w:rPr>
        <w:fldChar w:fldCharType="end"/>
      </w:r>
      <w:r w:rsidRPr="00DB23C7">
        <w:rPr>
          <w:rFonts w:ascii="Arial" w:hAnsi="Arial" w:cs="Arial"/>
        </w:rPr>
        <w:t>.</w:t>
      </w:r>
    </w:p>
  </w:footnote>
  <w:footnote w:id="11">
    <w:p w:rsidR="00CD62D7" w:rsidRPr="00DB23C7" w:rsidRDefault="00CD62D7">
      <w:pPr>
        <w:pStyle w:val="FootnoteText"/>
        <w:rPr>
          <w:rFonts w:ascii="Arial" w:hAnsi="Arial" w:cs="Arial"/>
        </w:rPr>
      </w:pPr>
      <w:r w:rsidRPr="00DB23C7">
        <w:rPr>
          <w:rStyle w:val="FootnoteReference"/>
          <w:rFonts w:ascii="Arial" w:hAnsi="Arial" w:cs="Arial"/>
        </w:rPr>
        <w:footnoteRef/>
      </w:r>
      <w:r w:rsidRPr="00DB23C7">
        <w:rPr>
          <w:rFonts w:ascii="Arial" w:hAnsi="Arial" w:cs="Arial"/>
        </w:rPr>
        <w:t xml:space="preserve"> Figures in this row are based on estimates by Peregrine.</w:t>
      </w:r>
    </w:p>
  </w:footnote>
  <w:footnote w:id="12">
    <w:p w:rsidR="00CD62D7" w:rsidRDefault="00CD62D7" w:rsidP="00690B66">
      <w:pPr>
        <w:pStyle w:val="FootnoteText"/>
      </w:pPr>
      <w:r w:rsidRPr="00DB23C7">
        <w:rPr>
          <w:rStyle w:val="FootnoteReference"/>
          <w:rFonts w:ascii="Arial" w:hAnsi="Arial" w:cs="Arial"/>
        </w:rPr>
        <w:footnoteRef/>
      </w:r>
      <w:r w:rsidRPr="00DB23C7">
        <w:rPr>
          <w:rFonts w:ascii="Arial" w:hAnsi="Arial" w:cs="Arial"/>
        </w:rPr>
        <w:t xml:space="preserve"> Column does not add to 100% due to rounding.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62D7" w:rsidRPr="001E2914" w:rsidRDefault="00CD62D7">
    <w:pPr>
      <w:pStyle w:val="Header"/>
      <w:jc w:val="right"/>
      <w:rPr>
        <w:rFonts w:ascii="Arial" w:hAnsi="Arial" w:cs="Arial"/>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1">
    <w:nsid w:val="19F7594D"/>
    <w:multiLevelType w:val="multilevel"/>
    <w:tmpl w:val="FE721BE6"/>
    <w:lvl w:ilvl="0">
      <w:start w:val="1"/>
      <w:numFmt w:val="decimal"/>
      <w:pStyle w:val="NumberLevel1"/>
      <w:lvlText w:val="%1."/>
      <w:lvlJc w:val="left"/>
      <w:pPr>
        <w:tabs>
          <w:tab w:val="num" w:pos="567"/>
        </w:tabs>
        <w:ind w:left="567" w:hanging="567"/>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NumberLevel2"/>
      <w:lvlText w:val="(%2)"/>
      <w:lvlJc w:val="left"/>
      <w:pPr>
        <w:tabs>
          <w:tab w:val="num" w:pos="1134"/>
        </w:tabs>
        <w:ind w:left="1134" w:hanging="567"/>
      </w:pPr>
      <w:rPr>
        <w:rFonts w:hint="default"/>
      </w:rPr>
    </w:lvl>
    <w:lvl w:ilvl="2">
      <w:start w:val="1"/>
      <w:numFmt w:val="lowerRoman"/>
      <w:pStyle w:val="NumberLevel3"/>
      <w:lvlText w:val="%3."/>
      <w:lvlJc w:val="left"/>
      <w:pPr>
        <w:tabs>
          <w:tab w:val="num" w:pos="1701"/>
        </w:tabs>
        <w:ind w:left="1701"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nsid w:val="19FE5783"/>
    <w:multiLevelType w:val="hybridMultilevel"/>
    <w:tmpl w:val="F4FABD3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6042DE1"/>
    <w:multiLevelType w:val="hybridMultilevel"/>
    <w:tmpl w:val="AD0ADF38"/>
    <w:lvl w:ilvl="0" w:tplc="FCF4C462">
      <w:start w:val="1"/>
      <w:numFmt w:val="lowerLetter"/>
      <w:pStyle w:val="ABCList"/>
      <w:lvlText w:val="%1."/>
      <w:lvlJc w:val="left"/>
      <w:pPr>
        <w:ind w:left="927" w:hanging="360"/>
      </w:pPr>
    </w:lvl>
    <w:lvl w:ilvl="1" w:tplc="0C090019">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
    <w:nsid w:val="42CA085C"/>
    <w:multiLevelType w:val="singleLevel"/>
    <w:tmpl w:val="BF74712C"/>
    <w:lvl w:ilvl="0">
      <w:start w:val="1"/>
      <w:numFmt w:val="bullet"/>
      <w:pStyle w:val="ListBullet"/>
      <w:lvlText w:val=""/>
      <w:lvlJc w:val="left"/>
      <w:pPr>
        <w:tabs>
          <w:tab w:val="num" w:pos="360"/>
        </w:tabs>
        <w:ind w:left="360" w:hanging="360"/>
      </w:pPr>
      <w:rPr>
        <w:rFonts w:ascii="Wingdings" w:hAnsi="Wingdings" w:hint="default"/>
        <w:sz w:val="28"/>
      </w:rPr>
    </w:lvl>
  </w:abstractNum>
  <w:abstractNum w:abstractNumId="5">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6">
    <w:nsid w:val="44E305FB"/>
    <w:multiLevelType w:val="multilevel"/>
    <w:tmpl w:val="A654517C"/>
    <w:lvl w:ilvl="0">
      <w:start w:val="1"/>
      <w:numFmt w:val="decimal"/>
      <w:pStyle w:val="NormalParagraph"/>
      <w:lvlText w:val="%1."/>
      <w:lvlJc w:val="left"/>
      <w:pPr>
        <w:tabs>
          <w:tab w:val="num" w:pos="360"/>
        </w:tabs>
        <w:ind w:left="360" w:hanging="360"/>
      </w:pPr>
      <w:rPr>
        <w:rFonts w:hint="default"/>
        <w:b w:val="0"/>
        <w:sz w:val="22"/>
        <w:szCs w:val="22"/>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nsid w:val="78A23BD6"/>
    <w:multiLevelType w:val="hybridMultilevel"/>
    <w:tmpl w:val="45AC687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4"/>
  </w:num>
  <w:num w:numId="5">
    <w:abstractNumId w:val="3"/>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1"/>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6"/>
  </w:num>
  <w:num w:numId="45">
    <w:abstractNumId w:val="6"/>
  </w:num>
  <w:num w:numId="46">
    <w:abstractNumId w:val="6"/>
  </w:num>
  <w:num w:numId="47">
    <w:abstractNumId w:val="6"/>
  </w:num>
  <w:num w:numId="48">
    <w:abstractNumId w:val="6"/>
  </w:num>
  <w:num w:numId="49">
    <w:abstractNumId w:val="6"/>
  </w:num>
  <w:num w:numId="50">
    <w:abstractNumId w:val="6"/>
  </w:num>
  <w:num w:numId="51">
    <w:abstractNumId w:val="6"/>
  </w:num>
  <w:num w:numId="52">
    <w:abstractNumId w:val="6"/>
  </w:num>
  <w:num w:numId="53">
    <w:abstractNumId w:val="6"/>
  </w:num>
  <w:num w:numId="54">
    <w:abstractNumId w:val="6"/>
  </w:num>
  <w:num w:numId="55">
    <w:abstractNumId w:val="6"/>
  </w:num>
  <w:num w:numId="56">
    <w:abstractNumId w:val="6"/>
  </w:num>
  <w:num w:numId="57">
    <w:abstractNumId w:val="6"/>
  </w:num>
  <w:num w:numId="58">
    <w:abstractNumId w:val="6"/>
  </w:num>
  <w:num w:numId="59">
    <w:abstractNumId w:val="6"/>
  </w:num>
  <w:num w:numId="60">
    <w:abstractNumId w:val="6"/>
  </w:num>
  <w:num w:numId="61">
    <w:abstractNumId w:val="6"/>
  </w:num>
  <w:num w:numId="62">
    <w:abstractNumId w:val="6"/>
  </w:num>
  <w:num w:numId="63">
    <w:abstractNumId w:val="6"/>
  </w:num>
  <w:num w:numId="64">
    <w:abstractNumId w:val="6"/>
  </w:num>
  <w:num w:numId="65">
    <w:abstractNumId w:val="6"/>
  </w:num>
  <w:num w:numId="66">
    <w:abstractNumId w:val="6"/>
  </w:num>
  <w:num w:numId="67">
    <w:abstractNumId w:val="6"/>
  </w:num>
  <w:num w:numId="68">
    <w:abstractNumId w:val="6"/>
  </w:num>
  <w:num w:numId="69">
    <w:abstractNumId w:val="6"/>
  </w:num>
  <w:num w:numId="70">
    <w:abstractNumId w:val="6"/>
  </w:num>
  <w:num w:numId="71">
    <w:abstractNumId w:val="6"/>
  </w:num>
  <w:num w:numId="72">
    <w:abstractNumId w:val="6"/>
  </w:num>
  <w:num w:numId="73">
    <w:abstractNumId w:val="6"/>
  </w:num>
  <w:num w:numId="74">
    <w:abstractNumId w:val="6"/>
  </w:num>
  <w:num w:numId="75">
    <w:abstractNumId w:val="6"/>
  </w:num>
  <w:num w:numId="76">
    <w:abstractNumId w:val="6"/>
  </w:num>
  <w:num w:numId="77">
    <w:abstractNumId w:val="6"/>
  </w:num>
  <w:num w:numId="78">
    <w:abstractNumId w:val="6"/>
  </w:num>
  <w:num w:numId="79">
    <w:abstractNumId w:val="6"/>
  </w:num>
  <w:num w:numId="80">
    <w:abstractNumId w:val="6"/>
  </w:num>
  <w:num w:numId="81">
    <w:abstractNumId w:val="6"/>
  </w:num>
  <w:num w:numId="82">
    <w:abstractNumId w:val="6"/>
  </w:num>
  <w:num w:numId="83">
    <w:abstractNumId w:val="6"/>
  </w:num>
  <w:num w:numId="84">
    <w:abstractNumId w:val="6"/>
  </w:num>
  <w:num w:numId="85">
    <w:abstractNumId w:val="6"/>
  </w:num>
  <w:num w:numId="86">
    <w:abstractNumId w:val="6"/>
  </w:num>
  <w:num w:numId="87">
    <w:abstractNumId w:val="6"/>
  </w:num>
  <w:num w:numId="88">
    <w:abstractNumId w:val="6"/>
  </w:num>
  <w:num w:numId="89">
    <w:abstractNumId w:val="6"/>
  </w:num>
  <w:num w:numId="90">
    <w:abstractNumId w:val="6"/>
  </w:num>
  <w:num w:numId="91">
    <w:abstractNumId w:val="6"/>
  </w:num>
  <w:num w:numId="92">
    <w:abstractNumId w:val="6"/>
  </w:num>
  <w:num w:numId="93">
    <w:abstractNumId w:val="6"/>
  </w:num>
  <w:num w:numId="94">
    <w:abstractNumId w:val="6"/>
  </w:num>
  <w:num w:numId="95">
    <w:abstractNumId w:val="6"/>
  </w:num>
  <w:num w:numId="96">
    <w:abstractNumId w:val="6"/>
  </w:num>
  <w:num w:numId="97">
    <w:abstractNumId w:val="6"/>
  </w:num>
  <w:num w:numId="98">
    <w:abstractNumId w:val="6"/>
  </w:num>
  <w:num w:numId="99">
    <w:abstractNumId w:val="6"/>
  </w:num>
  <w:num w:numId="100">
    <w:abstractNumId w:val="6"/>
  </w:num>
  <w:num w:numId="101">
    <w:abstractNumId w:val="6"/>
  </w:num>
  <w:num w:numId="102">
    <w:abstractNumId w:val="6"/>
  </w:num>
  <w:num w:numId="103">
    <w:abstractNumId w:val="6"/>
  </w:num>
  <w:num w:numId="104">
    <w:abstractNumId w:val="6"/>
  </w:num>
  <w:num w:numId="105">
    <w:abstractNumId w:val="6"/>
  </w:num>
  <w:num w:numId="106">
    <w:abstractNumId w:val="6"/>
  </w:num>
  <w:num w:numId="107">
    <w:abstractNumId w:val="6"/>
  </w:num>
  <w:num w:numId="108">
    <w:abstractNumId w:val="6"/>
  </w:num>
  <w:num w:numId="109">
    <w:abstractNumId w:val="6"/>
  </w:num>
  <w:num w:numId="110">
    <w:abstractNumId w:val="6"/>
  </w:num>
  <w:num w:numId="111">
    <w:abstractNumId w:val="6"/>
  </w:num>
  <w:num w:numId="112">
    <w:abstractNumId w:val="6"/>
  </w:num>
  <w:num w:numId="113">
    <w:abstractNumId w:val="6"/>
  </w:num>
  <w:num w:numId="114">
    <w:abstractNumId w:val="6"/>
  </w:num>
  <w:num w:numId="115">
    <w:abstractNumId w:val="6"/>
  </w:num>
  <w:num w:numId="116">
    <w:abstractNumId w:val="6"/>
  </w:num>
  <w:num w:numId="117">
    <w:abstractNumId w:val="6"/>
  </w:num>
  <w:num w:numId="118">
    <w:abstractNumId w:val="6"/>
  </w:num>
  <w:num w:numId="119">
    <w:abstractNumId w:val="6"/>
  </w:num>
  <w:num w:numId="120">
    <w:abstractNumId w:val="6"/>
  </w:num>
  <w:num w:numId="121">
    <w:abstractNumId w:val="6"/>
  </w:num>
  <w:num w:numId="122">
    <w:abstractNumId w:val="6"/>
  </w:num>
  <w:num w:numId="123">
    <w:abstractNumId w:val="6"/>
  </w:num>
  <w:num w:numId="124">
    <w:abstractNumId w:val="6"/>
  </w:num>
  <w:num w:numId="125">
    <w:abstractNumId w:val="6"/>
  </w:num>
  <w:num w:numId="126">
    <w:abstractNumId w:val="6"/>
  </w:num>
  <w:num w:numId="127">
    <w:abstractNumId w:val="6"/>
  </w:num>
  <w:num w:numId="128">
    <w:abstractNumId w:val="6"/>
  </w:num>
  <w:num w:numId="129">
    <w:abstractNumId w:val="6"/>
  </w:num>
  <w:num w:numId="130">
    <w:abstractNumId w:val="6"/>
  </w:num>
  <w:num w:numId="131">
    <w:abstractNumId w:val="6"/>
  </w:num>
  <w:num w:numId="132">
    <w:abstractNumId w:val="6"/>
  </w:num>
  <w:num w:numId="133">
    <w:abstractNumId w:val="6"/>
  </w:num>
  <w:num w:numId="134">
    <w:abstractNumId w:val="6"/>
  </w:num>
  <w:num w:numId="135">
    <w:abstractNumId w:val="6"/>
  </w:num>
  <w:num w:numId="136">
    <w:abstractNumId w:val="6"/>
  </w:num>
  <w:num w:numId="137">
    <w:abstractNumId w:val="6"/>
  </w:num>
  <w:num w:numId="138">
    <w:abstractNumId w:val="6"/>
  </w:num>
  <w:num w:numId="139">
    <w:abstractNumId w:val="6"/>
  </w:num>
  <w:num w:numId="140">
    <w:abstractNumId w:val="6"/>
  </w:num>
  <w:num w:numId="141">
    <w:abstractNumId w:val="6"/>
  </w:num>
  <w:num w:numId="142">
    <w:abstractNumId w:val="6"/>
  </w:num>
  <w:num w:numId="143">
    <w:abstractNumId w:val="6"/>
  </w:num>
  <w:num w:numId="144">
    <w:abstractNumId w:val="6"/>
  </w:num>
  <w:num w:numId="145">
    <w:abstractNumId w:val="6"/>
  </w:num>
  <w:num w:numId="146">
    <w:abstractNumId w:val="6"/>
  </w:num>
  <w:num w:numId="147">
    <w:abstractNumId w:val="6"/>
  </w:num>
  <w:num w:numId="148">
    <w:abstractNumId w:val="6"/>
  </w:num>
  <w:num w:numId="149">
    <w:abstractNumId w:val="6"/>
  </w:num>
  <w:num w:numId="150">
    <w:abstractNumId w:val="6"/>
  </w:num>
  <w:num w:numId="151">
    <w:abstractNumId w:val="6"/>
  </w:num>
  <w:num w:numId="152">
    <w:abstractNumId w:val="6"/>
  </w:num>
  <w:num w:numId="153">
    <w:abstractNumId w:val="6"/>
  </w:num>
  <w:num w:numId="154">
    <w:abstractNumId w:val="6"/>
  </w:num>
  <w:num w:numId="155">
    <w:abstractNumId w:val="6"/>
  </w:num>
  <w:num w:numId="156">
    <w:abstractNumId w:val="6"/>
  </w:num>
  <w:num w:numId="157">
    <w:abstractNumId w:val="6"/>
  </w:num>
  <w:num w:numId="158">
    <w:abstractNumId w:val="6"/>
  </w:num>
  <w:num w:numId="159">
    <w:abstractNumId w:val="6"/>
  </w:num>
  <w:num w:numId="160">
    <w:abstractNumId w:val="6"/>
  </w:num>
  <w:num w:numId="161">
    <w:abstractNumId w:val="6"/>
  </w:num>
  <w:num w:numId="162">
    <w:abstractNumId w:val="6"/>
  </w:num>
  <w:num w:numId="163">
    <w:abstractNumId w:val="6"/>
  </w:num>
  <w:num w:numId="164">
    <w:abstractNumId w:val="6"/>
  </w:num>
  <w:num w:numId="165">
    <w:abstractNumId w:val="6"/>
  </w:num>
  <w:num w:numId="166">
    <w:abstractNumId w:val="6"/>
  </w:num>
  <w:num w:numId="167">
    <w:abstractNumId w:val="6"/>
  </w:num>
  <w:num w:numId="168">
    <w:abstractNumId w:val="6"/>
  </w:num>
  <w:num w:numId="169">
    <w:abstractNumId w:val="6"/>
  </w:num>
  <w:num w:numId="170">
    <w:abstractNumId w:val="6"/>
  </w:num>
  <w:num w:numId="171">
    <w:abstractNumId w:val="6"/>
  </w:num>
  <w:num w:numId="172">
    <w:abstractNumId w:val="6"/>
  </w:num>
  <w:num w:numId="173">
    <w:abstractNumId w:val="6"/>
  </w:num>
  <w:num w:numId="174">
    <w:abstractNumId w:val="6"/>
  </w:num>
  <w:num w:numId="175">
    <w:abstractNumId w:val="6"/>
  </w:num>
  <w:num w:numId="176">
    <w:abstractNumId w:val="6"/>
  </w:num>
  <w:num w:numId="177">
    <w:abstractNumId w:val="6"/>
  </w:num>
  <w:num w:numId="178">
    <w:abstractNumId w:val="6"/>
  </w:num>
  <w:num w:numId="179">
    <w:abstractNumId w:val="6"/>
  </w:num>
  <w:num w:numId="180">
    <w:abstractNumId w:val="6"/>
  </w:num>
  <w:num w:numId="181">
    <w:abstractNumId w:val="6"/>
  </w:num>
  <w:num w:numId="182">
    <w:abstractNumId w:val="6"/>
  </w:num>
  <w:num w:numId="183">
    <w:abstractNumId w:val="6"/>
  </w:num>
  <w:num w:numId="184">
    <w:abstractNumId w:val="6"/>
  </w:num>
  <w:num w:numId="185">
    <w:abstractNumId w:val="6"/>
  </w:num>
  <w:num w:numId="186">
    <w:abstractNumId w:val="6"/>
  </w:num>
  <w:num w:numId="187">
    <w:abstractNumId w:val="6"/>
  </w:num>
  <w:num w:numId="188">
    <w:abstractNumId w:val="6"/>
  </w:num>
  <w:num w:numId="189">
    <w:abstractNumId w:val="6"/>
  </w:num>
  <w:num w:numId="190">
    <w:abstractNumId w:val="6"/>
  </w:num>
  <w:num w:numId="191">
    <w:abstractNumId w:val="6"/>
  </w:num>
  <w:num w:numId="192">
    <w:abstractNumId w:val="6"/>
  </w:num>
  <w:num w:numId="193">
    <w:abstractNumId w:val="6"/>
  </w:num>
  <w:num w:numId="194">
    <w:abstractNumId w:val="6"/>
  </w:num>
  <w:num w:numId="195">
    <w:abstractNumId w:val="6"/>
  </w:num>
  <w:num w:numId="196">
    <w:abstractNumId w:val="6"/>
  </w:num>
  <w:num w:numId="197">
    <w:abstractNumId w:val="6"/>
  </w:num>
  <w:num w:numId="198">
    <w:abstractNumId w:val="6"/>
  </w:num>
  <w:num w:numId="199">
    <w:abstractNumId w:val="6"/>
  </w:num>
  <w:num w:numId="200">
    <w:abstractNumId w:val="6"/>
  </w:num>
  <w:num w:numId="201">
    <w:abstractNumId w:val="6"/>
  </w:num>
  <w:num w:numId="202">
    <w:abstractNumId w:val="6"/>
  </w:num>
  <w:num w:numId="203">
    <w:abstractNumId w:val="6"/>
  </w:num>
  <w:num w:numId="204">
    <w:abstractNumId w:val="6"/>
  </w:num>
  <w:num w:numId="205">
    <w:abstractNumId w:val="6"/>
  </w:num>
  <w:num w:numId="206">
    <w:abstractNumId w:val="6"/>
  </w:num>
  <w:num w:numId="207">
    <w:abstractNumId w:val="6"/>
  </w:num>
  <w:num w:numId="208">
    <w:abstractNumId w:val="6"/>
  </w:num>
  <w:num w:numId="209">
    <w:abstractNumId w:val="6"/>
  </w:num>
  <w:num w:numId="210">
    <w:abstractNumId w:val="6"/>
  </w:num>
  <w:num w:numId="211">
    <w:abstractNumId w:val="6"/>
  </w:num>
  <w:num w:numId="212">
    <w:abstractNumId w:val="6"/>
  </w:num>
  <w:num w:numId="213">
    <w:abstractNumId w:val="6"/>
  </w:num>
  <w:num w:numId="214">
    <w:abstractNumId w:val="6"/>
  </w:num>
  <w:num w:numId="215">
    <w:abstractNumId w:val="6"/>
  </w:num>
  <w:num w:numId="216">
    <w:abstractNumId w:val="6"/>
  </w:num>
  <w:num w:numId="217">
    <w:abstractNumId w:val="6"/>
  </w:num>
  <w:num w:numId="218">
    <w:abstractNumId w:val="6"/>
  </w:num>
  <w:num w:numId="219">
    <w:abstractNumId w:val="6"/>
  </w:num>
  <w:num w:numId="220">
    <w:abstractNumId w:val="6"/>
  </w:num>
  <w:num w:numId="221">
    <w:abstractNumId w:val="6"/>
  </w:num>
  <w:num w:numId="222">
    <w:abstractNumId w:val="6"/>
  </w:num>
  <w:num w:numId="223">
    <w:abstractNumId w:val="6"/>
  </w:num>
  <w:num w:numId="224">
    <w:abstractNumId w:val="6"/>
  </w:num>
  <w:num w:numId="225">
    <w:abstractNumId w:val="7"/>
  </w:num>
  <w:num w:numId="226">
    <w:abstractNumId w:val="2"/>
  </w:num>
  <w:numIdMacAtCleanup w:val="2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SGosa\peregrine corporation - proposed acquisition of 25 bp australia petrol retail sites in south australia - public competit (MER2014-09698).docx"/>
  </w:docVars>
  <w:rsids>
    <w:rsidRoot w:val="00A17B17"/>
    <w:rsid w:val="000012B8"/>
    <w:rsid w:val="00002198"/>
    <w:rsid w:val="00002543"/>
    <w:rsid w:val="0000285F"/>
    <w:rsid w:val="00002C1A"/>
    <w:rsid w:val="000032EA"/>
    <w:rsid w:val="00005349"/>
    <w:rsid w:val="0000576A"/>
    <w:rsid w:val="00005C90"/>
    <w:rsid w:val="0000724C"/>
    <w:rsid w:val="00007C15"/>
    <w:rsid w:val="00010171"/>
    <w:rsid w:val="0001039D"/>
    <w:rsid w:val="000125FC"/>
    <w:rsid w:val="000126E6"/>
    <w:rsid w:val="00013537"/>
    <w:rsid w:val="00013E42"/>
    <w:rsid w:val="00016658"/>
    <w:rsid w:val="000174F6"/>
    <w:rsid w:val="00020B7B"/>
    <w:rsid w:val="00020E9A"/>
    <w:rsid w:val="00020FE3"/>
    <w:rsid w:val="00022B2F"/>
    <w:rsid w:val="00022E5E"/>
    <w:rsid w:val="00022FCD"/>
    <w:rsid w:val="0002306A"/>
    <w:rsid w:val="000245C0"/>
    <w:rsid w:val="000259B8"/>
    <w:rsid w:val="00025A7C"/>
    <w:rsid w:val="00025F59"/>
    <w:rsid w:val="0002641A"/>
    <w:rsid w:val="0002674B"/>
    <w:rsid w:val="00027BE9"/>
    <w:rsid w:val="00027C41"/>
    <w:rsid w:val="00030086"/>
    <w:rsid w:val="00030262"/>
    <w:rsid w:val="00031813"/>
    <w:rsid w:val="000325A7"/>
    <w:rsid w:val="00032A83"/>
    <w:rsid w:val="000332AE"/>
    <w:rsid w:val="000336CF"/>
    <w:rsid w:val="0003393D"/>
    <w:rsid w:val="00034696"/>
    <w:rsid w:val="00035B42"/>
    <w:rsid w:val="00035BFC"/>
    <w:rsid w:val="00036E47"/>
    <w:rsid w:val="00036F47"/>
    <w:rsid w:val="00037729"/>
    <w:rsid w:val="00040484"/>
    <w:rsid w:val="00040F65"/>
    <w:rsid w:val="00042BEC"/>
    <w:rsid w:val="000444A1"/>
    <w:rsid w:val="00045F83"/>
    <w:rsid w:val="00046643"/>
    <w:rsid w:val="00046A40"/>
    <w:rsid w:val="00046B26"/>
    <w:rsid w:val="00046B7F"/>
    <w:rsid w:val="000477A1"/>
    <w:rsid w:val="000477E8"/>
    <w:rsid w:val="00050EC6"/>
    <w:rsid w:val="0005122F"/>
    <w:rsid w:val="0005286E"/>
    <w:rsid w:val="00052907"/>
    <w:rsid w:val="00052D78"/>
    <w:rsid w:val="00053D8C"/>
    <w:rsid w:val="000555B5"/>
    <w:rsid w:val="00056BFB"/>
    <w:rsid w:val="000573D5"/>
    <w:rsid w:val="00057B59"/>
    <w:rsid w:val="00057D04"/>
    <w:rsid w:val="00057ED6"/>
    <w:rsid w:val="00062304"/>
    <w:rsid w:val="00062721"/>
    <w:rsid w:val="00063600"/>
    <w:rsid w:val="00064202"/>
    <w:rsid w:val="00066A90"/>
    <w:rsid w:val="0006717A"/>
    <w:rsid w:val="0006749D"/>
    <w:rsid w:val="000676CA"/>
    <w:rsid w:val="000705B6"/>
    <w:rsid w:val="00070A39"/>
    <w:rsid w:val="0007130A"/>
    <w:rsid w:val="00071314"/>
    <w:rsid w:val="0007171F"/>
    <w:rsid w:val="00071EAF"/>
    <w:rsid w:val="00072233"/>
    <w:rsid w:val="00072256"/>
    <w:rsid w:val="00075630"/>
    <w:rsid w:val="00076F51"/>
    <w:rsid w:val="00080265"/>
    <w:rsid w:val="00081E6F"/>
    <w:rsid w:val="0008244F"/>
    <w:rsid w:val="00082D36"/>
    <w:rsid w:val="00083D70"/>
    <w:rsid w:val="000840E0"/>
    <w:rsid w:val="00084AF2"/>
    <w:rsid w:val="00085902"/>
    <w:rsid w:val="00085E6E"/>
    <w:rsid w:val="00086A04"/>
    <w:rsid w:val="00091F2B"/>
    <w:rsid w:val="0009378F"/>
    <w:rsid w:val="00094B95"/>
    <w:rsid w:val="00096458"/>
    <w:rsid w:val="000A263A"/>
    <w:rsid w:val="000A2AA5"/>
    <w:rsid w:val="000A3D53"/>
    <w:rsid w:val="000A5116"/>
    <w:rsid w:val="000A5D4E"/>
    <w:rsid w:val="000A6997"/>
    <w:rsid w:val="000A6A7C"/>
    <w:rsid w:val="000A6DBF"/>
    <w:rsid w:val="000A76A4"/>
    <w:rsid w:val="000B0101"/>
    <w:rsid w:val="000B063E"/>
    <w:rsid w:val="000B2B36"/>
    <w:rsid w:val="000B3D49"/>
    <w:rsid w:val="000B49AE"/>
    <w:rsid w:val="000B5B52"/>
    <w:rsid w:val="000B5CE9"/>
    <w:rsid w:val="000B6A41"/>
    <w:rsid w:val="000B7186"/>
    <w:rsid w:val="000C01CC"/>
    <w:rsid w:val="000C07B5"/>
    <w:rsid w:val="000C0A08"/>
    <w:rsid w:val="000C0B91"/>
    <w:rsid w:val="000C1384"/>
    <w:rsid w:val="000C295F"/>
    <w:rsid w:val="000C3D7F"/>
    <w:rsid w:val="000C4E7E"/>
    <w:rsid w:val="000C50E3"/>
    <w:rsid w:val="000C54E6"/>
    <w:rsid w:val="000C69D7"/>
    <w:rsid w:val="000C75AB"/>
    <w:rsid w:val="000C78C3"/>
    <w:rsid w:val="000D14A1"/>
    <w:rsid w:val="000D181F"/>
    <w:rsid w:val="000D18C7"/>
    <w:rsid w:val="000D2087"/>
    <w:rsid w:val="000D226E"/>
    <w:rsid w:val="000D2947"/>
    <w:rsid w:val="000D3095"/>
    <w:rsid w:val="000D324E"/>
    <w:rsid w:val="000D4CFB"/>
    <w:rsid w:val="000D5E34"/>
    <w:rsid w:val="000D6C05"/>
    <w:rsid w:val="000D717E"/>
    <w:rsid w:val="000D767B"/>
    <w:rsid w:val="000E0556"/>
    <w:rsid w:val="000E147B"/>
    <w:rsid w:val="000E291C"/>
    <w:rsid w:val="000E3E4B"/>
    <w:rsid w:val="000E45AC"/>
    <w:rsid w:val="000E4E73"/>
    <w:rsid w:val="000E57E4"/>
    <w:rsid w:val="000E70D4"/>
    <w:rsid w:val="000F0E80"/>
    <w:rsid w:val="000F1225"/>
    <w:rsid w:val="000F1847"/>
    <w:rsid w:val="000F1B82"/>
    <w:rsid w:val="000F1E0E"/>
    <w:rsid w:val="000F2053"/>
    <w:rsid w:val="000F2E84"/>
    <w:rsid w:val="000F31F5"/>
    <w:rsid w:val="000F42F1"/>
    <w:rsid w:val="000F4851"/>
    <w:rsid w:val="000F6407"/>
    <w:rsid w:val="000F6C4B"/>
    <w:rsid w:val="000F6CEE"/>
    <w:rsid w:val="00100898"/>
    <w:rsid w:val="00101969"/>
    <w:rsid w:val="00101C5E"/>
    <w:rsid w:val="001031BE"/>
    <w:rsid w:val="00104681"/>
    <w:rsid w:val="0010495D"/>
    <w:rsid w:val="001053B9"/>
    <w:rsid w:val="00105D86"/>
    <w:rsid w:val="00105F49"/>
    <w:rsid w:val="001069FB"/>
    <w:rsid w:val="00106D63"/>
    <w:rsid w:val="00107368"/>
    <w:rsid w:val="001117FF"/>
    <w:rsid w:val="00111F86"/>
    <w:rsid w:val="00111FEF"/>
    <w:rsid w:val="00112FF1"/>
    <w:rsid w:val="00113E4D"/>
    <w:rsid w:val="00113EE1"/>
    <w:rsid w:val="001147AD"/>
    <w:rsid w:val="001152BC"/>
    <w:rsid w:val="00116AAE"/>
    <w:rsid w:val="00116AB3"/>
    <w:rsid w:val="0012056B"/>
    <w:rsid w:val="001205E5"/>
    <w:rsid w:val="00120B85"/>
    <w:rsid w:val="00123307"/>
    <w:rsid w:val="00125341"/>
    <w:rsid w:val="00125B6A"/>
    <w:rsid w:val="00125EDE"/>
    <w:rsid w:val="0013064E"/>
    <w:rsid w:val="00130A98"/>
    <w:rsid w:val="001317E6"/>
    <w:rsid w:val="00131EA2"/>
    <w:rsid w:val="00131F3D"/>
    <w:rsid w:val="001335AA"/>
    <w:rsid w:val="00134E88"/>
    <w:rsid w:val="00135604"/>
    <w:rsid w:val="00136D73"/>
    <w:rsid w:val="00137377"/>
    <w:rsid w:val="00137730"/>
    <w:rsid w:val="0013791C"/>
    <w:rsid w:val="001400BB"/>
    <w:rsid w:val="00140EC1"/>
    <w:rsid w:val="001411AD"/>
    <w:rsid w:val="00142BA8"/>
    <w:rsid w:val="001431B2"/>
    <w:rsid w:val="001435D3"/>
    <w:rsid w:val="00144457"/>
    <w:rsid w:val="00145334"/>
    <w:rsid w:val="00145FB1"/>
    <w:rsid w:val="00146932"/>
    <w:rsid w:val="00146A86"/>
    <w:rsid w:val="001476F6"/>
    <w:rsid w:val="001477A4"/>
    <w:rsid w:val="001478CD"/>
    <w:rsid w:val="001503B7"/>
    <w:rsid w:val="00151641"/>
    <w:rsid w:val="00152460"/>
    <w:rsid w:val="00152FB1"/>
    <w:rsid w:val="00154E24"/>
    <w:rsid w:val="001554FD"/>
    <w:rsid w:val="00156E27"/>
    <w:rsid w:val="0016029F"/>
    <w:rsid w:val="001608B6"/>
    <w:rsid w:val="00161623"/>
    <w:rsid w:val="0016276A"/>
    <w:rsid w:val="00162978"/>
    <w:rsid w:val="0016380E"/>
    <w:rsid w:val="00163C35"/>
    <w:rsid w:val="00163DC0"/>
    <w:rsid w:val="00163EAE"/>
    <w:rsid w:val="00165067"/>
    <w:rsid w:val="001655AA"/>
    <w:rsid w:val="00165F1F"/>
    <w:rsid w:val="001701D7"/>
    <w:rsid w:val="0017026B"/>
    <w:rsid w:val="0017193F"/>
    <w:rsid w:val="00172BDA"/>
    <w:rsid w:val="00172C64"/>
    <w:rsid w:val="00172E03"/>
    <w:rsid w:val="00174D1A"/>
    <w:rsid w:val="0017513A"/>
    <w:rsid w:val="00175252"/>
    <w:rsid w:val="00175990"/>
    <w:rsid w:val="00176B17"/>
    <w:rsid w:val="001775D3"/>
    <w:rsid w:val="0018011D"/>
    <w:rsid w:val="001803AD"/>
    <w:rsid w:val="00182103"/>
    <w:rsid w:val="00182A2B"/>
    <w:rsid w:val="00182FDE"/>
    <w:rsid w:val="0018439C"/>
    <w:rsid w:val="001867D4"/>
    <w:rsid w:val="0019028A"/>
    <w:rsid w:val="00190D2E"/>
    <w:rsid w:val="00190E8C"/>
    <w:rsid w:val="00191F7C"/>
    <w:rsid w:val="0019286A"/>
    <w:rsid w:val="00192AB7"/>
    <w:rsid w:val="00192E52"/>
    <w:rsid w:val="00193B1D"/>
    <w:rsid w:val="001947FE"/>
    <w:rsid w:val="00194EAB"/>
    <w:rsid w:val="001951B5"/>
    <w:rsid w:val="001959A9"/>
    <w:rsid w:val="001969FE"/>
    <w:rsid w:val="001971C7"/>
    <w:rsid w:val="00197594"/>
    <w:rsid w:val="001A0914"/>
    <w:rsid w:val="001A0EA9"/>
    <w:rsid w:val="001A13A7"/>
    <w:rsid w:val="001A1711"/>
    <w:rsid w:val="001A1723"/>
    <w:rsid w:val="001A2C36"/>
    <w:rsid w:val="001A2F7E"/>
    <w:rsid w:val="001A33F4"/>
    <w:rsid w:val="001A3B60"/>
    <w:rsid w:val="001A3C12"/>
    <w:rsid w:val="001A41C5"/>
    <w:rsid w:val="001A4C04"/>
    <w:rsid w:val="001A5079"/>
    <w:rsid w:val="001A5B69"/>
    <w:rsid w:val="001A5DEA"/>
    <w:rsid w:val="001A62DD"/>
    <w:rsid w:val="001A6AFE"/>
    <w:rsid w:val="001A7C43"/>
    <w:rsid w:val="001B11CF"/>
    <w:rsid w:val="001B2596"/>
    <w:rsid w:val="001B2DCD"/>
    <w:rsid w:val="001B376A"/>
    <w:rsid w:val="001B4287"/>
    <w:rsid w:val="001B430C"/>
    <w:rsid w:val="001B5FB3"/>
    <w:rsid w:val="001B7271"/>
    <w:rsid w:val="001B7342"/>
    <w:rsid w:val="001B78B9"/>
    <w:rsid w:val="001B7CA7"/>
    <w:rsid w:val="001C0D24"/>
    <w:rsid w:val="001C0FEC"/>
    <w:rsid w:val="001C139F"/>
    <w:rsid w:val="001C2B2D"/>
    <w:rsid w:val="001C31D2"/>
    <w:rsid w:val="001C38D3"/>
    <w:rsid w:val="001C40DC"/>
    <w:rsid w:val="001C4434"/>
    <w:rsid w:val="001C5BA3"/>
    <w:rsid w:val="001C7884"/>
    <w:rsid w:val="001C7E51"/>
    <w:rsid w:val="001D0848"/>
    <w:rsid w:val="001D120C"/>
    <w:rsid w:val="001D2221"/>
    <w:rsid w:val="001D31CA"/>
    <w:rsid w:val="001D321D"/>
    <w:rsid w:val="001D33E4"/>
    <w:rsid w:val="001D3429"/>
    <w:rsid w:val="001D3F9E"/>
    <w:rsid w:val="001D43C3"/>
    <w:rsid w:val="001D47B9"/>
    <w:rsid w:val="001D4EAE"/>
    <w:rsid w:val="001D52AC"/>
    <w:rsid w:val="001D5C4B"/>
    <w:rsid w:val="001D5EC8"/>
    <w:rsid w:val="001D6598"/>
    <w:rsid w:val="001D70BB"/>
    <w:rsid w:val="001E06BA"/>
    <w:rsid w:val="001E087A"/>
    <w:rsid w:val="001E0DAC"/>
    <w:rsid w:val="001E1667"/>
    <w:rsid w:val="001E1DEA"/>
    <w:rsid w:val="001E2914"/>
    <w:rsid w:val="001E37FC"/>
    <w:rsid w:val="001E50E7"/>
    <w:rsid w:val="001E5190"/>
    <w:rsid w:val="001E63BC"/>
    <w:rsid w:val="001E69A7"/>
    <w:rsid w:val="001E7069"/>
    <w:rsid w:val="001E7619"/>
    <w:rsid w:val="001F05AD"/>
    <w:rsid w:val="001F1A88"/>
    <w:rsid w:val="001F1BB4"/>
    <w:rsid w:val="001F382D"/>
    <w:rsid w:val="001F46C2"/>
    <w:rsid w:val="001F5498"/>
    <w:rsid w:val="001F5609"/>
    <w:rsid w:val="001F6792"/>
    <w:rsid w:val="001F6DC1"/>
    <w:rsid w:val="001F74E4"/>
    <w:rsid w:val="001F78C3"/>
    <w:rsid w:val="0020101C"/>
    <w:rsid w:val="00202177"/>
    <w:rsid w:val="00202859"/>
    <w:rsid w:val="00203A5B"/>
    <w:rsid w:val="002043C9"/>
    <w:rsid w:val="002044E5"/>
    <w:rsid w:val="0020489D"/>
    <w:rsid w:val="002067D2"/>
    <w:rsid w:val="002068DF"/>
    <w:rsid w:val="00206AF0"/>
    <w:rsid w:val="00206B5F"/>
    <w:rsid w:val="00207206"/>
    <w:rsid w:val="002073B1"/>
    <w:rsid w:val="00210B4B"/>
    <w:rsid w:val="00210F4B"/>
    <w:rsid w:val="002114B6"/>
    <w:rsid w:val="0021215C"/>
    <w:rsid w:val="0021315A"/>
    <w:rsid w:val="002133DE"/>
    <w:rsid w:val="002134E7"/>
    <w:rsid w:val="00215579"/>
    <w:rsid w:val="00215A9F"/>
    <w:rsid w:val="00215B32"/>
    <w:rsid w:val="0021646F"/>
    <w:rsid w:val="00216803"/>
    <w:rsid w:val="00216918"/>
    <w:rsid w:val="0021729B"/>
    <w:rsid w:val="00217836"/>
    <w:rsid w:val="002207D9"/>
    <w:rsid w:val="002209CB"/>
    <w:rsid w:val="00222660"/>
    <w:rsid w:val="00223CE4"/>
    <w:rsid w:val="002248F2"/>
    <w:rsid w:val="0022493B"/>
    <w:rsid w:val="00225CE4"/>
    <w:rsid w:val="00226699"/>
    <w:rsid w:val="0022685C"/>
    <w:rsid w:val="00227458"/>
    <w:rsid w:val="00227847"/>
    <w:rsid w:val="00231836"/>
    <w:rsid w:val="0023305C"/>
    <w:rsid w:val="002331A3"/>
    <w:rsid w:val="0023387E"/>
    <w:rsid w:val="00233BDE"/>
    <w:rsid w:val="00235164"/>
    <w:rsid w:val="0023531C"/>
    <w:rsid w:val="00235D6F"/>
    <w:rsid w:val="002365A2"/>
    <w:rsid w:val="00236B8A"/>
    <w:rsid w:val="00236BAE"/>
    <w:rsid w:val="00240D51"/>
    <w:rsid w:val="00243B25"/>
    <w:rsid w:val="002445B4"/>
    <w:rsid w:val="00244CDA"/>
    <w:rsid w:val="00246DCF"/>
    <w:rsid w:val="00247A10"/>
    <w:rsid w:val="00247EF8"/>
    <w:rsid w:val="002503B3"/>
    <w:rsid w:val="002507A4"/>
    <w:rsid w:val="00250AC0"/>
    <w:rsid w:val="002517F4"/>
    <w:rsid w:val="00252695"/>
    <w:rsid w:val="002537AB"/>
    <w:rsid w:val="002565A5"/>
    <w:rsid w:val="00256908"/>
    <w:rsid w:val="0025708B"/>
    <w:rsid w:val="00257105"/>
    <w:rsid w:val="002608CA"/>
    <w:rsid w:val="002622FA"/>
    <w:rsid w:val="0026395F"/>
    <w:rsid w:val="00263EE8"/>
    <w:rsid w:val="002642A4"/>
    <w:rsid w:val="00270020"/>
    <w:rsid w:val="0027237E"/>
    <w:rsid w:val="002726B8"/>
    <w:rsid w:val="0027281E"/>
    <w:rsid w:val="00273ACF"/>
    <w:rsid w:val="002756C4"/>
    <w:rsid w:val="00275B0D"/>
    <w:rsid w:val="00276B9D"/>
    <w:rsid w:val="0028185B"/>
    <w:rsid w:val="00282633"/>
    <w:rsid w:val="002838F4"/>
    <w:rsid w:val="0028693D"/>
    <w:rsid w:val="0028783A"/>
    <w:rsid w:val="00287968"/>
    <w:rsid w:val="00292B3E"/>
    <w:rsid w:val="00293856"/>
    <w:rsid w:val="00294606"/>
    <w:rsid w:val="00295271"/>
    <w:rsid w:val="00295C11"/>
    <w:rsid w:val="00297FA0"/>
    <w:rsid w:val="002A146E"/>
    <w:rsid w:val="002A1528"/>
    <w:rsid w:val="002A2739"/>
    <w:rsid w:val="002A2CE4"/>
    <w:rsid w:val="002A30CD"/>
    <w:rsid w:val="002A4156"/>
    <w:rsid w:val="002A42F0"/>
    <w:rsid w:val="002A4583"/>
    <w:rsid w:val="002A5229"/>
    <w:rsid w:val="002A580A"/>
    <w:rsid w:val="002A635E"/>
    <w:rsid w:val="002A6875"/>
    <w:rsid w:val="002A78B4"/>
    <w:rsid w:val="002B173D"/>
    <w:rsid w:val="002B1BB2"/>
    <w:rsid w:val="002B4C13"/>
    <w:rsid w:val="002B4CB9"/>
    <w:rsid w:val="002B6384"/>
    <w:rsid w:val="002B672A"/>
    <w:rsid w:val="002B6BB5"/>
    <w:rsid w:val="002B729D"/>
    <w:rsid w:val="002C13DE"/>
    <w:rsid w:val="002C1687"/>
    <w:rsid w:val="002C1C44"/>
    <w:rsid w:val="002C3464"/>
    <w:rsid w:val="002C3516"/>
    <w:rsid w:val="002C4755"/>
    <w:rsid w:val="002C5F0D"/>
    <w:rsid w:val="002C631F"/>
    <w:rsid w:val="002C65F0"/>
    <w:rsid w:val="002C66B8"/>
    <w:rsid w:val="002C7423"/>
    <w:rsid w:val="002D0497"/>
    <w:rsid w:val="002D1F6D"/>
    <w:rsid w:val="002D2B73"/>
    <w:rsid w:val="002D2DBC"/>
    <w:rsid w:val="002D306C"/>
    <w:rsid w:val="002D3151"/>
    <w:rsid w:val="002D3786"/>
    <w:rsid w:val="002D4352"/>
    <w:rsid w:val="002D4CF3"/>
    <w:rsid w:val="002D5265"/>
    <w:rsid w:val="002D5320"/>
    <w:rsid w:val="002D68C4"/>
    <w:rsid w:val="002D71F9"/>
    <w:rsid w:val="002E086B"/>
    <w:rsid w:val="002E09F4"/>
    <w:rsid w:val="002E0ACF"/>
    <w:rsid w:val="002E0CFE"/>
    <w:rsid w:val="002E2661"/>
    <w:rsid w:val="002E30A0"/>
    <w:rsid w:val="002E3C58"/>
    <w:rsid w:val="002E49FF"/>
    <w:rsid w:val="002E511C"/>
    <w:rsid w:val="002E54D9"/>
    <w:rsid w:val="002E5BF4"/>
    <w:rsid w:val="002E6B07"/>
    <w:rsid w:val="002E6D1D"/>
    <w:rsid w:val="002E7984"/>
    <w:rsid w:val="002F0E7E"/>
    <w:rsid w:val="002F2C15"/>
    <w:rsid w:val="002F3245"/>
    <w:rsid w:val="002F32CE"/>
    <w:rsid w:val="002F39B2"/>
    <w:rsid w:val="002F3E2F"/>
    <w:rsid w:val="002F3F67"/>
    <w:rsid w:val="002F4D86"/>
    <w:rsid w:val="002F6175"/>
    <w:rsid w:val="002F6553"/>
    <w:rsid w:val="002F6791"/>
    <w:rsid w:val="00301273"/>
    <w:rsid w:val="003028D5"/>
    <w:rsid w:val="003036C2"/>
    <w:rsid w:val="00304057"/>
    <w:rsid w:val="0030548E"/>
    <w:rsid w:val="00305F7A"/>
    <w:rsid w:val="003074F2"/>
    <w:rsid w:val="00307578"/>
    <w:rsid w:val="00307640"/>
    <w:rsid w:val="00307B05"/>
    <w:rsid w:val="00311A62"/>
    <w:rsid w:val="0031242F"/>
    <w:rsid w:val="003129C2"/>
    <w:rsid w:val="003135B9"/>
    <w:rsid w:val="00314357"/>
    <w:rsid w:val="00314A4E"/>
    <w:rsid w:val="00314F9F"/>
    <w:rsid w:val="00317346"/>
    <w:rsid w:val="00317386"/>
    <w:rsid w:val="003175F5"/>
    <w:rsid w:val="003216C8"/>
    <w:rsid w:val="00321E4C"/>
    <w:rsid w:val="00322334"/>
    <w:rsid w:val="00322884"/>
    <w:rsid w:val="00322EA5"/>
    <w:rsid w:val="00323A0B"/>
    <w:rsid w:val="00323DC5"/>
    <w:rsid w:val="00324009"/>
    <w:rsid w:val="0032467B"/>
    <w:rsid w:val="00325265"/>
    <w:rsid w:val="00325602"/>
    <w:rsid w:val="00325C1D"/>
    <w:rsid w:val="003276AC"/>
    <w:rsid w:val="003276EA"/>
    <w:rsid w:val="003278AE"/>
    <w:rsid w:val="00332F3A"/>
    <w:rsid w:val="00333E91"/>
    <w:rsid w:val="003340EC"/>
    <w:rsid w:val="00334D19"/>
    <w:rsid w:val="00335C21"/>
    <w:rsid w:val="00336760"/>
    <w:rsid w:val="00336B91"/>
    <w:rsid w:val="00337548"/>
    <w:rsid w:val="00340FB6"/>
    <w:rsid w:val="003413D5"/>
    <w:rsid w:val="0034156F"/>
    <w:rsid w:val="00341DD2"/>
    <w:rsid w:val="003439AC"/>
    <w:rsid w:val="00344D2D"/>
    <w:rsid w:val="003452F2"/>
    <w:rsid w:val="00345478"/>
    <w:rsid w:val="00345874"/>
    <w:rsid w:val="00345877"/>
    <w:rsid w:val="00345A6E"/>
    <w:rsid w:val="00345FDD"/>
    <w:rsid w:val="00346A99"/>
    <w:rsid w:val="0035184B"/>
    <w:rsid w:val="00351C46"/>
    <w:rsid w:val="00352038"/>
    <w:rsid w:val="003525D7"/>
    <w:rsid w:val="00352AAB"/>
    <w:rsid w:val="0035329E"/>
    <w:rsid w:val="00353745"/>
    <w:rsid w:val="00354131"/>
    <w:rsid w:val="00354A1A"/>
    <w:rsid w:val="00354FCD"/>
    <w:rsid w:val="00355ACD"/>
    <w:rsid w:val="00355BBF"/>
    <w:rsid w:val="00356501"/>
    <w:rsid w:val="003572D7"/>
    <w:rsid w:val="00360399"/>
    <w:rsid w:val="00361836"/>
    <w:rsid w:val="0036380A"/>
    <w:rsid w:val="00364776"/>
    <w:rsid w:val="00365737"/>
    <w:rsid w:val="00366FF1"/>
    <w:rsid w:val="0036717B"/>
    <w:rsid w:val="0036759D"/>
    <w:rsid w:val="0037044F"/>
    <w:rsid w:val="00370474"/>
    <w:rsid w:val="00371173"/>
    <w:rsid w:val="003717D4"/>
    <w:rsid w:val="00373184"/>
    <w:rsid w:val="00374ABE"/>
    <w:rsid w:val="00376F29"/>
    <w:rsid w:val="00380017"/>
    <w:rsid w:val="003806D1"/>
    <w:rsid w:val="00380A87"/>
    <w:rsid w:val="00380C70"/>
    <w:rsid w:val="00381635"/>
    <w:rsid w:val="00384820"/>
    <w:rsid w:val="003850DD"/>
    <w:rsid w:val="0038630C"/>
    <w:rsid w:val="0038632F"/>
    <w:rsid w:val="00386478"/>
    <w:rsid w:val="00386575"/>
    <w:rsid w:val="003902A4"/>
    <w:rsid w:val="00391D98"/>
    <w:rsid w:val="003925C8"/>
    <w:rsid w:val="00392AE7"/>
    <w:rsid w:val="00393603"/>
    <w:rsid w:val="00394478"/>
    <w:rsid w:val="003945B3"/>
    <w:rsid w:val="00396731"/>
    <w:rsid w:val="00396C86"/>
    <w:rsid w:val="003976DC"/>
    <w:rsid w:val="003978F6"/>
    <w:rsid w:val="003979D6"/>
    <w:rsid w:val="003A22CC"/>
    <w:rsid w:val="003A2DB1"/>
    <w:rsid w:val="003A35CC"/>
    <w:rsid w:val="003A3FE8"/>
    <w:rsid w:val="003A43DB"/>
    <w:rsid w:val="003A52A7"/>
    <w:rsid w:val="003A5466"/>
    <w:rsid w:val="003A6C84"/>
    <w:rsid w:val="003A7E7A"/>
    <w:rsid w:val="003B000F"/>
    <w:rsid w:val="003B1253"/>
    <w:rsid w:val="003B1339"/>
    <w:rsid w:val="003B174E"/>
    <w:rsid w:val="003B1B03"/>
    <w:rsid w:val="003B1E2E"/>
    <w:rsid w:val="003B26A5"/>
    <w:rsid w:val="003B2922"/>
    <w:rsid w:val="003B4081"/>
    <w:rsid w:val="003B4269"/>
    <w:rsid w:val="003B49FC"/>
    <w:rsid w:val="003B5DAC"/>
    <w:rsid w:val="003B676B"/>
    <w:rsid w:val="003B76B4"/>
    <w:rsid w:val="003C0C85"/>
    <w:rsid w:val="003C1946"/>
    <w:rsid w:val="003C2B2B"/>
    <w:rsid w:val="003C48CE"/>
    <w:rsid w:val="003C5ABC"/>
    <w:rsid w:val="003C6ADA"/>
    <w:rsid w:val="003C6CA6"/>
    <w:rsid w:val="003C77BB"/>
    <w:rsid w:val="003C796D"/>
    <w:rsid w:val="003C7EEB"/>
    <w:rsid w:val="003D06FF"/>
    <w:rsid w:val="003D1A65"/>
    <w:rsid w:val="003D1E65"/>
    <w:rsid w:val="003D2727"/>
    <w:rsid w:val="003D368E"/>
    <w:rsid w:val="003D4081"/>
    <w:rsid w:val="003D4B71"/>
    <w:rsid w:val="003D589B"/>
    <w:rsid w:val="003D59E0"/>
    <w:rsid w:val="003D7370"/>
    <w:rsid w:val="003D7884"/>
    <w:rsid w:val="003E08B9"/>
    <w:rsid w:val="003E1BEC"/>
    <w:rsid w:val="003E1DF8"/>
    <w:rsid w:val="003E2245"/>
    <w:rsid w:val="003E2B1B"/>
    <w:rsid w:val="003E323D"/>
    <w:rsid w:val="003E32BF"/>
    <w:rsid w:val="003E33C3"/>
    <w:rsid w:val="003E37C6"/>
    <w:rsid w:val="003E406D"/>
    <w:rsid w:val="003E4093"/>
    <w:rsid w:val="003E442F"/>
    <w:rsid w:val="003E47D2"/>
    <w:rsid w:val="003E5334"/>
    <w:rsid w:val="003E59E7"/>
    <w:rsid w:val="003E5F64"/>
    <w:rsid w:val="003E6E3F"/>
    <w:rsid w:val="003E7B87"/>
    <w:rsid w:val="003F1AE0"/>
    <w:rsid w:val="003F4725"/>
    <w:rsid w:val="003F4FE0"/>
    <w:rsid w:val="003F5D66"/>
    <w:rsid w:val="003F6FDA"/>
    <w:rsid w:val="003F7B86"/>
    <w:rsid w:val="00401B3D"/>
    <w:rsid w:val="00402824"/>
    <w:rsid w:val="00404587"/>
    <w:rsid w:val="00404A0B"/>
    <w:rsid w:val="0040661E"/>
    <w:rsid w:val="00406842"/>
    <w:rsid w:val="00406B3F"/>
    <w:rsid w:val="00407315"/>
    <w:rsid w:val="00407E53"/>
    <w:rsid w:val="00410477"/>
    <w:rsid w:val="00410F71"/>
    <w:rsid w:val="0041344C"/>
    <w:rsid w:val="004138DD"/>
    <w:rsid w:val="00415648"/>
    <w:rsid w:val="004159F9"/>
    <w:rsid w:val="0041617A"/>
    <w:rsid w:val="004207B5"/>
    <w:rsid w:val="0042188C"/>
    <w:rsid w:val="00421F51"/>
    <w:rsid w:val="0042219A"/>
    <w:rsid w:val="0042351D"/>
    <w:rsid w:val="00423C4F"/>
    <w:rsid w:val="0042473D"/>
    <w:rsid w:val="00424BF0"/>
    <w:rsid w:val="00430EB0"/>
    <w:rsid w:val="0043165F"/>
    <w:rsid w:val="00431E8E"/>
    <w:rsid w:val="004337A6"/>
    <w:rsid w:val="00435651"/>
    <w:rsid w:val="00436247"/>
    <w:rsid w:val="00436AD7"/>
    <w:rsid w:val="00436DA0"/>
    <w:rsid w:val="00440787"/>
    <w:rsid w:val="004408A7"/>
    <w:rsid w:val="00441363"/>
    <w:rsid w:val="00441B56"/>
    <w:rsid w:val="00443857"/>
    <w:rsid w:val="00443C28"/>
    <w:rsid w:val="0044653B"/>
    <w:rsid w:val="00446727"/>
    <w:rsid w:val="00446E65"/>
    <w:rsid w:val="00447875"/>
    <w:rsid w:val="00447A25"/>
    <w:rsid w:val="004506D6"/>
    <w:rsid w:val="004518CA"/>
    <w:rsid w:val="00451EB6"/>
    <w:rsid w:val="00452255"/>
    <w:rsid w:val="004527CD"/>
    <w:rsid w:val="00452DFA"/>
    <w:rsid w:val="00452E95"/>
    <w:rsid w:val="00453E06"/>
    <w:rsid w:val="00453FBB"/>
    <w:rsid w:val="004541A2"/>
    <w:rsid w:val="00454403"/>
    <w:rsid w:val="0045471A"/>
    <w:rsid w:val="00454897"/>
    <w:rsid w:val="004548E1"/>
    <w:rsid w:val="00454ED5"/>
    <w:rsid w:val="00456AE7"/>
    <w:rsid w:val="0046019F"/>
    <w:rsid w:val="0046054D"/>
    <w:rsid w:val="00461E40"/>
    <w:rsid w:val="004626D8"/>
    <w:rsid w:val="00462A88"/>
    <w:rsid w:val="004640E9"/>
    <w:rsid w:val="00466B2F"/>
    <w:rsid w:val="00466F47"/>
    <w:rsid w:val="00467265"/>
    <w:rsid w:val="00470DFA"/>
    <w:rsid w:val="004721B6"/>
    <w:rsid w:val="004745BF"/>
    <w:rsid w:val="00474A1C"/>
    <w:rsid w:val="00474D0F"/>
    <w:rsid w:val="00475A0D"/>
    <w:rsid w:val="00475D36"/>
    <w:rsid w:val="0047665C"/>
    <w:rsid w:val="004767C6"/>
    <w:rsid w:val="00476C15"/>
    <w:rsid w:val="0047744C"/>
    <w:rsid w:val="00480804"/>
    <w:rsid w:val="0048086F"/>
    <w:rsid w:val="00481177"/>
    <w:rsid w:val="004818F0"/>
    <w:rsid w:val="004828D7"/>
    <w:rsid w:val="00483DF0"/>
    <w:rsid w:val="00483EED"/>
    <w:rsid w:val="00484229"/>
    <w:rsid w:val="00484CFA"/>
    <w:rsid w:val="00485C5C"/>
    <w:rsid w:val="00485E7B"/>
    <w:rsid w:val="00485FE3"/>
    <w:rsid w:val="00486014"/>
    <w:rsid w:val="00487119"/>
    <w:rsid w:val="0048732D"/>
    <w:rsid w:val="00491456"/>
    <w:rsid w:val="00494681"/>
    <w:rsid w:val="0049483B"/>
    <w:rsid w:val="00494A4A"/>
    <w:rsid w:val="004961A4"/>
    <w:rsid w:val="00496F35"/>
    <w:rsid w:val="00497927"/>
    <w:rsid w:val="004A0218"/>
    <w:rsid w:val="004A1382"/>
    <w:rsid w:val="004A23B2"/>
    <w:rsid w:val="004A30D9"/>
    <w:rsid w:val="004A6EEE"/>
    <w:rsid w:val="004A71D6"/>
    <w:rsid w:val="004A7D32"/>
    <w:rsid w:val="004A7EA3"/>
    <w:rsid w:val="004B003C"/>
    <w:rsid w:val="004B0735"/>
    <w:rsid w:val="004B1A93"/>
    <w:rsid w:val="004B1FA4"/>
    <w:rsid w:val="004B2ACB"/>
    <w:rsid w:val="004B2DC4"/>
    <w:rsid w:val="004B3BC1"/>
    <w:rsid w:val="004B3E3C"/>
    <w:rsid w:val="004B486B"/>
    <w:rsid w:val="004B52BF"/>
    <w:rsid w:val="004B53BF"/>
    <w:rsid w:val="004B57B2"/>
    <w:rsid w:val="004B688A"/>
    <w:rsid w:val="004B6A68"/>
    <w:rsid w:val="004C0383"/>
    <w:rsid w:val="004C1A27"/>
    <w:rsid w:val="004C1CE0"/>
    <w:rsid w:val="004C22C5"/>
    <w:rsid w:val="004C2579"/>
    <w:rsid w:val="004C3638"/>
    <w:rsid w:val="004C374D"/>
    <w:rsid w:val="004C41A1"/>
    <w:rsid w:val="004C434A"/>
    <w:rsid w:val="004C4539"/>
    <w:rsid w:val="004C55BD"/>
    <w:rsid w:val="004C564B"/>
    <w:rsid w:val="004C660C"/>
    <w:rsid w:val="004C69F2"/>
    <w:rsid w:val="004C6A57"/>
    <w:rsid w:val="004C6E6C"/>
    <w:rsid w:val="004C7268"/>
    <w:rsid w:val="004C768E"/>
    <w:rsid w:val="004D08B6"/>
    <w:rsid w:val="004D0A43"/>
    <w:rsid w:val="004D0B42"/>
    <w:rsid w:val="004D0C92"/>
    <w:rsid w:val="004D11A2"/>
    <w:rsid w:val="004D2F34"/>
    <w:rsid w:val="004D3828"/>
    <w:rsid w:val="004D52A8"/>
    <w:rsid w:val="004D619F"/>
    <w:rsid w:val="004D6259"/>
    <w:rsid w:val="004D7B95"/>
    <w:rsid w:val="004E0154"/>
    <w:rsid w:val="004E03E3"/>
    <w:rsid w:val="004E03FB"/>
    <w:rsid w:val="004E056D"/>
    <w:rsid w:val="004E1830"/>
    <w:rsid w:val="004E29BD"/>
    <w:rsid w:val="004E3709"/>
    <w:rsid w:val="004E3805"/>
    <w:rsid w:val="004E3A84"/>
    <w:rsid w:val="004E4BFF"/>
    <w:rsid w:val="004E4C64"/>
    <w:rsid w:val="004E6623"/>
    <w:rsid w:val="004E6929"/>
    <w:rsid w:val="004E75B7"/>
    <w:rsid w:val="004E7CB6"/>
    <w:rsid w:val="004F0164"/>
    <w:rsid w:val="004F01B6"/>
    <w:rsid w:val="004F050D"/>
    <w:rsid w:val="004F0E47"/>
    <w:rsid w:val="004F17AE"/>
    <w:rsid w:val="004F1B05"/>
    <w:rsid w:val="004F2EFB"/>
    <w:rsid w:val="004F2F94"/>
    <w:rsid w:val="004F3547"/>
    <w:rsid w:val="004F4D4A"/>
    <w:rsid w:val="004F64EB"/>
    <w:rsid w:val="004F65D6"/>
    <w:rsid w:val="004F680C"/>
    <w:rsid w:val="004F6C36"/>
    <w:rsid w:val="004F7AEA"/>
    <w:rsid w:val="00500073"/>
    <w:rsid w:val="0050031B"/>
    <w:rsid w:val="00500DBC"/>
    <w:rsid w:val="00502B60"/>
    <w:rsid w:val="00502D1B"/>
    <w:rsid w:val="00502DCD"/>
    <w:rsid w:val="00502F37"/>
    <w:rsid w:val="0050339E"/>
    <w:rsid w:val="0050385A"/>
    <w:rsid w:val="00503D08"/>
    <w:rsid w:val="00504132"/>
    <w:rsid w:val="005045A6"/>
    <w:rsid w:val="00504E50"/>
    <w:rsid w:val="00504E51"/>
    <w:rsid w:val="00505075"/>
    <w:rsid w:val="00505C9B"/>
    <w:rsid w:val="00505D6D"/>
    <w:rsid w:val="00505FE5"/>
    <w:rsid w:val="005061DE"/>
    <w:rsid w:val="00506A40"/>
    <w:rsid w:val="00510A77"/>
    <w:rsid w:val="005118C5"/>
    <w:rsid w:val="00511A56"/>
    <w:rsid w:val="00511F60"/>
    <w:rsid w:val="00512557"/>
    <w:rsid w:val="00512A01"/>
    <w:rsid w:val="00513770"/>
    <w:rsid w:val="00513D1D"/>
    <w:rsid w:val="00515D04"/>
    <w:rsid w:val="005175C0"/>
    <w:rsid w:val="005205A3"/>
    <w:rsid w:val="00521832"/>
    <w:rsid w:val="00521C6F"/>
    <w:rsid w:val="00522810"/>
    <w:rsid w:val="00522A97"/>
    <w:rsid w:val="00522F45"/>
    <w:rsid w:val="00524B23"/>
    <w:rsid w:val="00524C81"/>
    <w:rsid w:val="005262D0"/>
    <w:rsid w:val="00526588"/>
    <w:rsid w:val="0052660E"/>
    <w:rsid w:val="00526CB2"/>
    <w:rsid w:val="005279EC"/>
    <w:rsid w:val="00530DB2"/>
    <w:rsid w:val="005328AC"/>
    <w:rsid w:val="00532CA5"/>
    <w:rsid w:val="00534A99"/>
    <w:rsid w:val="00535130"/>
    <w:rsid w:val="0053567E"/>
    <w:rsid w:val="0053635C"/>
    <w:rsid w:val="00537167"/>
    <w:rsid w:val="00540083"/>
    <w:rsid w:val="00540200"/>
    <w:rsid w:val="00542148"/>
    <w:rsid w:val="00543EF7"/>
    <w:rsid w:val="00544465"/>
    <w:rsid w:val="005448B5"/>
    <w:rsid w:val="00544FF9"/>
    <w:rsid w:val="00545D3F"/>
    <w:rsid w:val="00545D63"/>
    <w:rsid w:val="00547439"/>
    <w:rsid w:val="00547781"/>
    <w:rsid w:val="00551CB3"/>
    <w:rsid w:val="005528B5"/>
    <w:rsid w:val="00552D98"/>
    <w:rsid w:val="00553F87"/>
    <w:rsid w:val="0055473B"/>
    <w:rsid w:val="00556A81"/>
    <w:rsid w:val="00557961"/>
    <w:rsid w:val="00557A9A"/>
    <w:rsid w:val="0056088C"/>
    <w:rsid w:val="005610A6"/>
    <w:rsid w:val="005612E2"/>
    <w:rsid w:val="005626D7"/>
    <w:rsid w:val="005629CA"/>
    <w:rsid w:val="00562E48"/>
    <w:rsid w:val="00563D02"/>
    <w:rsid w:val="005646F8"/>
    <w:rsid w:val="005659EC"/>
    <w:rsid w:val="00566026"/>
    <w:rsid w:val="00567EA6"/>
    <w:rsid w:val="005711F8"/>
    <w:rsid w:val="00571A02"/>
    <w:rsid w:val="005725E2"/>
    <w:rsid w:val="00573207"/>
    <w:rsid w:val="00573BE8"/>
    <w:rsid w:val="00573ECF"/>
    <w:rsid w:val="00574933"/>
    <w:rsid w:val="00574E3F"/>
    <w:rsid w:val="005754FD"/>
    <w:rsid w:val="0057590D"/>
    <w:rsid w:val="00576D6C"/>
    <w:rsid w:val="00576E5A"/>
    <w:rsid w:val="00580A58"/>
    <w:rsid w:val="00581B75"/>
    <w:rsid w:val="00582CD6"/>
    <w:rsid w:val="005843D1"/>
    <w:rsid w:val="00584C91"/>
    <w:rsid w:val="00585337"/>
    <w:rsid w:val="00585FCB"/>
    <w:rsid w:val="00590502"/>
    <w:rsid w:val="00590A98"/>
    <w:rsid w:val="0059123A"/>
    <w:rsid w:val="005913CE"/>
    <w:rsid w:val="005917C2"/>
    <w:rsid w:val="00591BD9"/>
    <w:rsid w:val="005928BA"/>
    <w:rsid w:val="005932D3"/>
    <w:rsid w:val="00593332"/>
    <w:rsid w:val="00593A05"/>
    <w:rsid w:val="00593F6C"/>
    <w:rsid w:val="0059445A"/>
    <w:rsid w:val="0059643D"/>
    <w:rsid w:val="00597010"/>
    <w:rsid w:val="005971A5"/>
    <w:rsid w:val="005A060C"/>
    <w:rsid w:val="005A0D2C"/>
    <w:rsid w:val="005A0F5B"/>
    <w:rsid w:val="005A1D2E"/>
    <w:rsid w:val="005A1FBB"/>
    <w:rsid w:val="005A20B9"/>
    <w:rsid w:val="005A2214"/>
    <w:rsid w:val="005A33E8"/>
    <w:rsid w:val="005A3ABD"/>
    <w:rsid w:val="005A4E92"/>
    <w:rsid w:val="005A6087"/>
    <w:rsid w:val="005B09F1"/>
    <w:rsid w:val="005B0BAE"/>
    <w:rsid w:val="005B0CA8"/>
    <w:rsid w:val="005B1435"/>
    <w:rsid w:val="005B1BA0"/>
    <w:rsid w:val="005B3382"/>
    <w:rsid w:val="005B4794"/>
    <w:rsid w:val="005B4DE3"/>
    <w:rsid w:val="005B60C3"/>
    <w:rsid w:val="005C031B"/>
    <w:rsid w:val="005C0407"/>
    <w:rsid w:val="005C1A1A"/>
    <w:rsid w:val="005C311F"/>
    <w:rsid w:val="005C4892"/>
    <w:rsid w:val="005C6008"/>
    <w:rsid w:val="005C6112"/>
    <w:rsid w:val="005C7A9A"/>
    <w:rsid w:val="005C7C95"/>
    <w:rsid w:val="005D00EA"/>
    <w:rsid w:val="005D1BE2"/>
    <w:rsid w:val="005D2700"/>
    <w:rsid w:val="005D305A"/>
    <w:rsid w:val="005D3F02"/>
    <w:rsid w:val="005D4F95"/>
    <w:rsid w:val="005D5007"/>
    <w:rsid w:val="005D5C92"/>
    <w:rsid w:val="005D5EED"/>
    <w:rsid w:val="005D68D4"/>
    <w:rsid w:val="005D7C33"/>
    <w:rsid w:val="005D7EA4"/>
    <w:rsid w:val="005E00E5"/>
    <w:rsid w:val="005E14A6"/>
    <w:rsid w:val="005E330C"/>
    <w:rsid w:val="005E374C"/>
    <w:rsid w:val="005E3B99"/>
    <w:rsid w:val="005E3D9B"/>
    <w:rsid w:val="005E5038"/>
    <w:rsid w:val="005E535B"/>
    <w:rsid w:val="005E537F"/>
    <w:rsid w:val="005E57D0"/>
    <w:rsid w:val="005E582F"/>
    <w:rsid w:val="005E5D26"/>
    <w:rsid w:val="005E6791"/>
    <w:rsid w:val="005E69F4"/>
    <w:rsid w:val="005E6AAE"/>
    <w:rsid w:val="005E78AC"/>
    <w:rsid w:val="005E7DC1"/>
    <w:rsid w:val="005E7F1D"/>
    <w:rsid w:val="005F0D4A"/>
    <w:rsid w:val="005F1BD4"/>
    <w:rsid w:val="005F1C26"/>
    <w:rsid w:val="005F1EA7"/>
    <w:rsid w:val="005F2DA8"/>
    <w:rsid w:val="005F30D2"/>
    <w:rsid w:val="005F38F2"/>
    <w:rsid w:val="005F4D7E"/>
    <w:rsid w:val="005F55AB"/>
    <w:rsid w:val="005F5663"/>
    <w:rsid w:val="005F5DA2"/>
    <w:rsid w:val="005F7E58"/>
    <w:rsid w:val="0060059E"/>
    <w:rsid w:val="00600867"/>
    <w:rsid w:val="006012F9"/>
    <w:rsid w:val="00601D43"/>
    <w:rsid w:val="00602344"/>
    <w:rsid w:val="006025DF"/>
    <w:rsid w:val="00602841"/>
    <w:rsid w:val="00602AE1"/>
    <w:rsid w:val="0060399D"/>
    <w:rsid w:val="00603A21"/>
    <w:rsid w:val="00603FC6"/>
    <w:rsid w:val="00604305"/>
    <w:rsid w:val="006047F3"/>
    <w:rsid w:val="00605024"/>
    <w:rsid w:val="00605F25"/>
    <w:rsid w:val="00605FD3"/>
    <w:rsid w:val="00606C8B"/>
    <w:rsid w:val="0061030D"/>
    <w:rsid w:val="00610ABD"/>
    <w:rsid w:val="00610EC9"/>
    <w:rsid w:val="0061222D"/>
    <w:rsid w:val="0061414B"/>
    <w:rsid w:val="0061588F"/>
    <w:rsid w:val="00615BB6"/>
    <w:rsid w:val="00615E62"/>
    <w:rsid w:val="00616590"/>
    <w:rsid w:val="00616A28"/>
    <w:rsid w:val="006172BB"/>
    <w:rsid w:val="00617EA2"/>
    <w:rsid w:val="00620459"/>
    <w:rsid w:val="00621F26"/>
    <w:rsid w:val="0062237E"/>
    <w:rsid w:val="00622723"/>
    <w:rsid w:val="00622CAB"/>
    <w:rsid w:val="006250CD"/>
    <w:rsid w:val="0062624B"/>
    <w:rsid w:val="00626456"/>
    <w:rsid w:val="00626FAD"/>
    <w:rsid w:val="00626FDB"/>
    <w:rsid w:val="0062749F"/>
    <w:rsid w:val="00630F75"/>
    <w:rsid w:val="00631636"/>
    <w:rsid w:val="00631DC1"/>
    <w:rsid w:val="00631E53"/>
    <w:rsid w:val="00632B57"/>
    <w:rsid w:val="00632D25"/>
    <w:rsid w:val="00633B4F"/>
    <w:rsid w:val="00634E10"/>
    <w:rsid w:val="00634E4E"/>
    <w:rsid w:val="00635AA5"/>
    <w:rsid w:val="00636431"/>
    <w:rsid w:val="00640416"/>
    <w:rsid w:val="006406EF"/>
    <w:rsid w:val="006410BA"/>
    <w:rsid w:val="0064117C"/>
    <w:rsid w:val="00641E68"/>
    <w:rsid w:val="00641EC6"/>
    <w:rsid w:val="00642853"/>
    <w:rsid w:val="00642CE7"/>
    <w:rsid w:val="00643110"/>
    <w:rsid w:val="0064357B"/>
    <w:rsid w:val="006435EA"/>
    <w:rsid w:val="00643755"/>
    <w:rsid w:val="006439EF"/>
    <w:rsid w:val="00643E7C"/>
    <w:rsid w:val="00644670"/>
    <w:rsid w:val="00644839"/>
    <w:rsid w:val="00644CAF"/>
    <w:rsid w:val="00645264"/>
    <w:rsid w:val="00645FD0"/>
    <w:rsid w:val="00646279"/>
    <w:rsid w:val="00646D88"/>
    <w:rsid w:val="00650B51"/>
    <w:rsid w:val="00650E3D"/>
    <w:rsid w:val="00651C9B"/>
    <w:rsid w:val="00651DDC"/>
    <w:rsid w:val="006531C0"/>
    <w:rsid w:val="00653583"/>
    <w:rsid w:val="0065411F"/>
    <w:rsid w:val="00654133"/>
    <w:rsid w:val="00656326"/>
    <w:rsid w:val="00656D0B"/>
    <w:rsid w:val="00656D41"/>
    <w:rsid w:val="00656DF8"/>
    <w:rsid w:val="006572A9"/>
    <w:rsid w:val="00657F31"/>
    <w:rsid w:val="00661994"/>
    <w:rsid w:val="00661F9E"/>
    <w:rsid w:val="0066376F"/>
    <w:rsid w:val="00663BCD"/>
    <w:rsid w:val="00664FA3"/>
    <w:rsid w:val="0066529F"/>
    <w:rsid w:val="00667969"/>
    <w:rsid w:val="00670250"/>
    <w:rsid w:val="00671D82"/>
    <w:rsid w:val="00672BE4"/>
    <w:rsid w:val="00672F33"/>
    <w:rsid w:val="006743F9"/>
    <w:rsid w:val="0067470C"/>
    <w:rsid w:val="00675E49"/>
    <w:rsid w:val="00675FD8"/>
    <w:rsid w:val="00676AA5"/>
    <w:rsid w:val="00676B74"/>
    <w:rsid w:val="00677788"/>
    <w:rsid w:val="0068014F"/>
    <w:rsid w:val="00680CC1"/>
    <w:rsid w:val="006820B0"/>
    <w:rsid w:val="00682791"/>
    <w:rsid w:val="00682E15"/>
    <w:rsid w:val="0068308F"/>
    <w:rsid w:val="00683C95"/>
    <w:rsid w:val="0068571F"/>
    <w:rsid w:val="00686370"/>
    <w:rsid w:val="00686725"/>
    <w:rsid w:val="00690354"/>
    <w:rsid w:val="00690A9D"/>
    <w:rsid w:val="00690B66"/>
    <w:rsid w:val="00691C40"/>
    <w:rsid w:val="00692666"/>
    <w:rsid w:val="0069267E"/>
    <w:rsid w:val="00692D15"/>
    <w:rsid w:val="00692D9A"/>
    <w:rsid w:val="00693862"/>
    <w:rsid w:val="00694979"/>
    <w:rsid w:val="006971B2"/>
    <w:rsid w:val="00697E56"/>
    <w:rsid w:val="006A00A4"/>
    <w:rsid w:val="006A0204"/>
    <w:rsid w:val="006A07B1"/>
    <w:rsid w:val="006A30E3"/>
    <w:rsid w:val="006A3250"/>
    <w:rsid w:val="006A4496"/>
    <w:rsid w:val="006A45CE"/>
    <w:rsid w:val="006A66D5"/>
    <w:rsid w:val="006A6C04"/>
    <w:rsid w:val="006A6F79"/>
    <w:rsid w:val="006A7151"/>
    <w:rsid w:val="006A7FE8"/>
    <w:rsid w:val="006B1713"/>
    <w:rsid w:val="006B2736"/>
    <w:rsid w:val="006B457D"/>
    <w:rsid w:val="006B4F0A"/>
    <w:rsid w:val="006B5320"/>
    <w:rsid w:val="006B5CF7"/>
    <w:rsid w:val="006B615F"/>
    <w:rsid w:val="006B6A61"/>
    <w:rsid w:val="006B6B3F"/>
    <w:rsid w:val="006B6BDB"/>
    <w:rsid w:val="006C069D"/>
    <w:rsid w:val="006C107C"/>
    <w:rsid w:val="006C1267"/>
    <w:rsid w:val="006C1E01"/>
    <w:rsid w:val="006C3773"/>
    <w:rsid w:val="006C4935"/>
    <w:rsid w:val="006C5D65"/>
    <w:rsid w:val="006C7E85"/>
    <w:rsid w:val="006D15E8"/>
    <w:rsid w:val="006D1FF0"/>
    <w:rsid w:val="006D547D"/>
    <w:rsid w:val="006D63B0"/>
    <w:rsid w:val="006D63B7"/>
    <w:rsid w:val="006D6831"/>
    <w:rsid w:val="006D6FBE"/>
    <w:rsid w:val="006D7063"/>
    <w:rsid w:val="006D779F"/>
    <w:rsid w:val="006D7B55"/>
    <w:rsid w:val="006E04B7"/>
    <w:rsid w:val="006E05A8"/>
    <w:rsid w:val="006E063D"/>
    <w:rsid w:val="006E2094"/>
    <w:rsid w:val="006E43D0"/>
    <w:rsid w:val="006E6592"/>
    <w:rsid w:val="006E6CD7"/>
    <w:rsid w:val="006E75B4"/>
    <w:rsid w:val="006E7BA7"/>
    <w:rsid w:val="006F126A"/>
    <w:rsid w:val="006F1623"/>
    <w:rsid w:val="006F3706"/>
    <w:rsid w:val="006F38F4"/>
    <w:rsid w:val="006F5621"/>
    <w:rsid w:val="006F641D"/>
    <w:rsid w:val="0070120F"/>
    <w:rsid w:val="0070296C"/>
    <w:rsid w:val="00703521"/>
    <w:rsid w:val="0070404B"/>
    <w:rsid w:val="007046F8"/>
    <w:rsid w:val="00705BB2"/>
    <w:rsid w:val="00706C2E"/>
    <w:rsid w:val="0071006D"/>
    <w:rsid w:val="00711339"/>
    <w:rsid w:val="007126B4"/>
    <w:rsid w:val="00712BFD"/>
    <w:rsid w:val="00713541"/>
    <w:rsid w:val="00713634"/>
    <w:rsid w:val="00714950"/>
    <w:rsid w:val="00714DC3"/>
    <w:rsid w:val="007163E4"/>
    <w:rsid w:val="00716C0E"/>
    <w:rsid w:val="00717468"/>
    <w:rsid w:val="00717C97"/>
    <w:rsid w:val="00720B34"/>
    <w:rsid w:val="00722385"/>
    <w:rsid w:val="007224DC"/>
    <w:rsid w:val="007231EB"/>
    <w:rsid w:val="00723A72"/>
    <w:rsid w:val="0072605F"/>
    <w:rsid w:val="007267A4"/>
    <w:rsid w:val="00727031"/>
    <w:rsid w:val="00727195"/>
    <w:rsid w:val="0072788F"/>
    <w:rsid w:val="00727FAF"/>
    <w:rsid w:val="00730B06"/>
    <w:rsid w:val="00732410"/>
    <w:rsid w:val="007349FF"/>
    <w:rsid w:val="00734B93"/>
    <w:rsid w:val="0073595A"/>
    <w:rsid w:val="00737860"/>
    <w:rsid w:val="007379DD"/>
    <w:rsid w:val="00737DD3"/>
    <w:rsid w:val="00742224"/>
    <w:rsid w:val="0074455C"/>
    <w:rsid w:val="00744FCA"/>
    <w:rsid w:val="00745543"/>
    <w:rsid w:val="00745928"/>
    <w:rsid w:val="00745F51"/>
    <w:rsid w:val="00746239"/>
    <w:rsid w:val="00747983"/>
    <w:rsid w:val="00747ACF"/>
    <w:rsid w:val="0075137E"/>
    <w:rsid w:val="00751EF1"/>
    <w:rsid w:val="007525E1"/>
    <w:rsid w:val="00752786"/>
    <w:rsid w:val="00752BC0"/>
    <w:rsid w:val="007532B3"/>
    <w:rsid w:val="0075332A"/>
    <w:rsid w:val="007563D0"/>
    <w:rsid w:val="007564E9"/>
    <w:rsid w:val="00756976"/>
    <w:rsid w:val="007572EA"/>
    <w:rsid w:val="00757534"/>
    <w:rsid w:val="007611BC"/>
    <w:rsid w:val="007632B2"/>
    <w:rsid w:val="00763FD9"/>
    <w:rsid w:val="00764F58"/>
    <w:rsid w:val="00765D0C"/>
    <w:rsid w:val="007665B5"/>
    <w:rsid w:val="00767A54"/>
    <w:rsid w:val="00771572"/>
    <w:rsid w:val="007716BA"/>
    <w:rsid w:val="00771C17"/>
    <w:rsid w:val="007727C9"/>
    <w:rsid w:val="00772C1E"/>
    <w:rsid w:val="00773180"/>
    <w:rsid w:val="007737D8"/>
    <w:rsid w:val="00773FC2"/>
    <w:rsid w:val="0077502F"/>
    <w:rsid w:val="00775EE4"/>
    <w:rsid w:val="00777D12"/>
    <w:rsid w:val="00777D72"/>
    <w:rsid w:val="0078090A"/>
    <w:rsid w:val="007820D1"/>
    <w:rsid w:val="007820F1"/>
    <w:rsid w:val="00785369"/>
    <w:rsid w:val="00785FBC"/>
    <w:rsid w:val="00786BA9"/>
    <w:rsid w:val="00786E26"/>
    <w:rsid w:val="007873DE"/>
    <w:rsid w:val="00787E70"/>
    <w:rsid w:val="00790564"/>
    <w:rsid w:val="00790EA0"/>
    <w:rsid w:val="00791B74"/>
    <w:rsid w:val="0079345C"/>
    <w:rsid w:val="00793D02"/>
    <w:rsid w:val="007953B5"/>
    <w:rsid w:val="007958CC"/>
    <w:rsid w:val="007959EE"/>
    <w:rsid w:val="00796233"/>
    <w:rsid w:val="00796F28"/>
    <w:rsid w:val="007A0E11"/>
    <w:rsid w:val="007A0FFC"/>
    <w:rsid w:val="007A1527"/>
    <w:rsid w:val="007A2A00"/>
    <w:rsid w:val="007A2D9F"/>
    <w:rsid w:val="007A2DE3"/>
    <w:rsid w:val="007A398C"/>
    <w:rsid w:val="007A4470"/>
    <w:rsid w:val="007A4767"/>
    <w:rsid w:val="007A59BB"/>
    <w:rsid w:val="007A6297"/>
    <w:rsid w:val="007A72A9"/>
    <w:rsid w:val="007A7B70"/>
    <w:rsid w:val="007B1AEF"/>
    <w:rsid w:val="007B271F"/>
    <w:rsid w:val="007B474E"/>
    <w:rsid w:val="007B4BEA"/>
    <w:rsid w:val="007B4D4C"/>
    <w:rsid w:val="007C283E"/>
    <w:rsid w:val="007C2B78"/>
    <w:rsid w:val="007C34FE"/>
    <w:rsid w:val="007C40E8"/>
    <w:rsid w:val="007C52D5"/>
    <w:rsid w:val="007C5BA3"/>
    <w:rsid w:val="007C6278"/>
    <w:rsid w:val="007C666C"/>
    <w:rsid w:val="007C7F07"/>
    <w:rsid w:val="007D2887"/>
    <w:rsid w:val="007D3332"/>
    <w:rsid w:val="007D3CDA"/>
    <w:rsid w:val="007D4568"/>
    <w:rsid w:val="007D47DB"/>
    <w:rsid w:val="007D645E"/>
    <w:rsid w:val="007E22BE"/>
    <w:rsid w:val="007E22FF"/>
    <w:rsid w:val="007E547C"/>
    <w:rsid w:val="007E67C6"/>
    <w:rsid w:val="007E7588"/>
    <w:rsid w:val="007E7F1F"/>
    <w:rsid w:val="007F0807"/>
    <w:rsid w:val="007F1B1B"/>
    <w:rsid w:val="007F220B"/>
    <w:rsid w:val="007F2BDA"/>
    <w:rsid w:val="007F38EF"/>
    <w:rsid w:val="007F392D"/>
    <w:rsid w:val="007F3EB5"/>
    <w:rsid w:val="007F3ED5"/>
    <w:rsid w:val="007F413D"/>
    <w:rsid w:val="007F5293"/>
    <w:rsid w:val="007F7D5E"/>
    <w:rsid w:val="008028D6"/>
    <w:rsid w:val="00802CAF"/>
    <w:rsid w:val="00802E34"/>
    <w:rsid w:val="00805277"/>
    <w:rsid w:val="00807C30"/>
    <w:rsid w:val="00810787"/>
    <w:rsid w:val="008112B3"/>
    <w:rsid w:val="00811E13"/>
    <w:rsid w:val="00812EF2"/>
    <w:rsid w:val="00813136"/>
    <w:rsid w:val="008149DF"/>
    <w:rsid w:val="00814AB1"/>
    <w:rsid w:val="00815B6A"/>
    <w:rsid w:val="008172F4"/>
    <w:rsid w:val="00817A1C"/>
    <w:rsid w:val="0082056D"/>
    <w:rsid w:val="00821E11"/>
    <w:rsid w:val="00821EC1"/>
    <w:rsid w:val="0082204D"/>
    <w:rsid w:val="00822268"/>
    <w:rsid w:val="00824DDE"/>
    <w:rsid w:val="00826609"/>
    <w:rsid w:val="008270EB"/>
    <w:rsid w:val="008307BD"/>
    <w:rsid w:val="00830973"/>
    <w:rsid w:val="008315BF"/>
    <w:rsid w:val="00831B8B"/>
    <w:rsid w:val="00831BCF"/>
    <w:rsid w:val="0083320B"/>
    <w:rsid w:val="0083351F"/>
    <w:rsid w:val="00833703"/>
    <w:rsid w:val="008344D2"/>
    <w:rsid w:val="008355D3"/>
    <w:rsid w:val="00835688"/>
    <w:rsid w:val="00835ACA"/>
    <w:rsid w:val="00836CB5"/>
    <w:rsid w:val="00837077"/>
    <w:rsid w:val="0084063F"/>
    <w:rsid w:val="00840E4C"/>
    <w:rsid w:val="0084121A"/>
    <w:rsid w:val="008420A5"/>
    <w:rsid w:val="00842F06"/>
    <w:rsid w:val="00842FDB"/>
    <w:rsid w:val="00844B0D"/>
    <w:rsid w:val="00844BA5"/>
    <w:rsid w:val="008455C8"/>
    <w:rsid w:val="00846CD3"/>
    <w:rsid w:val="00847725"/>
    <w:rsid w:val="0085019E"/>
    <w:rsid w:val="008505A7"/>
    <w:rsid w:val="00850865"/>
    <w:rsid w:val="00851D23"/>
    <w:rsid w:val="00851EB5"/>
    <w:rsid w:val="008520D2"/>
    <w:rsid w:val="00852B49"/>
    <w:rsid w:val="00852E34"/>
    <w:rsid w:val="008538B7"/>
    <w:rsid w:val="008561B4"/>
    <w:rsid w:val="008562C5"/>
    <w:rsid w:val="00857399"/>
    <w:rsid w:val="00857410"/>
    <w:rsid w:val="008576AC"/>
    <w:rsid w:val="008615D4"/>
    <w:rsid w:val="0086253D"/>
    <w:rsid w:val="008627CC"/>
    <w:rsid w:val="008634CF"/>
    <w:rsid w:val="008638EB"/>
    <w:rsid w:val="008640A8"/>
    <w:rsid w:val="00866C91"/>
    <w:rsid w:val="00870034"/>
    <w:rsid w:val="00870A59"/>
    <w:rsid w:val="00874956"/>
    <w:rsid w:val="0087526D"/>
    <w:rsid w:val="0087691E"/>
    <w:rsid w:val="00876FC2"/>
    <w:rsid w:val="00880AAC"/>
    <w:rsid w:val="008812E9"/>
    <w:rsid w:val="00881E14"/>
    <w:rsid w:val="008828E0"/>
    <w:rsid w:val="008834A8"/>
    <w:rsid w:val="008836D5"/>
    <w:rsid w:val="008855A6"/>
    <w:rsid w:val="00885669"/>
    <w:rsid w:val="00885C06"/>
    <w:rsid w:val="0088684F"/>
    <w:rsid w:val="008871AF"/>
    <w:rsid w:val="00887ADB"/>
    <w:rsid w:val="008906BA"/>
    <w:rsid w:val="00890E50"/>
    <w:rsid w:val="00893599"/>
    <w:rsid w:val="008935AE"/>
    <w:rsid w:val="008937A8"/>
    <w:rsid w:val="00894098"/>
    <w:rsid w:val="00894982"/>
    <w:rsid w:val="00895F02"/>
    <w:rsid w:val="00896D47"/>
    <w:rsid w:val="008975AB"/>
    <w:rsid w:val="00897E0A"/>
    <w:rsid w:val="008A0677"/>
    <w:rsid w:val="008A1E6E"/>
    <w:rsid w:val="008A3318"/>
    <w:rsid w:val="008A3505"/>
    <w:rsid w:val="008A38F6"/>
    <w:rsid w:val="008A49C9"/>
    <w:rsid w:val="008A5933"/>
    <w:rsid w:val="008A65CF"/>
    <w:rsid w:val="008A6AE1"/>
    <w:rsid w:val="008A7319"/>
    <w:rsid w:val="008A789D"/>
    <w:rsid w:val="008A78C7"/>
    <w:rsid w:val="008B02E1"/>
    <w:rsid w:val="008B1CA6"/>
    <w:rsid w:val="008B278A"/>
    <w:rsid w:val="008B2790"/>
    <w:rsid w:val="008B2927"/>
    <w:rsid w:val="008B387C"/>
    <w:rsid w:val="008B4996"/>
    <w:rsid w:val="008B49D9"/>
    <w:rsid w:val="008B4E94"/>
    <w:rsid w:val="008B5043"/>
    <w:rsid w:val="008B530E"/>
    <w:rsid w:val="008B6457"/>
    <w:rsid w:val="008B65AA"/>
    <w:rsid w:val="008B6969"/>
    <w:rsid w:val="008B6DD1"/>
    <w:rsid w:val="008B7F7F"/>
    <w:rsid w:val="008B7FE5"/>
    <w:rsid w:val="008C20A2"/>
    <w:rsid w:val="008C300C"/>
    <w:rsid w:val="008C34B8"/>
    <w:rsid w:val="008C376A"/>
    <w:rsid w:val="008C4C8E"/>
    <w:rsid w:val="008C5850"/>
    <w:rsid w:val="008C5C25"/>
    <w:rsid w:val="008C6252"/>
    <w:rsid w:val="008C6A39"/>
    <w:rsid w:val="008C740B"/>
    <w:rsid w:val="008D0748"/>
    <w:rsid w:val="008D17FC"/>
    <w:rsid w:val="008D1EBA"/>
    <w:rsid w:val="008D29AF"/>
    <w:rsid w:val="008D42DC"/>
    <w:rsid w:val="008D5193"/>
    <w:rsid w:val="008D6E4C"/>
    <w:rsid w:val="008D738C"/>
    <w:rsid w:val="008D7D9D"/>
    <w:rsid w:val="008E018C"/>
    <w:rsid w:val="008E03D8"/>
    <w:rsid w:val="008E1B2F"/>
    <w:rsid w:val="008E244C"/>
    <w:rsid w:val="008E2B87"/>
    <w:rsid w:val="008E3C30"/>
    <w:rsid w:val="008E3E22"/>
    <w:rsid w:val="008E47B9"/>
    <w:rsid w:val="008E4F78"/>
    <w:rsid w:val="008E528C"/>
    <w:rsid w:val="008E5BC4"/>
    <w:rsid w:val="008E677B"/>
    <w:rsid w:val="008E70B2"/>
    <w:rsid w:val="008E7263"/>
    <w:rsid w:val="008E7627"/>
    <w:rsid w:val="008F21FE"/>
    <w:rsid w:val="008F2BE6"/>
    <w:rsid w:val="008F2C76"/>
    <w:rsid w:val="008F4C36"/>
    <w:rsid w:val="008F5122"/>
    <w:rsid w:val="008F53FF"/>
    <w:rsid w:val="008F57AE"/>
    <w:rsid w:val="008F597E"/>
    <w:rsid w:val="008F644B"/>
    <w:rsid w:val="008F79E2"/>
    <w:rsid w:val="009002D8"/>
    <w:rsid w:val="00900E12"/>
    <w:rsid w:val="00900E78"/>
    <w:rsid w:val="00901C39"/>
    <w:rsid w:val="00904268"/>
    <w:rsid w:val="00904518"/>
    <w:rsid w:val="0090497E"/>
    <w:rsid w:val="00905297"/>
    <w:rsid w:val="00905F69"/>
    <w:rsid w:val="00907B63"/>
    <w:rsid w:val="00907B75"/>
    <w:rsid w:val="00907E4A"/>
    <w:rsid w:val="009107D9"/>
    <w:rsid w:val="00910E43"/>
    <w:rsid w:val="00911847"/>
    <w:rsid w:val="00913833"/>
    <w:rsid w:val="00915880"/>
    <w:rsid w:val="0091593B"/>
    <w:rsid w:val="00915F6A"/>
    <w:rsid w:val="00916BA5"/>
    <w:rsid w:val="00917384"/>
    <w:rsid w:val="00917457"/>
    <w:rsid w:val="00917950"/>
    <w:rsid w:val="00921598"/>
    <w:rsid w:val="009229C6"/>
    <w:rsid w:val="00922B54"/>
    <w:rsid w:val="00922D74"/>
    <w:rsid w:val="00922EE9"/>
    <w:rsid w:val="00923A0F"/>
    <w:rsid w:val="00923BA0"/>
    <w:rsid w:val="00923CBD"/>
    <w:rsid w:val="00923D36"/>
    <w:rsid w:val="009242E9"/>
    <w:rsid w:val="009243B8"/>
    <w:rsid w:val="009252BD"/>
    <w:rsid w:val="009252CD"/>
    <w:rsid w:val="00925C79"/>
    <w:rsid w:val="00926C4F"/>
    <w:rsid w:val="00930267"/>
    <w:rsid w:val="00930566"/>
    <w:rsid w:val="00931203"/>
    <w:rsid w:val="00932397"/>
    <w:rsid w:val="00932FBA"/>
    <w:rsid w:val="00934112"/>
    <w:rsid w:val="00934D92"/>
    <w:rsid w:val="00935171"/>
    <w:rsid w:val="0093562F"/>
    <w:rsid w:val="00935B6D"/>
    <w:rsid w:val="0093603D"/>
    <w:rsid w:val="00941E26"/>
    <w:rsid w:val="00943113"/>
    <w:rsid w:val="00943ADB"/>
    <w:rsid w:val="00944936"/>
    <w:rsid w:val="00944E86"/>
    <w:rsid w:val="0094566D"/>
    <w:rsid w:val="009457A2"/>
    <w:rsid w:val="00946858"/>
    <w:rsid w:val="00946B0C"/>
    <w:rsid w:val="00946BDA"/>
    <w:rsid w:val="00950189"/>
    <w:rsid w:val="00950B1E"/>
    <w:rsid w:val="00951759"/>
    <w:rsid w:val="00951F93"/>
    <w:rsid w:val="00952077"/>
    <w:rsid w:val="009527FE"/>
    <w:rsid w:val="00952FE4"/>
    <w:rsid w:val="00953272"/>
    <w:rsid w:val="00955D1B"/>
    <w:rsid w:val="00957010"/>
    <w:rsid w:val="009579A7"/>
    <w:rsid w:val="00960BCE"/>
    <w:rsid w:val="00961AE5"/>
    <w:rsid w:val="00962BEC"/>
    <w:rsid w:val="0096378F"/>
    <w:rsid w:val="0096446F"/>
    <w:rsid w:val="00964712"/>
    <w:rsid w:val="00965CF3"/>
    <w:rsid w:val="00967674"/>
    <w:rsid w:val="00970EE8"/>
    <w:rsid w:val="0097127D"/>
    <w:rsid w:val="009718D3"/>
    <w:rsid w:val="00973F3B"/>
    <w:rsid w:val="0097499F"/>
    <w:rsid w:val="009753C8"/>
    <w:rsid w:val="0097581B"/>
    <w:rsid w:val="00975EBB"/>
    <w:rsid w:val="00977B66"/>
    <w:rsid w:val="009803FF"/>
    <w:rsid w:val="00981A81"/>
    <w:rsid w:val="00981C1A"/>
    <w:rsid w:val="009823B2"/>
    <w:rsid w:val="00982717"/>
    <w:rsid w:val="00983C79"/>
    <w:rsid w:val="00984001"/>
    <w:rsid w:val="00984794"/>
    <w:rsid w:val="00986412"/>
    <w:rsid w:val="00986EB8"/>
    <w:rsid w:val="00987EDD"/>
    <w:rsid w:val="00990AFA"/>
    <w:rsid w:val="00991F19"/>
    <w:rsid w:val="009927D3"/>
    <w:rsid w:val="00992951"/>
    <w:rsid w:val="00992C9B"/>
    <w:rsid w:val="00993590"/>
    <w:rsid w:val="0099416B"/>
    <w:rsid w:val="00994AED"/>
    <w:rsid w:val="00994EB7"/>
    <w:rsid w:val="00994F37"/>
    <w:rsid w:val="00994FB0"/>
    <w:rsid w:val="009950A9"/>
    <w:rsid w:val="00995D17"/>
    <w:rsid w:val="009967F9"/>
    <w:rsid w:val="00996F92"/>
    <w:rsid w:val="009976D4"/>
    <w:rsid w:val="00997D49"/>
    <w:rsid w:val="009A2F84"/>
    <w:rsid w:val="009A416A"/>
    <w:rsid w:val="009A5657"/>
    <w:rsid w:val="009A5813"/>
    <w:rsid w:val="009B1044"/>
    <w:rsid w:val="009B1EF9"/>
    <w:rsid w:val="009B2945"/>
    <w:rsid w:val="009B2A85"/>
    <w:rsid w:val="009B3087"/>
    <w:rsid w:val="009B5B3E"/>
    <w:rsid w:val="009B72CB"/>
    <w:rsid w:val="009B743A"/>
    <w:rsid w:val="009C0C43"/>
    <w:rsid w:val="009C1124"/>
    <w:rsid w:val="009C2CA7"/>
    <w:rsid w:val="009C3FB2"/>
    <w:rsid w:val="009C4858"/>
    <w:rsid w:val="009C4A6A"/>
    <w:rsid w:val="009C4AEF"/>
    <w:rsid w:val="009C542B"/>
    <w:rsid w:val="009C5BED"/>
    <w:rsid w:val="009C70BE"/>
    <w:rsid w:val="009D017D"/>
    <w:rsid w:val="009D0379"/>
    <w:rsid w:val="009D0633"/>
    <w:rsid w:val="009D221E"/>
    <w:rsid w:val="009D29B4"/>
    <w:rsid w:val="009D2BAE"/>
    <w:rsid w:val="009D4048"/>
    <w:rsid w:val="009D4511"/>
    <w:rsid w:val="009D6778"/>
    <w:rsid w:val="009D6973"/>
    <w:rsid w:val="009E00B4"/>
    <w:rsid w:val="009E0DCF"/>
    <w:rsid w:val="009E23FE"/>
    <w:rsid w:val="009E3071"/>
    <w:rsid w:val="009E4082"/>
    <w:rsid w:val="009E434A"/>
    <w:rsid w:val="009E45DE"/>
    <w:rsid w:val="009E49F6"/>
    <w:rsid w:val="009E594F"/>
    <w:rsid w:val="009E5AA9"/>
    <w:rsid w:val="009F119A"/>
    <w:rsid w:val="009F1C25"/>
    <w:rsid w:val="009F1D74"/>
    <w:rsid w:val="009F1ECF"/>
    <w:rsid w:val="009F2700"/>
    <w:rsid w:val="009F2EE9"/>
    <w:rsid w:val="009F3376"/>
    <w:rsid w:val="009F3929"/>
    <w:rsid w:val="009F4CEC"/>
    <w:rsid w:val="009F533C"/>
    <w:rsid w:val="009F53F9"/>
    <w:rsid w:val="009F5736"/>
    <w:rsid w:val="009F5ABD"/>
    <w:rsid w:val="009F5B9D"/>
    <w:rsid w:val="009F5F4E"/>
    <w:rsid w:val="009F65F9"/>
    <w:rsid w:val="009F78C7"/>
    <w:rsid w:val="00A0082E"/>
    <w:rsid w:val="00A01105"/>
    <w:rsid w:val="00A0285F"/>
    <w:rsid w:val="00A04445"/>
    <w:rsid w:val="00A05207"/>
    <w:rsid w:val="00A05682"/>
    <w:rsid w:val="00A05F87"/>
    <w:rsid w:val="00A06E3A"/>
    <w:rsid w:val="00A078BB"/>
    <w:rsid w:val="00A10BE5"/>
    <w:rsid w:val="00A1197A"/>
    <w:rsid w:val="00A123BA"/>
    <w:rsid w:val="00A12474"/>
    <w:rsid w:val="00A126BF"/>
    <w:rsid w:val="00A128F5"/>
    <w:rsid w:val="00A13092"/>
    <w:rsid w:val="00A15FA2"/>
    <w:rsid w:val="00A1680A"/>
    <w:rsid w:val="00A1689D"/>
    <w:rsid w:val="00A17B17"/>
    <w:rsid w:val="00A2015A"/>
    <w:rsid w:val="00A20904"/>
    <w:rsid w:val="00A21247"/>
    <w:rsid w:val="00A219CB"/>
    <w:rsid w:val="00A21A51"/>
    <w:rsid w:val="00A21CA8"/>
    <w:rsid w:val="00A2311D"/>
    <w:rsid w:val="00A24027"/>
    <w:rsid w:val="00A25EE2"/>
    <w:rsid w:val="00A268BA"/>
    <w:rsid w:val="00A27C88"/>
    <w:rsid w:val="00A305A6"/>
    <w:rsid w:val="00A3169E"/>
    <w:rsid w:val="00A33992"/>
    <w:rsid w:val="00A33D0B"/>
    <w:rsid w:val="00A33D0F"/>
    <w:rsid w:val="00A368E7"/>
    <w:rsid w:val="00A369A4"/>
    <w:rsid w:val="00A36B2F"/>
    <w:rsid w:val="00A37B30"/>
    <w:rsid w:val="00A40842"/>
    <w:rsid w:val="00A42294"/>
    <w:rsid w:val="00A42D98"/>
    <w:rsid w:val="00A435C6"/>
    <w:rsid w:val="00A4388E"/>
    <w:rsid w:val="00A4598A"/>
    <w:rsid w:val="00A46A2C"/>
    <w:rsid w:val="00A46E99"/>
    <w:rsid w:val="00A472F8"/>
    <w:rsid w:val="00A479E1"/>
    <w:rsid w:val="00A5096C"/>
    <w:rsid w:val="00A51016"/>
    <w:rsid w:val="00A51750"/>
    <w:rsid w:val="00A51CD9"/>
    <w:rsid w:val="00A528D1"/>
    <w:rsid w:val="00A53505"/>
    <w:rsid w:val="00A537E3"/>
    <w:rsid w:val="00A53BC4"/>
    <w:rsid w:val="00A54707"/>
    <w:rsid w:val="00A557FD"/>
    <w:rsid w:val="00A56678"/>
    <w:rsid w:val="00A57788"/>
    <w:rsid w:val="00A57E4F"/>
    <w:rsid w:val="00A60F72"/>
    <w:rsid w:val="00A635CD"/>
    <w:rsid w:val="00A64254"/>
    <w:rsid w:val="00A64716"/>
    <w:rsid w:val="00A64D6E"/>
    <w:rsid w:val="00A669CC"/>
    <w:rsid w:val="00A669FB"/>
    <w:rsid w:val="00A71480"/>
    <w:rsid w:val="00A71944"/>
    <w:rsid w:val="00A72171"/>
    <w:rsid w:val="00A7247A"/>
    <w:rsid w:val="00A7258D"/>
    <w:rsid w:val="00A7357A"/>
    <w:rsid w:val="00A73D9A"/>
    <w:rsid w:val="00A75711"/>
    <w:rsid w:val="00A76F56"/>
    <w:rsid w:val="00A77FC5"/>
    <w:rsid w:val="00A81075"/>
    <w:rsid w:val="00A81B82"/>
    <w:rsid w:val="00A82D6F"/>
    <w:rsid w:val="00A83385"/>
    <w:rsid w:val="00A837C5"/>
    <w:rsid w:val="00A84814"/>
    <w:rsid w:val="00A84EEA"/>
    <w:rsid w:val="00A84F35"/>
    <w:rsid w:val="00A85A9F"/>
    <w:rsid w:val="00A9073F"/>
    <w:rsid w:val="00A92530"/>
    <w:rsid w:val="00A93623"/>
    <w:rsid w:val="00A93684"/>
    <w:rsid w:val="00A93966"/>
    <w:rsid w:val="00A977E9"/>
    <w:rsid w:val="00AA3623"/>
    <w:rsid w:val="00AA448A"/>
    <w:rsid w:val="00AA47E3"/>
    <w:rsid w:val="00AB1EA1"/>
    <w:rsid w:val="00AB1FB0"/>
    <w:rsid w:val="00AB31C2"/>
    <w:rsid w:val="00AB3CDB"/>
    <w:rsid w:val="00AB3D80"/>
    <w:rsid w:val="00AB40CC"/>
    <w:rsid w:val="00AB486D"/>
    <w:rsid w:val="00AB65FD"/>
    <w:rsid w:val="00AC061C"/>
    <w:rsid w:val="00AC1261"/>
    <w:rsid w:val="00AC22DA"/>
    <w:rsid w:val="00AC2A71"/>
    <w:rsid w:val="00AC7341"/>
    <w:rsid w:val="00AC7B23"/>
    <w:rsid w:val="00AD0152"/>
    <w:rsid w:val="00AD0947"/>
    <w:rsid w:val="00AD09DD"/>
    <w:rsid w:val="00AD0FB1"/>
    <w:rsid w:val="00AD234F"/>
    <w:rsid w:val="00AD2441"/>
    <w:rsid w:val="00AD2A98"/>
    <w:rsid w:val="00AD2BD7"/>
    <w:rsid w:val="00AD3C86"/>
    <w:rsid w:val="00AD50D5"/>
    <w:rsid w:val="00AD583A"/>
    <w:rsid w:val="00AD7194"/>
    <w:rsid w:val="00AD7440"/>
    <w:rsid w:val="00AD74D7"/>
    <w:rsid w:val="00AD7BE1"/>
    <w:rsid w:val="00AD7DF6"/>
    <w:rsid w:val="00AE047C"/>
    <w:rsid w:val="00AE0C33"/>
    <w:rsid w:val="00AE12FD"/>
    <w:rsid w:val="00AE1C8B"/>
    <w:rsid w:val="00AE1CE7"/>
    <w:rsid w:val="00AE2100"/>
    <w:rsid w:val="00AE43CC"/>
    <w:rsid w:val="00AE454D"/>
    <w:rsid w:val="00AE48F8"/>
    <w:rsid w:val="00AE4AAB"/>
    <w:rsid w:val="00AE4B24"/>
    <w:rsid w:val="00AF01B2"/>
    <w:rsid w:val="00AF057B"/>
    <w:rsid w:val="00AF0B6D"/>
    <w:rsid w:val="00AF0E90"/>
    <w:rsid w:val="00AF1C87"/>
    <w:rsid w:val="00AF2397"/>
    <w:rsid w:val="00AF3ED3"/>
    <w:rsid w:val="00AF3F89"/>
    <w:rsid w:val="00AF40FA"/>
    <w:rsid w:val="00AF4A80"/>
    <w:rsid w:val="00AF590B"/>
    <w:rsid w:val="00AF5A74"/>
    <w:rsid w:val="00AF67E8"/>
    <w:rsid w:val="00AF6833"/>
    <w:rsid w:val="00B019DE"/>
    <w:rsid w:val="00B0207C"/>
    <w:rsid w:val="00B022C5"/>
    <w:rsid w:val="00B02853"/>
    <w:rsid w:val="00B03786"/>
    <w:rsid w:val="00B0429B"/>
    <w:rsid w:val="00B04E44"/>
    <w:rsid w:val="00B06A02"/>
    <w:rsid w:val="00B07346"/>
    <w:rsid w:val="00B07A30"/>
    <w:rsid w:val="00B07C6E"/>
    <w:rsid w:val="00B07DCE"/>
    <w:rsid w:val="00B1008F"/>
    <w:rsid w:val="00B1029B"/>
    <w:rsid w:val="00B1190F"/>
    <w:rsid w:val="00B12408"/>
    <w:rsid w:val="00B12871"/>
    <w:rsid w:val="00B13A47"/>
    <w:rsid w:val="00B153B1"/>
    <w:rsid w:val="00B2128D"/>
    <w:rsid w:val="00B228F0"/>
    <w:rsid w:val="00B22B7C"/>
    <w:rsid w:val="00B24ED7"/>
    <w:rsid w:val="00B25869"/>
    <w:rsid w:val="00B265F3"/>
    <w:rsid w:val="00B26931"/>
    <w:rsid w:val="00B271A4"/>
    <w:rsid w:val="00B27209"/>
    <w:rsid w:val="00B303AD"/>
    <w:rsid w:val="00B30518"/>
    <w:rsid w:val="00B34DDB"/>
    <w:rsid w:val="00B358F6"/>
    <w:rsid w:val="00B35B1E"/>
    <w:rsid w:val="00B3615F"/>
    <w:rsid w:val="00B37B55"/>
    <w:rsid w:val="00B37E91"/>
    <w:rsid w:val="00B43439"/>
    <w:rsid w:val="00B43DD3"/>
    <w:rsid w:val="00B44188"/>
    <w:rsid w:val="00B458B5"/>
    <w:rsid w:val="00B46299"/>
    <w:rsid w:val="00B46D0E"/>
    <w:rsid w:val="00B474E5"/>
    <w:rsid w:val="00B476BA"/>
    <w:rsid w:val="00B503B2"/>
    <w:rsid w:val="00B50EB4"/>
    <w:rsid w:val="00B5125F"/>
    <w:rsid w:val="00B51E27"/>
    <w:rsid w:val="00B523B7"/>
    <w:rsid w:val="00B537C1"/>
    <w:rsid w:val="00B54A68"/>
    <w:rsid w:val="00B54B30"/>
    <w:rsid w:val="00B54CCE"/>
    <w:rsid w:val="00B556D9"/>
    <w:rsid w:val="00B55894"/>
    <w:rsid w:val="00B6061F"/>
    <w:rsid w:val="00B60EE0"/>
    <w:rsid w:val="00B619F3"/>
    <w:rsid w:val="00B62352"/>
    <w:rsid w:val="00B624E9"/>
    <w:rsid w:val="00B62523"/>
    <w:rsid w:val="00B6344C"/>
    <w:rsid w:val="00B639DF"/>
    <w:rsid w:val="00B64A8D"/>
    <w:rsid w:val="00B65F63"/>
    <w:rsid w:val="00B6603D"/>
    <w:rsid w:val="00B709DC"/>
    <w:rsid w:val="00B70D54"/>
    <w:rsid w:val="00B720A6"/>
    <w:rsid w:val="00B72A72"/>
    <w:rsid w:val="00B7314C"/>
    <w:rsid w:val="00B73734"/>
    <w:rsid w:val="00B7427B"/>
    <w:rsid w:val="00B75185"/>
    <w:rsid w:val="00B75AE0"/>
    <w:rsid w:val="00B75BB4"/>
    <w:rsid w:val="00B77268"/>
    <w:rsid w:val="00B805B6"/>
    <w:rsid w:val="00B80B03"/>
    <w:rsid w:val="00B80D71"/>
    <w:rsid w:val="00B83D1C"/>
    <w:rsid w:val="00B83E9E"/>
    <w:rsid w:val="00B842B5"/>
    <w:rsid w:val="00B8520C"/>
    <w:rsid w:val="00B852D9"/>
    <w:rsid w:val="00B85D90"/>
    <w:rsid w:val="00B87197"/>
    <w:rsid w:val="00B87C37"/>
    <w:rsid w:val="00B9040B"/>
    <w:rsid w:val="00B90926"/>
    <w:rsid w:val="00B90F1D"/>
    <w:rsid w:val="00B93911"/>
    <w:rsid w:val="00B93C86"/>
    <w:rsid w:val="00B94726"/>
    <w:rsid w:val="00B964FA"/>
    <w:rsid w:val="00B971E3"/>
    <w:rsid w:val="00B971E6"/>
    <w:rsid w:val="00BA0ADA"/>
    <w:rsid w:val="00BA2426"/>
    <w:rsid w:val="00BA28E4"/>
    <w:rsid w:val="00BA4B08"/>
    <w:rsid w:val="00BA6206"/>
    <w:rsid w:val="00BA6AA7"/>
    <w:rsid w:val="00BA6FEA"/>
    <w:rsid w:val="00BA78D5"/>
    <w:rsid w:val="00BB0306"/>
    <w:rsid w:val="00BB03AB"/>
    <w:rsid w:val="00BB0B3C"/>
    <w:rsid w:val="00BB17E6"/>
    <w:rsid w:val="00BB1E45"/>
    <w:rsid w:val="00BB1F2E"/>
    <w:rsid w:val="00BB264D"/>
    <w:rsid w:val="00BB2989"/>
    <w:rsid w:val="00BB3064"/>
    <w:rsid w:val="00BB3160"/>
    <w:rsid w:val="00BB35F8"/>
    <w:rsid w:val="00BB38AA"/>
    <w:rsid w:val="00BB3CFE"/>
    <w:rsid w:val="00BB7904"/>
    <w:rsid w:val="00BB7D5D"/>
    <w:rsid w:val="00BC1164"/>
    <w:rsid w:val="00BC1CC6"/>
    <w:rsid w:val="00BC33D3"/>
    <w:rsid w:val="00BC3DD8"/>
    <w:rsid w:val="00BC3FEC"/>
    <w:rsid w:val="00BC5CE5"/>
    <w:rsid w:val="00BC6490"/>
    <w:rsid w:val="00BC745C"/>
    <w:rsid w:val="00BD06F1"/>
    <w:rsid w:val="00BD1AD7"/>
    <w:rsid w:val="00BD2CAB"/>
    <w:rsid w:val="00BD2FF9"/>
    <w:rsid w:val="00BD4186"/>
    <w:rsid w:val="00BD4F9D"/>
    <w:rsid w:val="00BD5178"/>
    <w:rsid w:val="00BD5EC3"/>
    <w:rsid w:val="00BD6CD3"/>
    <w:rsid w:val="00BD734C"/>
    <w:rsid w:val="00BE0C97"/>
    <w:rsid w:val="00BE28D8"/>
    <w:rsid w:val="00BE3F0E"/>
    <w:rsid w:val="00BE4208"/>
    <w:rsid w:val="00BE73B5"/>
    <w:rsid w:val="00BE7433"/>
    <w:rsid w:val="00BE76F7"/>
    <w:rsid w:val="00BF2370"/>
    <w:rsid w:val="00BF293D"/>
    <w:rsid w:val="00BF37C7"/>
    <w:rsid w:val="00BF3902"/>
    <w:rsid w:val="00BF414B"/>
    <w:rsid w:val="00BF41A4"/>
    <w:rsid w:val="00BF4DE3"/>
    <w:rsid w:val="00BF673F"/>
    <w:rsid w:val="00C03CF9"/>
    <w:rsid w:val="00C04F8E"/>
    <w:rsid w:val="00C0523F"/>
    <w:rsid w:val="00C05469"/>
    <w:rsid w:val="00C065DA"/>
    <w:rsid w:val="00C0742F"/>
    <w:rsid w:val="00C1039B"/>
    <w:rsid w:val="00C10511"/>
    <w:rsid w:val="00C11191"/>
    <w:rsid w:val="00C1282E"/>
    <w:rsid w:val="00C12A07"/>
    <w:rsid w:val="00C13E12"/>
    <w:rsid w:val="00C22846"/>
    <w:rsid w:val="00C24B2A"/>
    <w:rsid w:val="00C256AF"/>
    <w:rsid w:val="00C25937"/>
    <w:rsid w:val="00C26AC2"/>
    <w:rsid w:val="00C26E09"/>
    <w:rsid w:val="00C26E48"/>
    <w:rsid w:val="00C2729D"/>
    <w:rsid w:val="00C27FAC"/>
    <w:rsid w:val="00C3074A"/>
    <w:rsid w:val="00C30BD0"/>
    <w:rsid w:val="00C30E8D"/>
    <w:rsid w:val="00C310B3"/>
    <w:rsid w:val="00C33BE1"/>
    <w:rsid w:val="00C340F2"/>
    <w:rsid w:val="00C34A62"/>
    <w:rsid w:val="00C3633A"/>
    <w:rsid w:val="00C368ED"/>
    <w:rsid w:val="00C37100"/>
    <w:rsid w:val="00C37ED1"/>
    <w:rsid w:val="00C4194C"/>
    <w:rsid w:val="00C431C0"/>
    <w:rsid w:val="00C45504"/>
    <w:rsid w:val="00C45F93"/>
    <w:rsid w:val="00C464CA"/>
    <w:rsid w:val="00C4657D"/>
    <w:rsid w:val="00C46BCD"/>
    <w:rsid w:val="00C47442"/>
    <w:rsid w:val="00C50814"/>
    <w:rsid w:val="00C50E9D"/>
    <w:rsid w:val="00C534D3"/>
    <w:rsid w:val="00C53973"/>
    <w:rsid w:val="00C543CA"/>
    <w:rsid w:val="00C54435"/>
    <w:rsid w:val="00C54945"/>
    <w:rsid w:val="00C54E79"/>
    <w:rsid w:val="00C552E4"/>
    <w:rsid w:val="00C553B5"/>
    <w:rsid w:val="00C55EF1"/>
    <w:rsid w:val="00C56B02"/>
    <w:rsid w:val="00C571C9"/>
    <w:rsid w:val="00C573D4"/>
    <w:rsid w:val="00C578CB"/>
    <w:rsid w:val="00C57FCC"/>
    <w:rsid w:val="00C6015C"/>
    <w:rsid w:val="00C60514"/>
    <w:rsid w:val="00C60F8D"/>
    <w:rsid w:val="00C61156"/>
    <w:rsid w:val="00C61790"/>
    <w:rsid w:val="00C6196D"/>
    <w:rsid w:val="00C62187"/>
    <w:rsid w:val="00C63C1C"/>
    <w:rsid w:val="00C64E11"/>
    <w:rsid w:val="00C656A8"/>
    <w:rsid w:val="00C6571B"/>
    <w:rsid w:val="00C65FC0"/>
    <w:rsid w:val="00C66F1E"/>
    <w:rsid w:val="00C679C1"/>
    <w:rsid w:val="00C706DF"/>
    <w:rsid w:val="00C70B29"/>
    <w:rsid w:val="00C7118E"/>
    <w:rsid w:val="00C717A5"/>
    <w:rsid w:val="00C718F1"/>
    <w:rsid w:val="00C71A3C"/>
    <w:rsid w:val="00C725E7"/>
    <w:rsid w:val="00C729DE"/>
    <w:rsid w:val="00C72A7F"/>
    <w:rsid w:val="00C72CA6"/>
    <w:rsid w:val="00C734C0"/>
    <w:rsid w:val="00C736D5"/>
    <w:rsid w:val="00C739DA"/>
    <w:rsid w:val="00C73F07"/>
    <w:rsid w:val="00C7530B"/>
    <w:rsid w:val="00C75938"/>
    <w:rsid w:val="00C75AAA"/>
    <w:rsid w:val="00C77331"/>
    <w:rsid w:val="00C776B2"/>
    <w:rsid w:val="00C77706"/>
    <w:rsid w:val="00C77D7F"/>
    <w:rsid w:val="00C80290"/>
    <w:rsid w:val="00C82976"/>
    <w:rsid w:val="00C82A36"/>
    <w:rsid w:val="00C82C81"/>
    <w:rsid w:val="00C830E2"/>
    <w:rsid w:val="00C8454C"/>
    <w:rsid w:val="00C856F0"/>
    <w:rsid w:val="00C85A1B"/>
    <w:rsid w:val="00C85AEB"/>
    <w:rsid w:val="00C86538"/>
    <w:rsid w:val="00C87089"/>
    <w:rsid w:val="00C876EB"/>
    <w:rsid w:val="00C9086A"/>
    <w:rsid w:val="00C90932"/>
    <w:rsid w:val="00C91650"/>
    <w:rsid w:val="00C9297B"/>
    <w:rsid w:val="00C936B1"/>
    <w:rsid w:val="00C93927"/>
    <w:rsid w:val="00C968E4"/>
    <w:rsid w:val="00C96D79"/>
    <w:rsid w:val="00C97685"/>
    <w:rsid w:val="00CA0C69"/>
    <w:rsid w:val="00CA1F6D"/>
    <w:rsid w:val="00CA2AEB"/>
    <w:rsid w:val="00CA4F12"/>
    <w:rsid w:val="00CA543A"/>
    <w:rsid w:val="00CA5474"/>
    <w:rsid w:val="00CA5D49"/>
    <w:rsid w:val="00CA6506"/>
    <w:rsid w:val="00CA6CFD"/>
    <w:rsid w:val="00CB0484"/>
    <w:rsid w:val="00CB1EC5"/>
    <w:rsid w:val="00CB201A"/>
    <w:rsid w:val="00CB2BDC"/>
    <w:rsid w:val="00CB2DFE"/>
    <w:rsid w:val="00CB2EEF"/>
    <w:rsid w:val="00CB3EE8"/>
    <w:rsid w:val="00CB424A"/>
    <w:rsid w:val="00CB530C"/>
    <w:rsid w:val="00CB57A2"/>
    <w:rsid w:val="00CB5AD7"/>
    <w:rsid w:val="00CB6525"/>
    <w:rsid w:val="00CB6894"/>
    <w:rsid w:val="00CB6C2F"/>
    <w:rsid w:val="00CB77BA"/>
    <w:rsid w:val="00CC05EE"/>
    <w:rsid w:val="00CC0B2E"/>
    <w:rsid w:val="00CC2F9E"/>
    <w:rsid w:val="00CC420A"/>
    <w:rsid w:val="00CC422D"/>
    <w:rsid w:val="00CC4486"/>
    <w:rsid w:val="00CC461B"/>
    <w:rsid w:val="00CC47E1"/>
    <w:rsid w:val="00CC572C"/>
    <w:rsid w:val="00CC614E"/>
    <w:rsid w:val="00CC68B6"/>
    <w:rsid w:val="00CC692B"/>
    <w:rsid w:val="00CC7563"/>
    <w:rsid w:val="00CC7C26"/>
    <w:rsid w:val="00CD01D9"/>
    <w:rsid w:val="00CD24EE"/>
    <w:rsid w:val="00CD26B8"/>
    <w:rsid w:val="00CD2E27"/>
    <w:rsid w:val="00CD30FE"/>
    <w:rsid w:val="00CD443B"/>
    <w:rsid w:val="00CD4897"/>
    <w:rsid w:val="00CD4A93"/>
    <w:rsid w:val="00CD4F92"/>
    <w:rsid w:val="00CD5A08"/>
    <w:rsid w:val="00CD5C24"/>
    <w:rsid w:val="00CD62D7"/>
    <w:rsid w:val="00CD6D97"/>
    <w:rsid w:val="00CE0D76"/>
    <w:rsid w:val="00CE13C7"/>
    <w:rsid w:val="00CE485B"/>
    <w:rsid w:val="00CE7796"/>
    <w:rsid w:val="00CE7B59"/>
    <w:rsid w:val="00CE7F7C"/>
    <w:rsid w:val="00CF09EE"/>
    <w:rsid w:val="00CF1235"/>
    <w:rsid w:val="00CF1A81"/>
    <w:rsid w:val="00CF2C7C"/>
    <w:rsid w:val="00CF4727"/>
    <w:rsid w:val="00CF4FE9"/>
    <w:rsid w:val="00CF5275"/>
    <w:rsid w:val="00CF6844"/>
    <w:rsid w:val="00CF6855"/>
    <w:rsid w:val="00CF6AB7"/>
    <w:rsid w:val="00CF7B96"/>
    <w:rsid w:val="00D0008F"/>
    <w:rsid w:val="00D00647"/>
    <w:rsid w:val="00D00DB9"/>
    <w:rsid w:val="00D018B2"/>
    <w:rsid w:val="00D01F2E"/>
    <w:rsid w:val="00D038C2"/>
    <w:rsid w:val="00D041EF"/>
    <w:rsid w:val="00D04994"/>
    <w:rsid w:val="00D049AC"/>
    <w:rsid w:val="00D04F19"/>
    <w:rsid w:val="00D051E0"/>
    <w:rsid w:val="00D0540B"/>
    <w:rsid w:val="00D05C4A"/>
    <w:rsid w:val="00D11F62"/>
    <w:rsid w:val="00D1201C"/>
    <w:rsid w:val="00D121D1"/>
    <w:rsid w:val="00D125C1"/>
    <w:rsid w:val="00D129B4"/>
    <w:rsid w:val="00D12F1C"/>
    <w:rsid w:val="00D1421A"/>
    <w:rsid w:val="00D14AAE"/>
    <w:rsid w:val="00D16484"/>
    <w:rsid w:val="00D17BC2"/>
    <w:rsid w:val="00D17C6A"/>
    <w:rsid w:val="00D2049B"/>
    <w:rsid w:val="00D2299F"/>
    <w:rsid w:val="00D233E3"/>
    <w:rsid w:val="00D23804"/>
    <w:rsid w:val="00D23A56"/>
    <w:rsid w:val="00D23C8D"/>
    <w:rsid w:val="00D23F12"/>
    <w:rsid w:val="00D24844"/>
    <w:rsid w:val="00D24FA9"/>
    <w:rsid w:val="00D256AB"/>
    <w:rsid w:val="00D26ACD"/>
    <w:rsid w:val="00D27CAE"/>
    <w:rsid w:val="00D3013A"/>
    <w:rsid w:val="00D31FE7"/>
    <w:rsid w:val="00D3300F"/>
    <w:rsid w:val="00D3367C"/>
    <w:rsid w:val="00D34CFB"/>
    <w:rsid w:val="00D35661"/>
    <w:rsid w:val="00D35ADA"/>
    <w:rsid w:val="00D35CC7"/>
    <w:rsid w:val="00D3615B"/>
    <w:rsid w:val="00D37281"/>
    <w:rsid w:val="00D40EEC"/>
    <w:rsid w:val="00D41C4E"/>
    <w:rsid w:val="00D422CE"/>
    <w:rsid w:val="00D429B3"/>
    <w:rsid w:val="00D429E8"/>
    <w:rsid w:val="00D42F79"/>
    <w:rsid w:val="00D437AE"/>
    <w:rsid w:val="00D45067"/>
    <w:rsid w:val="00D45072"/>
    <w:rsid w:val="00D457E8"/>
    <w:rsid w:val="00D46108"/>
    <w:rsid w:val="00D468A7"/>
    <w:rsid w:val="00D5106F"/>
    <w:rsid w:val="00D51DAD"/>
    <w:rsid w:val="00D5214E"/>
    <w:rsid w:val="00D52402"/>
    <w:rsid w:val="00D52D88"/>
    <w:rsid w:val="00D53945"/>
    <w:rsid w:val="00D53FD2"/>
    <w:rsid w:val="00D54365"/>
    <w:rsid w:val="00D54FF2"/>
    <w:rsid w:val="00D5601A"/>
    <w:rsid w:val="00D57206"/>
    <w:rsid w:val="00D5784D"/>
    <w:rsid w:val="00D57B14"/>
    <w:rsid w:val="00D6089F"/>
    <w:rsid w:val="00D60ED3"/>
    <w:rsid w:val="00D612E5"/>
    <w:rsid w:val="00D61AEB"/>
    <w:rsid w:val="00D61DF4"/>
    <w:rsid w:val="00D61F38"/>
    <w:rsid w:val="00D625B0"/>
    <w:rsid w:val="00D6306A"/>
    <w:rsid w:val="00D635EA"/>
    <w:rsid w:val="00D63977"/>
    <w:rsid w:val="00D63FC1"/>
    <w:rsid w:val="00D6508A"/>
    <w:rsid w:val="00D65539"/>
    <w:rsid w:val="00D6691F"/>
    <w:rsid w:val="00D66B50"/>
    <w:rsid w:val="00D66DF0"/>
    <w:rsid w:val="00D67EF1"/>
    <w:rsid w:val="00D702D6"/>
    <w:rsid w:val="00D70F62"/>
    <w:rsid w:val="00D71E1F"/>
    <w:rsid w:val="00D732F7"/>
    <w:rsid w:val="00D73756"/>
    <w:rsid w:val="00D76246"/>
    <w:rsid w:val="00D76918"/>
    <w:rsid w:val="00D77AD5"/>
    <w:rsid w:val="00D800B3"/>
    <w:rsid w:val="00D80D72"/>
    <w:rsid w:val="00D81B23"/>
    <w:rsid w:val="00D81D4E"/>
    <w:rsid w:val="00D825AF"/>
    <w:rsid w:val="00D82603"/>
    <w:rsid w:val="00D82CE3"/>
    <w:rsid w:val="00D82D36"/>
    <w:rsid w:val="00D83B2D"/>
    <w:rsid w:val="00D84CCC"/>
    <w:rsid w:val="00D85920"/>
    <w:rsid w:val="00D85EC8"/>
    <w:rsid w:val="00D86734"/>
    <w:rsid w:val="00D86CCC"/>
    <w:rsid w:val="00D87795"/>
    <w:rsid w:val="00D91C23"/>
    <w:rsid w:val="00D92D9F"/>
    <w:rsid w:val="00D93070"/>
    <w:rsid w:val="00D931F0"/>
    <w:rsid w:val="00D94D14"/>
    <w:rsid w:val="00D96EC1"/>
    <w:rsid w:val="00D97917"/>
    <w:rsid w:val="00D97A51"/>
    <w:rsid w:val="00D97F71"/>
    <w:rsid w:val="00DA1D65"/>
    <w:rsid w:val="00DA2AC6"/>
    <w:rsid w:val="00DA2C70"/>
    <w:rsid w:val="00DA4B69"/>
    <w:rsid w:val="00DA5429"/>
    <w:rsid w:val="00DA56BB"/>
    <w:rsid w:val="00DA6245"/>
    <w:rsid w:val="00DA7055"/>
    <w:rsid w:val="00DA73E2"/>
    <w:rsid w:val="00DB10C4"/>
    <w:rsid w:val="00DB176C"/>
    <w:rsid w:val="00DB1B82"/>
    <w:rsid w:val="00DB1CBC"/>
    <w:rsid w:val="00DB2033"/>
    <w:rsid w:val="00DB23C7"/>
    <w:rsid w:val="00DB3378"/>
    <w:rsid w:val="00DB353C"/>
    <w:rsid w:val="00DB356F"/>
    <w:rsid w:val="00DB3710"/>
    <w:rsid w:val="00DB3B88"/>
    <w:rsid w:val="00DB4A9C"/>
    <w:rsid w:val="00DB4E2F"/>
    <w:rsid w:val="00DB54FD"/>
    <w:rsid w:val="00DB55E3"/>
    <w:rsid w:val="00DB68F0"/>
    <w:rsid w:val="00DB70AB"/>
    <w:rsid w:val="00DB7512"/>
    <w:rsid w:val="00DC0243"/>
    <w:rsid w:val="00DC1920"/>
    <w:rsid w:val="00DC1B26"/>
    <w:rsid w:val="00DC39DE"/>
    <w:rsid w:val="00DC3C10"/>
    <w:rsid w:val="00DC3D54"/>
    <w:rsid w:val="00DC6401"/>
    <w:rsid w:val="00DC6D1C"/>
    <w:rsid w:val="00DC72C9"/>
    <w:rsid w:val="00DC754F"/>
    <w:rsid w:val="00DC7BB7"/>
    <w:rsid w:val="00DD00A7"/>
    <w:rsid w:val="00DD02FB"/>
    <w:rsid w:val="00DD0398"/>
    <w:rsid w:val="00DD112C"/>
    <w:rsid w:val="00DD2339"/>
    <w:rsid w:val="00DD27C4"/>
    <w:rsid w:val="00DD34AC"/>
    <w:rsid w:val="00DD425C"/>
    <w:rsid w:val="00DD449A"/>
    <w:rsid w:val="00DD4A0D"/>
    <w:rsid w:val="00DD4C8F"/>
    <w:rsid w:val="00DD5AA9"/>
    <w:rsid w:val="00DD67A9"/>
    <w:rsid w:val="00DD7AB2"/>
    <w:rsid w:val="00DD7D8E"/>
    <w:rsid w:val="00DE2213"/>
    <w:rsid w:val="00DE2CDA"/>
    <w:rsid w:val="00DE332B"/>
    <w:rsid w:val="00DE3B94"/>
    <w:rsid w:val="00DE5A62"/>
    <w:rsid w:val="00DE7594"/>
    <w:rsid w:val="00DF0F27"/>
    <w:rsid w:val="00DF2087"/>
    <w:rsid w:val="00DF344B"/>
    <w:rsid w:val="00DF5F41"/>
    <w:rsid w:val="00DF6723"/>
    <w:rsid w:val="00DF7E5F"/>
    <w:rsid w:val="00E014B5"/>
    <w:rsid w:val="00E04058"/>
    <w:rsid w:val="00E043F0"/>
    <w:rsid w:val="00E05E08"/>
    <w:rsid w:val="00E0741D"/>
    <w:rsid w:val="00E07803"/>
    <w:rsid w:val="00E11653"/>
    <w:rsid w:val="00E1165B"/>
    <w:rsid w:val="00E11696"/>
    <w:rsid w:val="00E1171D"/>
    <w:rsid w:val="00E13D78"/>
    <w:rsid w:val="00E14F71"/>
    <w:rsid w:val="00E15A20"/>
    <w:rsid w:val="00E161E4"/>
    <w:rsid w:val="00E16340"/>
    <w:rsid w:val="00E175A5"/>
    <w:rsid w:val="00E176EE"/>
    <w:rsid w:val="00E20FC3"/>
    <w:rsid w:val="00E210D7"/>
    <w:rsid w:val="00E21106"/>
    <w:rsid w:val="00E21270"/>
    <w:rsid w:val="00E21AAA"/>
    <w:rsid w:val="00E23129"/>
    <w:rsid w:val="00E23355"/>
    <w:rsid w:val="00E23FBE"/>
    <w:rsid w:val="00E24614"/>
    <w:rsid w:val="00E269A2"/>
    <w:rsid w:val="00E2730D"/>
    <w:rsid w:val="00E27605"/>
    <w:rsid w:val="00E27F92"/>
    <w:rsid w:val="00E309DC"/>
    <w:rsid w:val="00E30A18"/>
    <w:rsid w:val="00E30B40"/>
    <w:rsid w:val="00E31DF3"/>
    <w:rsid w:val="00E31EF9"/>
    <w:rsid w:val="00E326DD"/>
    <w:rsid w:val="00E3325F"/>
    <w:rsid w:val="00E351A2"/>
    <w:rsid w:val="00E357B5"/>
    <w:rsid w:val="00E35B0B"/>
    <w:rsid w:val="00E36F04"/>
    <w:rsid w:val="00E40463"/>
    <w:rsid w:val="00E409A0"/>
    <w:rsid w:val="00E43132"/>
    <w:rsid w:val="00E43323"/>
    <w:rsid w:val="00E4385A"/>
    <w:rsid w:val="00E43EC6"/>
    <w:rsid w:val="00E455C6"/>
    <w:rsid w:val="00E45DB3"/>
    <w:rsid w:val="00E47944"/>
    <w:rsid w:val="00E51471"/>
    <w:rsid w:val="00E515BD"/>
    <w:rsid w:val="00E516FF"/>
    <w:rsid w:val="00E51717"/>
    <w:rsid w:val="00E529B9"/>
    <w:rsid w:val="00E53B24"/>
    <w:rsid w:val="00E54D39"/>
    <w:rsid w:val="00E56E22"/>
    <w:rsid w:val="00E5704B"/>
    <w:rsid w:val="00E571E4"/>
    <w:rsid w:val="00E57610"/>
    <w:rsid w:val="00E62D02"/>
    <w:rsid w:val="00E62F59"/>
    <w:rsid w:val="00E6597B"/>
    <w:rsid w:val="00E66CCB"/>
    <w:rsid w:val="00E66F29"/>
    <w:rsid w:val="00E67033"/>
    <w:rsid w:val="00E674AC"/>
    <w:rsid w:val="00E70A20"/>
    <w:rsid w:val="00E70E8A"/>
    <w:rsid w:val="00E725DF"/>
    <w:rsid w:val="00E737D1"/>
    <w:rsid w:val="00E7450C"/>
    <w:rsid w:val="00E747B2"/>
    <w:rsid w:val="00E748C6"/>
    <w:rsid w:val="00E75853"/>
    <w:rsid w:val="00E7669F"/>
    <w:rsid w:val="00E80143"/>
    <w:rsid w:val="00E80DA7"/>
    <w:rsid w:val="00E81B60"/>
    <w:rsid w:val="00E82942"/>
    <w:rsid w:val="00E836ED"/>
    <w:rsid w:val="00E83BE3"/>
    <w:rsid w:val="00E8413E"/>
    <w:rsid w:val="00E845AB"/>
    <w:rsid w:val="00E846F5"/>
    <w:rsid w:val="00E8506F"/>
    <w:rsid w:val="00E86412"/>
    <w:rsid w:val="00E86A3F"/>
    <w:rsid w:val="00E86E49"/>
    <w:rsid w:val="00E86E99"/>
    <w:rsid w:val="00E87248"/>
    <w:rsid w:val="00E91E22"/>
    <w:rsid w:val="00E92D64"/>
    <w:rsid w:val="00E93066"/>
    <w:rsid w:val="00E93897"/>
    <w:rsid w:val="00E93B16"/>
    <w:rsid w:val="00E974C2"/>
    <w:rsid w:val="00E97687"/>
    <w:rsid w:val="00E97E49"/>
    <w:rsid w:val="00EA065A"/>
    <w:rsid w:val="00EA0959"/>
    <w:rsid w:val="00EA2545"/>
    <w:rsid w:val="00EA25C6"/>
    <w:rsid w:val="00EA380F"/>
    <w:rsid w:val="00EA4B92"/>
    <w:rsid w:val="00EA628E"/>
    <w:rsid w:val="00EA682B"/>
    <w:rsid w:val="00EA6AC1"/>
    <w:rsid w:val="00EA7521"/>
    <w:rsid w:val="00EA7A22"/>
    <w:rsid w:val="00EB063B"/>
    <w:rsid w:val="00EB069F"/>
    <w:rsid w:val="00EB2982"/>
    <w:rsid w:val="00EB32AD"/>
    <w:rsid w:val="00EB4614"/>
    <w:rsid w:val="00EB5E45"/>
    <w:rsid w:val="00EB68D8"/>
    <w:rsid w:val="00EB6D6A"/>
    <w:rsid w:val="00EB76DD"/>
    <w:rsid w:val="00EC0587"/>
    <w:rsid w:val="00EC17DB"/>
    <w:rsid w:val="00EC20F4"/>
    <w:rsid w:val="00EC3348"/>
    <w:rsid w:val="00EC4460"/>
    <w:rsid w:val="00EC469C"/>
    <w:rsid w:val="00EC4A4A"/>
    <w:rsid w:val="00EC4E82"/>
    <w:rsid w:val="00EC5F7F"/>
    <w:rsid w:val="00EC6A8C"/>
    <w:rsid w:val="00EC6C79"/>
    <w:rsid w:val="00EC6D46"/>
    <w:rsid w:val="00ED0222"/>
    <w:rsid w:val="00ED0B8F"/>
    <w:rsid w:val="00ED1080"/>
    <w:rsid w:val="00ED339A"/>
    <w:rsid w:val="00ED3A0B"/>
    <w:rsid w:val="00ED3DE9"/>
    <w:rsid w:val="00ED57D2"/>
    <w:rsid w:val="00ED5818"/>
    <w:rsid w:val="00ED6A16"/>
    <w:rsid w:val="00ED7010"/>
    <w:rsid w:val="00ED77B2"/>
    <w:rsid w:val="00ED7ED5"/>
    <w:rsid w:val="00ED7F2C"/>
    <w:rsid w:val="00EE19E6"/>
    <w:rsid w:val="00EE5547"/>
    <w:rsid w:val="00EE6A4E"/>
    <w:rsid w:val="00EF0D1F"/>
    <w:rsid w:val="00EF1E2C"/>
    <w:rsid w:val="00EF20AF"/>
    <w:rsid w:val="00EF2B5B"/>
    <w:rsid w:val="00EF2E41"/>
    <w:rsid w:val="00EF3C6C"/>
    <w:rsid w:val="00EF4676"/>
    <w:rsid w:val="00EF4A36"/>
    <w:rsid w:val="00EF6C30"/>
    <w:rsid w:val="00EF6EB0"/>
    <w:rsid w:val="00EF7831"/>
    <w:rsid w:val="00EF7D20"/>
    <w:rsid w:val="00EF7EA0"/>
    <w:rsid w:val="00F00286"/>
    <w:rsid w:val="00F00C1A"/>
    <w:rsid w:val="00F011A3"/>
    <w:rsid w:val="00F02581"/>
    <w:rsid w:val="00F03429"/>
    <w:rsid w:val="00F039A8"/>
    <w:rsid w:val="00F03FBF"/>
    <w:rsid w:val="00F04C4D"/>
    <w:rsid w:val="00F06154"/>
    <w:rsid w:val="00F06623"/>
    <w:rsid w:val="00F06797"/>
    <w:rsid w:val="00F06E4B"/>
    <w:rsid w:val="00F07142"/>
    <w:rsid w:val="00F07493"/>
    <w:rsid w:val="00F07E76"/>
    <w:rsid w:val="00F100C0"/>
    <w:rsid w:val="00F103D6"/>
    <w:rsid w:val="00F107C9"/>
    <w:rsid w:val="00F126FE"/>
    <w:rsid w:val="00F13866"/>
    <w:rsid w:val="00F13F75"/>
    <w:rsid w:val="00F147A7"/>
    <w:rsid w:val="00F14B53"/>
    <w:rsid w:val="00F14F9F"/>
    <w:rsid w:val="00F156BD"/>
    <w:rsid w:val="00F1575F"/>
    <w:rsid w:val="00F15D38"/>
    <w:rsid w:val="00F17942"/>
    <w:rsid w:val="00F2024D"/>
    <w:rsid w:val="00F227CF"/>
    <w:rsid w:val="00F2297F"/>
    <w:rsid w:val="00F23421"/>
    <w:rsid w:val="00F250DA"/>
    <w:rsid w:val="00F25729"/>
    <w:rsid w:val="00F27146"/>
    <w:rsid w:val="00F27662"/>
    <w:rsid w:val="00F300A6"/>
    <w:rsid w:val="00F31EEC"/>
    <w:rsid w:val="00F32104"/>
    <w:rsid w:val="00F32110"/>
    <w:rsid w:val="00F32898"/>
    <w:rsid w:val="00F3318D"/>
    <w:rsid w:val="00F33239"/>
    <w:rsid w:val="00F33E1F"/>
    <w:rsid w:val="00F344A6"/>
    <w:rsid w:val="00F34B85"/>
    <w:rsid w:val="00F35757"/>
    <w:rsid w:val="00F3655B"/>
    <w:rsid w:val="00F3787C"/>
    <w:rsid w:val="00F37C99"/>
    <w:rsid w:val="00F40411"/>
    <w:rsid w:val="00F40887"/>
    <w:rsid w:val="00F40EEB"/>
    <w:rsid w:val="00F43616"/>
    <w:rsid w:val="00F43653"/>
    <w:rsid w:val="00F445FD"/>
    <w:rsid w:val="00F45583"/>
    <w:rsid w:val="00F45EDA"/>
    <w:rsid w:val="00F46CF7"/>
    <w:rsid w:val="00F47397"/>
    <w:rsid w:val="00F47651"/>
    <w:rsid w:val="00F47831"/>
    <w:rsid w:val="00F50501"/>
    <w:rsid w:val="00F5065A"/>
    <w:rsid w:val="00F50BF3"/>
    <w:rsid w:val="00F53082"/>
    <w:rsid w:val="00F54990"/>
    <w:rsid w:val="00F54E45"/>
    <w:rsid w:val="00F56C1B"/>
    <w:rsid w:val="00F573E4"/>
    <w:rsid w:val="00F57519"/>
    <w:rsid w:val="00F600BB"/>
    <w:rsid w:val="00F60753"/>
    <w:rsid w:val="00F6135C"/>
    <w:rsid w:val="00F62D12"/>
    <w:rsid w:val="00F63EA1"/>
    <w:rsid w:val="00F63F97"/>
    <w:rsid w:val="00F643A7"/>
    <w:rsid w:val="00F66253"/>
    <w:rsid w:val="00F666D7"/>
    <w:rsid w:val="00F666DA"/>
    <w:rsid w:val="00F6792B"/>
    <w:rsid w:val="00F67EFF"/>
    <w:rsid w:val="00F70452"/>
    <w:rsid w:val="00F707D1"/>
    <w:rsid w:val="00F70AD6"/>
    <w:rsid w:val="00F70BA4"/>
    <w:rsid w:val="00F719DF"/>
    <w:rsid w:val="00F71A31"/>
    <w:rsid w:val="00F72155"/>
    <w:rsid w:val="00F722B0"/>
    <w:rsid w:val="00F73E54"/>
    <w:rsid w:val="00F74062"/>
    <w:rsid w:val="00F74F0C"/>
    <w:rsid w:val="00F76120"/>
    <w:rsid w:val="00F76494"/>
    <w:rsid w:val="00F77717"/>
    <w:rsid w:val="00F77F4F"/>
    <w:rsid w:val="00F804D1"/>
    <w:rsid w:val="00F80A7E"/>
    <w:rsid w:val="00F81720"/>
    <w:rsid w:val="00F82884"/>
    <w:rsid w:val="00F83624"/>
    <w:rsid w:val="00F83FE5"/>
    <w:rsid w:val="00F851BF"/>
    <w:rsid w:val="00F856D4"/>
    <w:rsid w:val="00F85E5C"/>
    <w:rsid w:val="00F85F60"/>
    <w:rsid w:val="00F860BB"/>
    <w:rsid w:val="00F8758F"/>
    <w:rsid w:val="00F87F7E"/>
    <w:rsid w:val="00F91B81"/>
    <w:rsid w:val="00F95C76"/>
    <w:rsid w:val="00F96561"/>
    <w:rsid w:val="00F97932"/>
    <w:rsid w:val="00FA167B"/>
    <w:rsid w:val="00FA1ACD"/>
    <w:rsid w:val="00FA1E77"/>
    <w:rsid w:val="00FA294D"/>
    <w:rsid w:val="00FA3B8A"/>
    <w:rsid w:val="00FA4520"/>
    <w:rsid w:val="00FA45A7"/>
    <w:rsid w:val="00FA4884"/>
    <w:rsid w:val="00FA4C22"/>
    <w:rsid w:val="00FA561A"/>
    <w:rsid w:val="00FA6016"/>
    <w:rsid w:val="00FA6076"/>
    <w:rsid w:val="00FA78C6"/>
    <w:rsid w:val="00FB02C6"/>
    <w:rsid w:val="00FB03A3"/>
    <w:rsid w:val="00FB14EE"/>
    <w:rsid w:val="00FB16E0"/>
    <w:rsid w:val="00FB2031"/>
    <w:rsid w:val="00FB349B"/>
    <w:rsid w:val="00FB4059"/>
    <w:rsid w:val="00FB4410"/>
    <w:rsid w:val="00FB720F"/>
    <w:rsid w:val="00FC0744"/>
    <w:rsid w:val="00FC08B9"/>
    <w:rsid w:val="00FC1943"/>
    <w:rsid w:val="00FC1B6A"/>
    <w:rsid w:val="00FC2CD9"/>
    <w:rsid w:val="00FC4464"/>
    <w:rsid w:val="00FC4C7F"/>
    <w:rsid w:val="00FC4EE9"/>
    <w:rsid w:val="00FC4F2F"/>
    <w:rsid w:val="00FD0BA9"/>
    <w:rsid w:val="00FD1378"/>
    <w:rsid w:val="00FD28F9"/>
    <w:rsid w:val="00FD2C65"/>
    <w:rsid w:val="00FD316F"/>
    <w:rsid w:val="00FD3A19"/>
    <w:rsid w:val="00FD3B28"/>
    <w:rsid w:val="00FD3BD4"/>
    <w:rsid w:val="00FD3D74"/>
    <w:rsid w:val="00FD5619"/>
    <w:rsid w:val="00FD73A8"/>
    <w:rsid w:val="00FD7546"/>
    <w:rsid w:val="00FE13B5"/>
    <w:rsid w:val="00FE2638"/>
    <w:rsid w:val="00FE2B7B"/>
    <w:rsid w:val="00FE433D"/>
    <w:rsid w:val="00FE4E21"/>
    <w:rsid w:val="00FE613D"/>
    <w:rsid w:val="00FE66DC"/>
    <w:rsid w:val="00FE697B"/>
    <w:rsid w:val="00FE782C"/>
    <w:rsid w:val="00FF05A4"/>
    <w:rsid w:val="00FF3C09"/>
    <w:rsid w:val="00FF3E3E"/>
    <w:rsid w:val="00FF3EEB"/>
    <w:rsid w:val="00FF476B"/>
    <w:rsid w:val="00FF535C"/>
    <w:rsid w:val="00FF5D95"/>
    <w:rsid w:val="00FF61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uiPriority="35" w:qFormat="1"/>
    <w:lsdException w:name="footnote reference" w:uiPriority="99"/>
    <w:lsdException w:name="Strong" w:uiPriority="22" w:qFormat="1"/>
    <w:lsdException w:name="Table Grid" w:uiPriority="5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qFormat/>
    <w:rsid w:val="006A7FE8"/>
    <w:pPr>
      <w:keepNext/>
      <w:spacing w:before="120" w:after="120"/>
      <w:outlineLvl w:val="2"/>
    </w:pPr>
    <w:rPr>
      <w:rFonts w:ascii="Arial" w:hAnsi="Arial"/>
      <w:b/>
      <w:sz w:val="30"/>
      <w:szCs w:val="30"/>
    </w:rPr>
  </w:style>
  <w:style w:type="paragraph" w:styleId="Heading4">
    <w:name w:val="heading 4"/>
    <w:basedOn w:val="Normal"/>
    <w:next w:val="Normal"/>
    <w:link w:val="Heading4Char"/>
    <w:qFormat/>
    <w:rsid w:val="006A7FE8"/>
    <w:pPr>
      <w:keepNext/>
      <w:spacing w:after="120"/>
      <w:outlineLvl w:val="3"/>
    </w:pPr>
    <w:rPr>
      <w:rFonts w:ascii="Arial" w:hAnsi="Arial"/>
      <w:sz w:val="26"/>
      <w:szCs w:val="26"/>
    </w:rPr>
  </w:style>
  <w:style w:type="paragraph" w:styleId="Heading5">
    <w:name w:val="heading 5"/>
    <w:basedOn w:val="Normal"/>
    <w:next w:val="Normal"/>
    <w:link w:val="Heading5Char"/>
    <w:rsid w:val="00534A99"/>
    <w:pPr>
      <w:spacing w:before="120" w:after="120"/>
      <w:outlineLvl w:val="4"/>
    </w:pPr>
    <w:rPr>
      <w:rFonts w:ascii="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Paragraph"/>
    <w:next w:val="Normal"/>
    <w:uiPriority w:val="35"/>
    <w:qFormat/>
    <w:rsid w:val="00D37281"/>
    <w:pPr>
      <w:keepNext/>
      <w:numPr>
        <w:numId w:val="0"/>
      </w:numPr>
      <w:ind w:left="360"/>
    </w:pPr>
    <w:rPr>
      <w:b/>
    </w:rPr>
  </w:style>
  <w:style w:type="paragraph" w:customStyle="1" w:styleId="paragraphtext">
    <w:name w:val="paragraph text"/>
    <w:basedOn w:val="Normal"/>
    <w:pPr>
      <w:spacing w:before="120" w:after="120"/>
    </w:pPr>
    <w:rPr>
      <w:szCs w:val="20"/>
    </w:rPr>
  </w:style>
  <w:style w:type="character" w:styleId="CommentReference">
    <w:name w:val="annotation reference"/>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pPr>
      <w:numPr>
        <w:numId w:val="4"/>
      </w:numPr>
    </w:pPr>
  </w:style>
  <w:style w:type="character" w:styleId="FootnoteReference">
    <w:name w:val="footnote reference"/>
    <w:uiPriority w:val="99"/>
    <w:rPr>
      <w:rFonts w:ascii="Times New Roman" w:hAnsi="Times New Roman"/>
      <w:sz w:val="18"/>
      <w:vertAlign w:val="superscript"/>
    </w:rPr>
  </w:style>
  <w:style w:type="paragraph" w:styleId="FootnoteText">
    <w:name w:val="footnote text"/>
    <w:basedOn w:val="Normal"/>
    <w:link w:val="FootnoteTextChar"/>
    <w:uiPriority w:val="99"/>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qFormat/>
    <w:rsid w:val="00E51471"/>
    <w:pPr>
      <w:numPr>
        <w:numId w:val="1"/>
      </w:numPr>
      <w:spacing w:before="120" w:after="120"/>
    </w:pPr>
    <w:rPr>
      <w:rFonts w:ascii="Arial" w:hAnsi="Arial"/>
      <w:sz w:val="22"/>
      <w:szCs w:val="22"/>
    </w:rPr>
  </w:style>
  <w:style w:type="paragraph" w:styleId="ListParagraph">
    <w:name w:val="List Paragraph"/>
    <w:basedOn w:val="ListBullet"/>
    <w:uiPriority w:val="34"/>
    <w:qFormat/>
    <w:rsid w:val="00F80A7E"/>
    <w:pPr>
      <w:keepLines/>
      <w:tabs>
        <w:tab w:val="clear" w:pos="360"/>
        <w:tab w:val="num" w:pos="927"/>
      </w:tabs>
      <w:spacing w:after="120"/>
      <w:ind w:left="924" w:hanging="357"/>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32"/>
      </w:numPr>
      <w:spacing w:after="120"/>
    </w:pPr>
    <w:rPr>
      <w:rFonts w:ascii="Arial" w:hAnsi="Arial" w:cs="Arial"/>
      <w:sz w:val="22"/>
      <w:szCs w:val="22"/>
    </w:rPr>
  </w:style>
  <w:style w:type="character" w:customStyle="1" w:styleId="CommentTextChar">
    <w:name w:val="Comment Text Char"/>
    <w:link w:val="CommentText"/>
    <w:semiHidden/>
    <w:rsid w:val="00887ADB"/>
  </w:style>
  <w:style w:type="character" w:styleId="Strong">
    <w:name w:val="Strong"/>
    <w:uiPriority w:val="22"/>
    <w:qFormat/>
    <w:rsid w:val="001608B6"/>
    <w:rPr>
      <w:rFonts w:ascii="Arial" w:hAnsi="Arial" w:cs="Arial"/>
      <w:b/>
      <w:i/>
      <w:iCs/>
      <w:sz w:val="22"/>
      <w:szCs w:val="22"/>
    </w:rPr>
  </w:style>
  <w:style w:type="character" w:styleId="Emphasis">
    <w:name w:val="Emphasis"/>
    <w:basedOn w:val="DefaultParagraphFont"/>
    <w:rsid w:val="001608B6"/>
    <w:rPr>
      <w:i/>
      <w:iCs/>
    </w:rPr>
  </w:style>
  <w:style w:type="paragraph" w:customStyle="1" w:styleId="NumberLevel1">
    <w:name w:val="Number Level 1"/>
    <w:aliases w:val="N1"/>
    <w:basedOn w:val="List"/>
    <w:link w:val="N1Char"/>
    <w:qFormat/>
    <w:rsid w:val="00CC68B6"/>
    <w:pPr>
      <w:numPr>
        <w:numId w:val="12"/>
      </w:numPr>
      <w:tabs>
        <w:tab w:val="clear" w:pos="567"/>
        <w:tab w:val="num" w:pos="360"/>
      </w:tabs>
      <w:spacing w:after="120"/>
      <w:ind w:left="283" w:hanging="283"/>
      <w:contextualSpacing w:val="0"/>
    </w:pPr>
    <w:rPr>
      <w:rFonts w:ascii="Arial" w:eastAsia="Calibri" w:hAnsi="Arial" w:cs="Arial"/>
      <w:sz w:val="22"/>
      <w:szCs w:val="22"/>
    </w:rPr>
  </w:style>
  <w:style w:type="paragraph" w:customStyle="1" w:styleId="NumberLevel2">
    <w:name w:val="Number Level 2"/>
    <w:aliases w:val="N2"/>
    <w:basedOn w:val="List2"/>
    <w:link w:val="N2Char"/>
    <w:qFormat/>
    <w:rsid w:val="00CC68B6"/>
    <w:pPr>
      <w:numPr>
        <w:ilvl w:val="1"/>
        <w:numId w:val="12"/>
      </w:numPr>
      <w:spacing w:after="120"/>
      <w:contextualSpacing w:val="0"/>
    </w:pPr>
    <w:rPr>
      <w:rFonts w:ascii="Arial" w:eastAsia="Calibri" w:hAnsi="Arial" w:cs="Arial"/>
      <w:sz w:val="22"/>
      <w:szCs w:val="22"/>
    </w:rPr>
  </w:style>
  <w:style w:type="paragraph" w:customStyle="1" w:styleId="NumberLevel3">
    <w:name w:val="Number Level 3"/>
    <w:aliases w:val="N3"/>
    <w:basedOn w:val="ListParagraph"/>
    <w:qFormat/>
    <w:rsid w:val="00CC68B6"/>
    <w:pPr>
      <w:keepLines w:val="0"/>
      <w:numPr>
        <w:ilvl w:val="2"/>
        <w:numId w:val="12"/>
      </w:numPr>
      <w:tabs>
        <w:tab w:val="clear" w:pos="1701"/>
        <w:tab w:val="num" w:pos="360"/>
      </w:tabs>
      <w:spacing w:after="200" w:line="276" w:lineRule="auto"/>
      <w:ind w:left="720" w:firstLine="0"/>
      <w:contextualSpacing/>
    </w:pPr>
    <w:rPr>
      <w:rFonts w:eastAsia="Calibri"/>
      <w:lang w:eastAsia="en-US"/>
    </w:rPr>
  </w:style>
  <w:style w:type="paragraph" w:styleId="List">
    <w:name w:val="List"/>
    <w:basedOn w:val="Normal"/>
    <w:rsid w:val="00CC68B6"/>
    <w:pPr>
      <w:ind w:left="283" w:hanging="283"/>
      <w:contextualSpacing/>
    </w:pPr>
  </w:style>
  <w:style w:type="paragraph" w:styleId="List2">
    <w:name w:val="List 2"/>
    <w:basedOn w:val="Normal"/>
    <w:rsid w:val="00CC68B6"/>
    <w:pPr>
      <w:ind w:left="566" w:hanging="283"/>
      <w:contextualSpacing/>
    </w:pPr>
  </w:style>
  <w:style w:type="character" w:customStyle="1" w:styleId="FootnoteTextChar">
    <w:name w:val="Footnote Text Char"/>
    <w:link w:val="FootnoteText"/>
    <w:uiPriority w:val="99"/>
    <w:rsid w:val="002B4C13"/>
    <w:rPr>
      <w:szCs w:val="24"/>
    </w:rPr>
  </w:style>
  <w:style w:type="character" w:customStyle="1" w:styleId="Heading3Char">
    <w:name w:val="Heading 3 Char"/>
    <w:link w:val="Heading3"/>
    <w:rsid w:val="00215B32"/>
    <w:rPr>
      <w:rFonts w:ascii="Arial" w:hAnsi="Arial"/>
      <w:b/>
      <w:sz w:val="30"/>
      <w:szCs w:val="30"/>
    </w:rPr>
  </w:style>
  <w:style w:type="paragraph" w:customStyle="1" w:styleId="Default">
    <w:name w:val="Default"/>
    <w:rsid w:val="00215B32"/>
    <w:pPr>
      <w:autoSpaceDE w:val="0"/>
      <w:autoSpaceDN w:val="0"/>
      <w:adjustRightInd w:val="0"/>
    </w:pPr>
    <w:rPr>
      <w:color w:val="000000"/>
      <w:sz w:val="24"/>
      <w:szCs w:val="24"/>
    </w:rPr>
  </w:style>
  <w:style w:type="character" w:customStyle="1" w:styleId="Heading5Char">
    <w:name w:val="Heading 5 Char"/>
    <w:link w:val="Heading5"/>
    <w:rsid w:val="00DD27C4"/>
    <w:rPr>
      <w:rFonts w:ascii="Arial" w:hAnsi="Arial" w:cs="Arial"/>
      <w:i/>
      <w:sz w:val="22"/>
      <w:szCs w:val="22"/>
    </w:rPr>
  </w:style>
  <w:style w:type="character" w:customStyle="1" w:styleId="Heading4Char">
    <w:name w:val="Heading 4 Char"/>
    <w:link w:val="Heading4"/>
    <w:rsid w:val="00DD27C4"/>
    <w:rPr>
      <w:rFonts w:ascii="Arial" w:hAnsi="Arial"/>
      <w:sz w:val="26"/>
      <w:szCs w:val="26"/>
    </w:rPr>
  </w:style>
  <w:style w:type="paragraph" w:customStyle="1" w:styleId="Source">
    <w:name w:val="Source"/>
    <w:basedOn w:val="Normal"/>
    <w:qFormat/>
    <w:rsid w:val="00DD34AC"/>
    <w:pPr>
      <w:spacing w:after="120"/>
      <w:ind w:left="709"/>
    </w:pPr>
    <w:rPr>
      <w:rFonts w:ascii="Arial" w:eastAsia="Calibri" w:hAnsi="Arial" w:cs="Arial"/>
      <w:sz w:val="20"/>
      <w:szCs w:val="20"/>
    </w:rPr>
  </w:style>
  <w:style w:type="paragraph" w:customStyle="1" w:styleId="Tableheading">
    <w:name w:val="Table heading"/>
    <w:basedOn w:val="Normal"/>
    <w:link w:val="TableheadingChar"/>
    <w:qFormat/>
    <w:rsid w:val="00DD34AC"/>
    <w:pPr>
      <w:keepNext/>
      <w:spacing w:before="60" w:after="60"/>
    </w:pPr>
    <w:rPr>
      <w:rFonts w:ascii="Arial" w:eastAsia="Calibri" w:hAnsi="Arial" w:cs="Arial"/>
      <w:b/>
      <w:sz w:val="20"/>
      <w:szCs w:val="22"/>
    </w:rPr>
  </w:style>
  <w:style w:type="paragraph" w:customStyle="1" w:styleId="Tabletext">
    <w:name w:val="Table text"/>
    <w:basedOn w:val="Tableheading"/>
    <w:link w:val="TabletextChar"/>
    <w:qFormat/>
    <w:rsid w:val="00DD34AC"/>
    <w:pPr>
      <w:keepNext w:val="0"/>
    </w:pPr>
    <w:rPr>
      <w:b w:val="0"/>
    </w:rPr>
  </w:style>
  <w:style w:type="character" w:customStyle="1" w:styleId="TableheadingChar">
    <w:name w:val="Table heading Char"/>
    <w:link w:val="Tableheading"/>
    <w:rsid w:val="00DD34AC"/>
    <w:rPr>
      <w:rFonts w:ascii="Arial" w:eastAsia="Calibri" w:hAnsi="Arial" w:cs="Arial"/>
      <w:b/>
      <w:szCs w:val="22"/>
    </w:rPr>
  </w:style>
  <w:style w:type="character" w:customStyle="1" w:styleId="TabletextChar">
    <w:name w:val="Table text Char"/>
    <w:link w:val="Tabletext"/>
    <w:rsid w:val="00DD34AC"/>
    <w:rPr>
      <w:rFonts w:ascii="Arial" w:eastAsia="Calibri" w:hAnsi="Arial" w:cs="Arial"/>
      <w:szCs w:val="22"/>
    </w:rPr>
  </w:style>
  <w:style w:type="character" w:customStyle="1" w:styleId="N1Char">
    <w:name w:val="N1 Char"/>
    <w:link w:val="NumberLevel1"/>
    <w:rsid w:val="00DD34AC"/>
    <w:rPr>
      <w:rFonts w:ascii="Arial" w:eastAsia="Calibri" w:hAnsi="Arial" w:cs="Arial"/>
      <w:sz w:val="22"/>
      <w:szCs w:val="22"/>
    </w:rPr>
  </w:style>
  <w:style w:type="character" w:customStyle="1" w:styleId="N2Char">
    <w:name w:val="N2 Char"/>
    <w:link w:val="NumberLevel2"/>
    <w:rsid w:val="00DD34AC"/>
    <w:rPr>
      <w:rFonts w:ascii="Arial" w:eastAsia="Calibri" w:hAnsi="Arial" w:cs="Arial"/>
      <w:sz w:val="22"/>
      <w:szCs w:val="22"/>
    </w:rPr>
  </w:style>
  <w:style w:type="paragraph" w:styleId="Revision">
    <w:name w:val="Revision"/>
    <w:hidden/>
    <w:uiPriority w:val="99"/>
    <w:semiHidden/>
    <w:rsid w:val="00C065DA"/>
    <w:rPr>
      <w:sz w:val="24"/>
      <w:szCs w:val="24"/>
    </w:rPr>
  </w:style>
  <w:style w:type="character" w:styleId="Hyperlink">
    <w:name w:val="Hyperlink"/>
    <w:basedOn w:val="DefaultParagraphFont"/>
    <w:rsid w:val="0003772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638195022">
      <w:bodyDiv w:val="1"/>
      <w:marLeft w:val="0"/>
      <w:marRight w:val="0"/>
      <w:marTop w:val="0"/>
      <w:marBottom w:val="0"/>
      <w:divBdr>
        <w:top w:val="none" w:sz="0" w:space="0" w:color="auto"/>
        <w:left w:val="none" w:sz="0" w:space="0" w:color="auto"/>
        <w:bottom w:val="none" w:sz="0" w:space="0" w:color="auto"/>
        <w:right w:val="none" w:sz="0" w:space="0" w:color="auto"/>
      </w:divBdr>
      <w:divsChild>
        <w:div w:id="1221284677">
          <w:marLeft w:val="0"/>
          <w:marRight w:val="0"/>
          <w:marTop w:val="0"/>
          <w:marBottom w:val="0"/>
          <w:divBdr>
            <w:top w:val="none" w:sz="0" w:space="0" w:color="auto"/>
            <w:left w:val="none" w:sz="0" w:space="0" w:color="auto"/>
            <w:bottom w:val="none" w:sz="0" w:space="0" w:color="auto"/>
            <w:right w:val="none" w:sz="0" w:space="0" w:color="auto"/>
          </w:divBdr>
          <w:divsChild>
            <w:div w:id="970789010">
              <w:marLeft w:val="0"/>
              <w:marRight w:val="0"/>
              <w:marTop w:val="0"/>
              <w:marBottom w:val="0"/>
              <w:divBdr>
                <w:top w:val="none" w:sz="0" w:space="0" w:color="auto"/>
                <w:left w:val="none" w:sz="0" w:space="0" w:color="auto"/>
                <w:bottom w:val="none" w:sz="0" w:space="0" w:color="auto"/>
                <w:right w:val="none" w:sz="0" w:space="0" w:color="auto"/>
              </w:divBdr>
              <w:divsChild>
                <w:div w:id="64492950">
                  <w:marLeft w:val="0"/>
                  <w:marRight w:val="0"/>
                  <w:marTop w:val="0"/>
                  <w:marBottom w:val="0"/>
                  <w:divBdr>
                    <w:top w:val="none" w:sz="0" w:space="0" w:color="auto"/>
                    <w:left w:val="none" w:sz="0" w:space="0" w:color="auto"/>
                    <w:bottom w:val="none" w:sz="0" w:space="0" w:color="auto"/>
                    <w:right w:val="none" w:sz="0" w:space="0" w:color="auto"/>
                  </w:divBdr>
                  <w:divsChild>
                    <w:div w:id="676200611">
                      <w:marLeft w:val="0"/>
                      <w:marRight w:val="0"/>
                      <w:marTop w:val="0"/>
                      <w:marBottom w:val="0"/>
                      <w:divBdr>
                        <w:top w:val="none" w:sz="0" w:space="0" w:color="auto"/>
                        <w:left w:val="none" w:sz="0" w:space="0" w:color="auto"/>
                        <w:bottom w:val="none" w:sz="0" w:space="0" w:color="auto"/>
                        <w:right w:val="none" w:sz="0" w:space="0" w:color="auto"/>
                      </w:divBdr>
                      <w:divsChild>
                        <w:div w:id="633413188">
                          <w:marLeft w:val="0"/>
                          <w:marRight w:val="0"/>
                          <w:marTop w:val="0"/>
                          <w:marBottom w:val="450"/>
                          <w:divBdr>
                            <w:top w:val="none" w:sz="0" w:space="0" w:color="auto"/>
                            <w:left w:val="none" w:sz="0" w:space="0" w:color="auto"/>
                            <w:bottom w:val="none" w:sz="0" w:space="0" w:color="auto"/>
                            <w:right w:val="none" w:sz="0" w:space="0" w:color="auto"/>
                          </w:divBdr>
                          <w:divsChild>
                            <w:div w:id="656033167">
                              <w:marLeft w:val="0"/>
                              <w:marRight w:val="0"/>
                              <w:marTop w:val="0"/>
                              <w:marBottom w:val="0"/>
                              <w:divBdr>
                                <w:top w:val="none" w:sz="0" w:space="0" w:color="auto"/>
                                <w:left w:val="none" w:sz="0" w:space="0" w:color="auto"/>
                                <w:bottom w:val="none" w:sz="0" w:space="0" w:color="auto"/>
                                <w:right w:val="none" w:sz="0" w:space="0" w:color="auto"/>
                              </w:divBdr>
                              <w:divsChild>
                                <w:div w:id="89450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334882">
      <w:bodyDiv w:val="1"/>
      <w:marLeft w:val="0"/>
      <w:marRight w:val="0"/>
      <w:marTop w:val="0"/>
      <w:marBottom w:val="0"/>
      <w:divBdr>
        <w:top w:val="none" w:sz="0" w:space="0" w:color="auto"/>
        <w:left w:val="none" w:sz="0" w:space="0" w:color="auto"/>
        <w:bottom w:val="none" w:sz="0" w:space="0" w:color="auto"/>
        <w:right w:val="none" w:sz="0" w:space="0" w:color="auto"/>
      </w:divBdr>
      <w:divsChild>
        <w:div w:id="1232082696">
          <w:marLeft w:val="0"/>
          <w:marRight w:val="0"/>
          <w:marTop w:val="0"/>
          <w:marBottom w:val="0"/>
          <w:divBdr>
            <w:top w:val="none" w:sz="0" w:space="0" w:color="auto"/>
            <w:left w:val="none" w:sz="0" w:space="0" w:color="auto"/>
            <w:bottom w:val="none" w:sz="0" w:space="0" w:color="auto"/>
            <w:right w:val="none" w:sz="0" w:space="0" w:color="auto"/>
          </w:divBdr>
          <w:divsChild>
            <w:div w:id="865169471">
              <w:marLeft w:val="0"/>
              <w:marRight w:val="0"/>
              <w:marTop w:val="0"/>
              <w:marBottom w:val="0"/>
              <w:divBdr>
                <w:top w:val="none" w:sz="0" w:space="0" w:color="auto"/>
                <w:left w:val="none" w:sz="0" w:space="0" w:color="auto"/>
                <w:bottom w:val="none" w:sz="0" w:space="0" w:color="auto"/>
                <w:right w:val="none" w:sz="0" w:space="0" w:color="auto"/>
              </w:divBdr>
              <w:divsChild>
                <w:div w:id="1559585587">
                  <w:marLeft w:val="0"/>
                  <w:marRight w:val="0"/>
                  <w:marTop w:val="0"/>
                  <w:marBottom w:val="0"/>
                  <w:divBdr>
                    <w:top w:val="none" w:sz="0" w:space="0" w:color="auto"/>
                    <w:left w:val="none" w:sz="0" w:space="0" w:color="auto"/>
                    <w:bottom w:val="none" w:sz="0" w:space="0" w:color="auto"/>
                    <w:right w:val="none" w:sz="0" w:space="0" w:color="auto"/>
                  </w:divBdr>
                  <w:divsChild>
                    <w:div w:id="824786774">
                      <w:marLeft w:val="0"/>
                      <w:marRight w:val="0"/>
                      <w:marTop w:val="0"/>
                      <w:marBottom w:val="0"/>
                      <w:divBdr>
                        <w:top w:val="single" w:sz="6" w:space="0" w:color="DCD9D9"/>
                        <w:left w:val="single" w:sz="6" w:space="0" w:color="DCD9D9"/>
                        <w:bottom w:val="single" w:sz="2" w:space="0" w:color="DCD9D9"/>
                        <w:right w:val="single" w:sz="6" w:space="0" w:color="DCD9D9"/>
                      </w:divBdr>
                      <w:divsChild>
                        <w:div w:id="341006810">
                          <w:marLeft w:val="0"/>
                          <w:marRight w:val="-100"/>
                          <w:marTop w:val="450"/>
                          <w:marBottom w:val="0"/>
                          <w:divBdr>
                            <w:top w:val="none" w:sz="0" w:space="0" w:color="auto"/>
                            <w:left w:val="none" w:sz="0" w:space="0" w:color="auto"/>
                            <w:bottom w:val="none" w:sz="0" w:space="0" w:color="auto"/>
                            <w:right w:val="none" w:sz="0" w:space="0" w:color="auto"/>
                          </w:divBdr>
                          <w:divsChild>
                            <w:div w:id="1250848302">
                              <w:marLeft w:val="0"/>
                              <w:marRight w:val="0"/>
                              <w:marTop w:val="0"/>
                              <w:marBottom w:val="0"/>
                              <w:divBdr>
                                <w:top w:val="none" w:sz="0" w:space="0" w:color="auto"/>
                                <w:left w:val="none" w:sz="0" w:space="0" w:color="auto"/>
                                <w:bottom w:val="none" w:sz="0" w:space="0" w:color="auto"/>
                                <w:right w:val="none" w:sz="0" w:space="0" w:color="auto"/>
                              </w:divBdr>
                              <w:divsChild>
                                <w:div w:id="871042745">
                                  <w:marLeft w:val="0"/>
                                  <w:marRight w:val="0"/>
                                  <w:marTop w:val="0"/>
                                  <w:marBottom w:val="0"/>
                                  <w:divBdr>
                                    <w:top w:val="none" w:sz="0" w:space="0" w:color="auto"/>
                                    <w:left w:val="none" w:sz="0" w:space="0" w:color="auto"/>
                                    <w:bottom w:val="none" w:sz="0" w:space="0" w:color="auto"/>
                                    <w:right w:val="none" w:sz="0" w:space="0" w:color="auto"/>
                                  </w:divBdr>
                                  <w:divsChild>
                                    <w:div w:id="693727538">
                                      <w:marLeft w:val="0"/>
                                      <w:marRight w:val="0"/>
                                      <w:marTop w:val="0"/>
                                      <w:marBottom w:val="0"/>
                                      <w:divBdr>
                                        <w:top w:val="none" w:sz="0" w:space="0" w:color="auto"/>
                                        <w:left w:val="none" w:sz="0" w:space="0" w:color="auto"/>
                                        <w:bottom w:val="none" w:sz="0" w:space="0" w:color="auto"/>
                                        <w:right w:val="none" w:sz="0" w:space="0" w:color="auto"/>
                                      </w:divBdr>
                                      <w:divsChild>
                                        <w:div w:id="791942610">
                                          <w:marLeft w:val="0"/>
                                          <w:marRight w:val="0"/>
                                          <w:marTop w:val="0"/>
                                          <w:marBottom w:val="360"/>
                                          <w:divBdr>
                                            <w:top w:val="none" w:sz="0" w:space="0" w:color="auto"/>
                                            <w:left w:val="none" w:sz="0" w:space="0" w:color="auto"/>
                                            <w:bottom w:val="none" w:sz="0" w:space="0" w:color="auto"/>
                                            <w:right w:val="none" w:sz="0" w:space="0" w:color="auto"/>
                                          </w:divBdr>
                                          <w:divsChild>
                                            <w:div w:id="1375616275">
                                              <w:marLeft w:val="0"/>
                                              <w:marRight w:val="0"/>
                                              <w:marTop w:val="0"/>
                                              <w:marBottom w:val="0"/>
                                              <w:divBdr>
                                                <w:top w:val="none" w:sz="0" w:space="0" w:color="auto"/>
                                                <w:left w:val="none" w:sz="0" w:space="0" w:color="auto"/>
                                                <w:bottom w:val="none" w:sz="0" w:space="0" w:color="auto"/>
                                                <w:right w:val="none" w:sz="0" w:space="0" w:color="auto"/>
                                              </w:divBdr>
                                              <w:divsChild>
                                                <w:div w:id="1932351586">
                                                  <w:marLeft w:val="0"/>
                                                  <w:marRight w:val="0"/>
                                                  <w:marTop w:val="0"/>
                                                  <w:marBottom w:val="0"/>
                                                  <w:divBdr>
                                                    <w:top w:val="none" w:sz="0" w:space="0" w:color="auto"/>
                                                    <w:left w:val="none" w:sz="0" w:space="0" w:color="auto"/>
                                                    <w:bottom w:val="none" w:sz="0" w:space="0" w:color="auto"/>
                                                    <w:right w:val="none" w:sz="0" w:space="0" w:color="auto"/>
                                                  </w:divBdr>
                                                  <w:divsChild>
                                                    <w:div w:id="2067951196">
                                                      <w:marLeft w:val="0"/>
                                                      <w:marRight w:val="0"/>
                                                      <w:marTop w:val="0"/>
                                                      <w:marBottom w:val="0"/>
                                                      <w:divBdr>
                                                        <w:top w:val="none" w:sz="0" w:space="0" w:color="auto"/>
                                                        <w:left w:val="none" w:sz="0" w:space="0" w:color="auto"/>
                                                        <w:bottom w:val="none" w:sz="0" w:space="0" w:color="auto"/>
                                                        <w:right w:val="none" w:sz="0" w:space="0" w:color="auto"/>
                                                      </w:divBdr>
                                                      <w:divsChild>
                                                        <w:div w:id="42409435">
                                                          <w:marLeft w:val="0"/>
                                                          <w:marRight w:val="0"/>
                                                          <w:marTop w:val="0"/>
                                                          <w:marBottom w:val="0"/>
                                                          <w:divBdr>
                                                            <w:top w:val="none" w:sz="0" w:space="0" w:color="auto"/>
                                                            <w:left w:val="none" w:sz="0" w:space="0" w:color="auto"/>
                                                            <w:bottom w:val="none" w:sz="0" w:space="0" w:color="auto"/>
                                                            <w:right w:val="none" w:sz="0" w:space="0" w:color="auto"/>
                                                          </w:divBdr>
                                                          <w:divsChild>
                                                            <w:div w:id="1519275984">
                                                              <w:marLeft w:val="0"/>
                                                              <w:marRight w:val="0"/>
                                                              <w:marTop w:val="0"/>
                                                              <w:marBottom w:val="0"/>
                                                              <w:divBdr>
                                                                <w:top w:val="none" w:sz="0" w:space="0" w:color="auto"/>
                                                                <w:left w:val="none" w:sz="0" w:space="0" w:color="auto"/>
                                                                <w:bottom w:val="none" w:sz="0" w:space="0" w:color="auto"/>
                                                                <w:right w:val="none" w:sz="0" w:space="0" w:color="auto"/>
                                                              </w:divBdr>
                                                              <w:divsChild>
                                                                <w:div w:id="7877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_rels/footnotes.xml.rels><?xml version="1.0" encoding="UTF-8" standalone="yes"?>
<Relationships xmlns="http://schemas.openxmlformats.org/package/2006/relationships"><Relationship Id="rId2" Type="http://schemas.openxmlformats.org/officeDocument/2006/relationships/hyperlink" Target="http://registers.accc.gov.au/content/index.phtml/itemId/1178130/fromItemId/751043" TargetMode="External"/><Relationship Id="rId1" Type="http://schemas.openxmlformats.org/officeDocument/2006/relationships/hyperlink" Target="http://registers.accc.gov.au/content/index.phtml/itemId/1178072/fromItemId/7510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R:\MARS\Centura\TEMPLATES\Public%20Competition%20Assess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6DCF4E-8857-4E89-ABA9-C4E0A656B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Public Competition Assessment</Template>
  <TotalTime>0</TotalTime>
  <Pages>30</Pages>
  <Words>9830</Words>
  <Characters>53393</Characters>
  <Application>Microsoft Office Word</Application>
  <DocSecurity>0</DocSecurity>
  <Lines>444</Lines>
  <Paragraphs>126</Paragraphs>
  <ScaleCrop>false</ScaleCrop>
  <HeadingPairs>
    <vt:vector size="2" baseType="variant">
      <vt:variant>
        <vt:lpstr>Title</vt:lpstr>
      </vt:variant>
      <vt:variant>
        <vt:i4>1</vt:i4>
      </vt:variant>
    </vt:vector>
  </HeadingPairs>
  <TitlesOfParts>
    <vt:vector size="1" baseType="lpstr">
      <vt:lpstr/>
    </vt:vector>
  </TitlesOfParts>
  <Company>ACCC</Company>
  <LinksUpToDate>false</LinksUpToDate>
  <CharactersWithSpaces>63097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Sudol</dc:creator>
  <cp:lastModifiedBy>Gosain, Seema</cp:lastModifiedBy>
  <cp:revision>3</cp:revision>
  <cp:lastPrinted>2014-12-16T05:29:00Z</cp:lastPrinted>
  <dcterms:created xsi:type="dcterms:W3CDTF">2014-12-16T05:28:00Z</dcterms:created>
  <dcterms:modified xsi:type="dcterms:W3CDTF">2014-12-16T05:29:00Z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