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D52AC" w:rsidRDefault="007746FD" w:rsidP="00A10BE5">
      <w:pPr>
        <w:pStyle w:val="Heading1"/>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1.1pt;height:89.75pt">
            <v:imagedata r:id="rId8" o:title="logo_48x23mm-300dpi-CMYK"/>
          </v:shape>
        </w:pict>
      </w:r>
    </w:p>
    <w:p w:rsidR="00AF1C87" w:rsidRPr="00EF2E41" w:rsidRDefault="00AF1C87" w:rsidP="00A53505">
      <w:pPr>
        <w:pStyle w:val="Heading1"/>
        <w:rPr>
          <w:sz w:val="32"/>
          <w:szCs w:val="32"/>
        </w:rPr>
      </w:pPr>
      <w:r w:rsidRPr="00EF2E41">
        <w:rPr>
          <w:sz w:val="32"/>
          <w:szCs w:val="32"/>
        </w:rPr>
        <w:t>Public Competition Assessment</w:t>
      </w:r>
    </w:p>
    <w:p w:rsidR="00AF1C87" w:rsidRDefault="00CA56BF" w:rsidP="004B15AE">
      <w:pPr>
        <w:pStyle w:val="Date1"/>
        <w:spacing w:before="120"/>
      </w:pPr>
      <w:r>
        <w:t>1</w:t>
      </w:r>
      <w:r w:rsidR="00116E6E">
        <w:t>4</w:t>
      </w:r>
      <w:r w:rsidR="00015982">
        <w:t xml:space="preserve"> July </w:t>
      </w:r>
      <w:r w:rsidR="00363AF2">
        <w:t>2014</w:t>
      </w:r>
    </w:p>
    <w:p w:rsidR="00AF1C87" w:rsidRDefault="002F2E4B" w:rsidP="00A53505">
      <w:pPr>
        <w:pStyle w:val="Heading2"/>
      </w:pPr>
      <w:bookmarkStart w:id="1" w:name="Title"/>
      <w:bookmarkEnd w:id="1"/>
      <w:r>
        <w:t xml:space="preserve">Gallagher Group </w:t>
      </w:r>
      <w:r w:rsidR="005D7BDF">
        <w:t>–</w:t>
      </w:r>
      <w:r>
        <w:t xml:space="preserve"> proposed</w:t>
      </w:r>
      <w:r w:rsidR="005D7BDF">
        <w:t xml:space="preserve"> </w:t>
      </w:r>
      <w:r>
        <w:t>acquisition of Country Electronics Pty Ltd</w:t>
      </w:r>
      <w:r w:rsidR="005D7BDF">
        <w:t xml:space="preserve"> (trading as Thunderbird)</w:t>
      </w:r>
    </w:p>
    <w:p w:rsidR="00AF1C87" w:rsidRPr="00977B66" w:rsidRDefault="00AF1C87" w:rsidP="002C41BC">
      <w:pPr>
        <w:pStyle w:val="Heading3"/>
      </w:pPr>
      <w:r w:rsidRPr="00977B66">
        <w:t>Introduction</w:t>
      </w:r>
    </w:p>
    <w:p w:rsidR="002F2E4B" w:rsidRDefault="002F2E4B" w:rsidP="002F2E4B">
      <w:pPr>
        <w:pStyle w:val="NormalParagraph"/>
      </w:pPr>
      <w:r>
        <w:t>On 19 December 2013</w:t>
      </w:r>
      <w:r w:rsidR="00AF1C87" w:rsidRPr="00A53505">
        <w:t>, the Australian Competition and Consumer Commission (</w:t>
      </w:r>
      <w:r w:rsidR="00AF1C87" w:rsidRPr="00977B66">
        <w:rPr>
          <w:b/>
        </w:rPr>
        <w:t>ACCC</w:t>
      </w:r>
      <w:r w:rsidR="00AF1C87" w:rsidRPr="00A53505">
        <w:t xml:space="preserve">) announced its </w:t>
      </w:r>
      <w:r w:rsidR="00AF1C87" w:rsidRPr="002F2E4B">
        <w:t>decision not to oppose th</w:t>
      </w:r>
      <w:r w:rsidR="00EF2E41" w:rsidRPr="002F2E4B">
        <w:t xml:space="preserve">e </w:t>
      </w:r>
      <w:bookmarkStart w:id="2" w:name="Type"/>
      <w:bookmarkEnd w:id="2"/>
      <w:r w:rsidRPr="002F2E4B">
        <w:t>proposed</w:t>
      </w:r>
      <w:r w:rsidR="003A7E7A" w:rsidRPr="002F2E4B">
        <w:t xml:space="preserve"> </w:t>
      </w:r>
      <w:r w:rsidR="00AF1C87" w:rsidRPr="002F2E4B">
        <w:t xml:space="preserve">acquisition of </w:t>
      </w:r>
      <w:bookmarkStart w:id="3" w:name="Target"/>
      <w:bookmarkEnd w:id="3"/>
      <w:r w:rsidRPr="002F2E4B">
        <w:t>Country Electronics Pty Ltd</w:t>
      </w:r>
      <w:r w:rsidR="00AF1C87" w:rsidRPr="002F2E4B">
        <w:t xml:space="preserve"> by </w:t>
      </w:r>
      <w:bookmarkStart w:id="4" w:name="Acquirer"/>
      <w:bookmarkEnd w:id="4"/>
      <w:r w:rsidRPr="002F2E4B">
        <w:t>Gallagher Group</w:t>
      </w:r>
      <w:r w:rsidR="00AF1C87" w:rsidRPr="002F2E4B">
        <w:t xml:space="preserve"> (</w:t>
      </w:r>
      <w:r w:rsidR="00AF1C87" w:rsidRPr="002F2E4B">
        <w:rPr>
          <w:b/>
        </w:rPr>
        <w:t>proposed acquisition</w:t>
      </w:r>
      <w:r w:rsidR="00AF1C87" w:rsidRPr="002F2E4B">
        <w:t xml:space="preserve">), subject to section 87B undertakings accepted by </w:t>
      </w:r>
      <w:r w:rsidRPr="002F2E4B">
        <w:t>the ACCC on 19 December 2013</w:t>
      </w:r>
      <w:r w:rsidR="00AF1C87" w:rsidRPr="002F2E4B">
        <w:t xml:space="preserve">. The ACCC </w:t>
      </w:r>
      <w:r w:rsidR="00F02581" w:rsidRPr="002F2E4B">
        <w:t xml:space="preserve">decided </w:t>
      </w:r>
      <w:r w:rsidR="00AF1C87" w:rsidRPr="002F2E4B">
        <w:t xml:space="preserve">that the proposed acquisition, in conjunction with the undertakings, would be </w:t>
      </w:r>
      <w:r w:rsidRPr="002F2E4B">
        <w:t>un</w:t>
      </w:r>
      <w:r w:rsidR="00AF1C87" w:rsidRPr="002F2E4B">
        <w:t>likely to have the effect of substantiall</w:t>
      </w:r>
      <w:r w:rsidRPr="002F2E4B">
        <w:t xml:space="preserve">y lessening competition in </w:t>
      </w:r>
      <w:r>
        <w:t xml:space="preserve">either </w:t>
      </w:r>
      <w:r w:rsidRPr="002F2E4B">
        <w:t xml:space="preserve">the </w:t>
      </w:r>
      <w:r w:rsidR="008A667F">
        <w:t xml:space="preserve">national </w:t>
      </w:r>
      <w:r w:rsidR="00AF1C87" w:rsidRPr="002F2E4B">
        <w:t>market</w:t>
      </w:r>
      <w:r w:rsidR="00AF1C87" w:rsidRPr="00A53505">
        <w:t xml:space="preserve"> for</w:t>
      </w:r>
      <w:r>
        <w:t xml:space="preserve"> the </w:t>
      </w:r>
      <w:r w:rsidR="008A667F">
        <w:t xml:space="preserve">wholesale </w:t>
      </w:r>
      <w:r>
        <w:t xml:space="preserve">supply of animal management electric fence energisers or the </w:t>
      </w:r>
      <w:r w:rsidR="008A667F">
        <w:t xml:space="preserve">national </w:t>
      </w:r>
      <w:r>
        <w:t xml:space="preserve">market for the </w:t>
      </w:r>
      <w:r w:rsidR="008A667F">
        <w:t xml:space="preserve">wholesale </w:t>
      </w:r>
      <w:r>
        <w:t xml:space="preserve">supply of animal management weigh scales in Australia </w:t>
      </w:r>
      <w:r w:rsidR="00AF1C87" w:rsidRPr="00A53505">
        <w:t xml:space="preserve">in contravention of section 50 of the </w:t>
      </w:r>
      <w:r w:rsidR="00512557" w:rsidRPr="00F80A7E">
        <w:rPr>
          <w:i/>
        </w:rPr>
        <w:t>Competition and Consumer Act 2010</w:t>
      </w:r>
      <w:r w:rsidR="00AF1C87" w:rsidRPr="00A53505">
        <w:t xml:space="preserve"> (</w:t>
      </w:r>
      <w:r w:rsidR="00AF1C87" w:rsidRPr="00977B66">
        <w:rPr>
          <w:b/>
        </w:rPr>
        <w:t>the Act</w:t>
      </w:r>
      <w:r w:rsidR="00AF1C87" w:rsidRPr="00A53505">
        <w:t>).</w:t>
      </w:r>
    </w:p>
    <w:p w:rsidR="00AF1C87" w:rsidRDefault="002F2E4B" w:rsidP="002F2E4B">
      <w:pPr>
        <w:pStyle w:val="NormalParagraph"/>
      </w:pPr>
      <w:r>
        <w:t>The ACCC made its decision on the basis of the information provided by the merger parties and information arising from its market inquiries. This Public Competition Assessment outlines the basis on which the ACCC has reached its decision on the proposed acquisition, subject to confidentiality considerations.</w:t>
      </w:r>
    </w:p>
    <w:p w:rsidR="00AF1C87" w:rsidRDefault="00AF1C87" w:rsidP="006A7FE8">
      <w:pPr>
        <w:pStyle w:val="Heading3"/>
      </w:pPr>
      <w:r>
        <w:t>Public Competition Assessment</w:t>
      </w:r>
    </w:p>
    <w:p w:rsidR="00AF1C87" w:rsidRDefault="00AF1C87" w:rsidP="00A53505">
      <w:pPr>
        <w:pStyle w:val="NormalParagraph"/>
      </w:pPr>
      <w:r>
        <w:t>To provide an enhanced level of transparency and procedural fairness in its decision making process, the ACCC issues a Public Competition Assessment for all transaction proposals where:</w:t>
      </w:r>
    </w:p>
    <w:p w:rsidR="00AF1C87" w:rsidRPr="00F80A7E" w:rsidRDefault="00AF1C87" w:rsidP="005745CF">
      <w:pPr>
        <w:pStyle w:val="ListParagraph"/>
        <w:tabs>
          <w:tab w:val="clear" w:pos="360"/>
          <w:tab w:val="num" w:pos="1276"/>
        </w:tabs>
        <w:ind w:left="1276" w:hanging="567"/>
        <w:rPr>
          <w:lang w:eastAsia="en-US"/>
        </w:rPr>
      </w:pPr>
      <w:r w:rsidRPr="00F80A7E">
        <w:rPr>
          <w:lang w:eastAsia="en-US"/>
        </w:rPr>
        <w:t>a merger is opposed;</w:t>
      </w:r>
    </w:p>
    <w:p w:rsidR="00AF1C87" w:rsidRPr="00F80A7E" w:rsidRDefault="00AF1C87" w:rsidP="005745CF">
      <w:pPr>
        <w:pStyle w:val="ListParagraph"/>
        <w:tabs>
          <w:tab w:val="clear" w:pos="360"/>
          <w:tab w:val="num" w:pos="1276"/>
        </w:tabs>
        <w:ind w:left="1276" w:hanging="567"/>
        <w:rPr>
          <w:lang w:eastAsia="en-US"/>
        </w:rPr>
      </w:pPr>
      <w:r w:rsidRPr="00F80A7E">
        <w:rPr>
          <w:lang w:eastAsia="en-US"/>
        </w:rPr>
        <w:t>a merger is subject to enforceable undertakings;</w:t>
      </w:r>
    </w:p>
    <w:p w:rsidR="00AF1C87" w:rsidRPr="00F80A7E" w:rsidRDefault="00AF1C87" w:rsidP="005745CF">
      <w:pPr>
        <w:pStyle w:val="ListParagraph"/>
        <w:tabs>
          <w:tab w:val="clear" w:pos="360"/>
          <w:tab w:val="num" w:pos="1276"/>
        </w:tabs>
        <w:ind w:left="1276" w:hanging="567"/>
        <w:rPr>
          <w:lang w:eastAsia="en-US"/>
        </w:rPr>
      </w:pPr>
      <w:r w:rsidRPr="00F80A7E">
        <w:rPr>
          <w:lang w:eastAsia="en-US"/>
        </w:rPr>
        <w:t>the merger parties seek such disclosure; or</w:t>
      </w:r>
    </w:p>
    <w:p w:rsidR="00AF1C87" w:rsidRPr="00F80A7E" w:rsidRDefault="00AF1C87" w:rsidP="005745CF">
      <w:pPr>
        <w:pStyle w:val="ListParagraph"/>
        <w:tabs>
          <w:tab w:val="clear" w:pos="360"/>
          <w:tab w:val="num" w:pos="1276"/>
        </w:tabs>
        <w:ind w:left="1276" w:hanging="567"/>
        <w:rPr>
          <w:lang w:eastAsia="en-US"/>
        </w:rPr>
      </w:pPr>
      <w:r w:rsidRPr="00F80A7E">
        <w:rPr>
          <w:lang w:eastAsia="en-US"/>
        </w:rPr>
        <w:t>a merger is not opposed but raises important issues that the ACCC considers should be made public.</w:t>
      </w:r>
    </w:p>
    <w:p w:rsidR="00AF1C87" w:rsidRPr="002F2E4B" w:rsidRDefault="00AF1C87" w:rsidP="00A53505">
      <w:pPr>
        <w:pStyle w:val="NormalParagraph"/>
      </w:pPr>
      <w:r>
        <w:t xml:space="preserve">This Public Competition Assessment has been issued because </w:t>
      </w:r>
      <w:bookmarkStart w:id="5" w:name="Acquirer2"/>
      <w:bookmarkEnd w:id="5"/>
      <w:r w:rsidR="002F2E4B">
        <w:t>Gallagher Group</w:t>
      </w:r>
      <w:r>
        <w:t xml:space="preserve">’s proposed acquisition of </w:t>
      </w:r>
      <w:bookmarkStart w:id="6" w:name="Target2"/>
      <w:bookmarkEnd w:id="6"/>
      <w:r w:rsidR="002F2E4B">
        <w:t xml:space="preserve">Country Electronics Pty </w:t>
      </w:r>
      <w:r w:rsidR="002F2E4B" w:rsidRPr="002F2E4B">
        <w:t>Ltd</w:t>
      </w:r>
      <w:r w:rsidRPr="002F2E4B">
        <w:t xml:space="preserve"> is subject to a court enforceable undertaking</w:t>
      </w:r>
      <w:r w:rsidR="002F2E4B" w:rsidRPr="002F2E4B">
        <w:t>.</w:t>
      </w:r>
    </w:p>
    <w:p w:rsidR="00AF1C87" w:rsidRDefault="00AF1C87" w:rsidP="00A53505">
      <w:pPr>
        <w:pStyle w:val="NormalParagraph"/>
      </w:pPr>
      <w:r>
        <w:lastRenderedPageBreak/>
        <w:t>By issuing Public Competition Assessments, the ACCC</w:t>
      </w:r>
      <w:r w:rsidDel="00E6344F">
        <w:t xml:space="preserve"> </w:t>
      </w:r>
      <w:r>
        <w:t>aims to provide the public with a better understanding of the ACCC's analysis of various markets and the associated merger and competition issues. It also alerts the public to circumstances where the ACCC’s assessment of the competition conditions in particular markets is</w:t>
      </w:r>
      <w:r w:rsidR="00F80A7E">
        <w:t xml:space="preserve"> changing, or likely to change.</w:t>
      </w:r>
    </w:p>
    <w:p w:rsidR="006531C0" w:rsidRDefault="00AF1C87" w:rsidP="00A53505">
      <w:pPr>
        <w:pStyle w:val="NormalParagraph"/>
      </w:pPr>
      <w:r>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 transaction proposals, as each matter will be considered on its own merits.</w:t>
      </w:r>
      <w:bookmarkStart w:id="7" w:name="OLE_LINK2"/>
      <w:bookmarkStart w:id="8" w:name="OLE_LINK1"/>
      <w:bookmarkEnd w:id="7"/>
    </w:p>
    <w:p w:rsidR="006531C0" w:rsidRDefault="006531C0" w:rsidP="00A53505">
      <w:pPr>
        <w:pStyle w:val="NormalParagraph"/>
      </w:pPr>
      <w:r>
        <w:t>Public Competition Assessments outline the ACCC’s principal reasons for</w:t>
      </w:r>
      <w:bookmarkEnd w:id="8"/>
      <w:r>
        <w:t xml:space="preserve"> forming views on a proposed acquisition at the time the decision was made. As such Public Competition Assessments may not definitively identify and explain all issues that the ACCC considers arise from a proposed acquisition. Further, the ACCC’s decisions generally involve consideration of both non-confidential and confidential information provided by the merger parties and market participants. In order to maintain the confidentiality of particular information, Public Competition Assessments do not contain any confidential information or its sources.</w:t>
      </w:r>
    </w:p>
    <w:p w:rsidR="00AF1C87" w:rsidRDefault="00AF1C87" w:rsidP="006A7FE8">
      <w:pPr>
        <w:pStyle w:val="Heading3"/>
      </w:pPr>
      <w:r>
        <w:t xml:space="preserve">The </w:t>
      </w:r>
      <w:r w:rsidRPr="00A53505">
        <w:t>parties</w:t>
      </w:r>
    </w:p>
    <w:p w:rsidR="00AF1C87" w:rsidRPr="007C1793" w:rsidRDefault="00AF1C87" w:rsidP="000B538F">
      <w:pPr>
        <w:pStyle w:val="Heading4"/>
      </w:pPr>
      <w:r w:rsidRPr="007C1793">
        <w:t xml:space="preserve">The acquirer: </w:t>
      </w:r>
      <w:bookmarkStart w:id="9" w:name="Acquirer3"/>
      <w:bookmarkEnd w:id="9"/>
      <w:r w:rsidR="002F2E4B" w:rsidRPr="007C1793">
        <w:t>Gallagher Group</w:t>
      </w:r>
    </w:p>
    <w:p w:rsidR="006739CA" w:rsidRPr="006739CA" w:rsidRDefault="006739CA" w:rsidP="006739CA">
      <w:pPr>
        <w:pStyle w:val="NormalParagraph"/>
      </w:pPr>
      <w:r w:rsidRPr="00194CDD">
        <w:t xml:space="preserve">The Gallagher Group is a privately owned New Zealand company </w:t>
      </w:r>
      <w:r w:rsidR="002963ED">
        <w:t xml:space="preserve">which </w:t>
      </w:r>
      <w:r w:rsidRPr="00194CDD">
        <w:t>design</w:t>
      </w:r>
      <w:r w:rsidR="002963ED">
        <w:t>s</w:t>
      </w:r>
      <w:r w:rsidRPr="00194CDD">
        <w:t>, manufacture</w:t>
      </w:r>
      <w:r w:rsidR="002963ED">
        <w:t>s</w:t>
      </w:r>
      <w:r w:rsidRPr="00194CDD">
        <w:t xml:space="preserve">, and </w:t>
      </w:r>
      <w:r w:rsidR="002963ED" w:rsidRPr="00194CDD">
        <w:t>market</w:t>
      </w:r>
      <w:r w:rsidR="002963ED">
        <w:t xml:space="preserve">s </w:t>
      </w:r>
      <w:r w:rsidRPr="00194CDD">
        <w:t>a range of animal management, security and fuel systems products in New Zealand</w:t>
      </w:r>
      <w:r w:rsidR="002963ED">
        <w:t>. These products</w:t>
      </w:r>
      <w:r w:rsidRPr="00194CDD">
        <w:t xml:space="preserve"> are exported to various countries including Australia.</w:t>
      </w:r>
    </w:p>
    <w:p w:rsidR="00194CDD" w:rsidRDefault="006739CA" w:rsidP="00194CDD">
      <w:pPr>
        <w:pStyle w:val="NormalParagraph"/>
      </w:pPr>
      <w:r w:rsidRPr="00194CDD">
        <w:t>Gallagher Australia operates as a sales and distribution company for the Gallagher Group’s animal management products in Australia. Gallagher’s animal management products are manufactured by the Gallagher Group in New Zealand, and include electric fencing energisers and accessories, weigh scales, electronic identification readers, electric cattle prodders, animal hand</w:t>
      </w:r>
      <w:r w:rsidR="001E2994">
        <w:t>l</w:t>
      </w:r>
      <w:r w:rsidRPr="00194CDD">
        <w:t xml:space="preserve">ing equipment and farm gate fittings. </w:t>
      </w:r>
    </w:p>
    <w:p w:rsidR="00435A2A" w:rsidRDefault="00981375" w:rsidP="00981375">
      <w:pPr>
        <w:pStyle w:val="NormalParagraph"/>
      </w:pPr>
      <w:r>
        <w:t>For the purposes of this Public Competition Assessment, the acquirer will be referred to as “Gallagher”.</w:t>
      </w:r>
    </w:p>
    <w:p w:rsidR="00AF1C87" w:rsidRPr="007C1793" w:rsidRDefault="00AF1C87" w:rsidP="000B538F">
      <w:pPr>
        <w:pStyle w:val="Heading4"/>
      </w:pPr>
      <w:r w:rsidRPr="007C1793">
        <w:t xml:space="preserve">The target: </w:t>
      </w:r>
      <w:bookmarkStart w:id="10" w:name="Target3"/>
      <w:bookmarkEnd w:id="10"/>
      <w:r w:rsidR="002F2E4B" w:rsidRPr="007C1793">
        <w:t>Country Electronics Pty Ltd</w:t>
      </w:r>
    </w:p>
    <w:p w:rsidR="00194CDD" w:rsidRPr="00194CDD" w:rsidRDefault="00194CDD" w:rsidP="00194CDD">
      <w:pPr>
        <w:pStyle w:val="NormalParagraph"/>
      </w:pPr>
      <w:r w:rsidRPr="00FB37A2">
        <w:t xml:space="preserve">Country Electronics is a privately owned manufacturer and supplier of electric fencing energisers and accessories, weigh scales, and other animal management products in Australia. </w:t>
      </w:r>
    </w:p>
    <w:p w:rsidR="00435A2A" w:rsidRDefault="00194CDD" w:rsidP="00435A2A">
      <w:pPr>
        <w:pStyle w:val="NormalParagraph"/>
      </w:pPr>
      <w:r w:rsidRPr="00194CDD">
        <w:t>Country Electronics commenced operations in 1983 and sells its products under the trading name of Thunderbird.</w:t>
      </w:r>
    </w:p>
    <w:p w:rsidR="00981375" w:rsidRDefault="00981375" w:rsidP="00981375">
      <w:pPr>
        <w:pStyle w:val="NormalParagraph"/>
      </w:pPr>
      <w:r>
        <w:t xml:space="preserve">Country Electronics’ headquarters and manufacturing premises are located in Mudgee, New South Wales. It has three warehouses, located in New South Wales, Queensland and Victoria. </w:t>
      </w:r>
    </w:p>
    <w:p w:rsidR="00981375" w:rsidRDefault="00981375" w:rsidP="00981375">
      <w:pPr>
        <w:pStyle w:val="NormalParagraph"/>
      </w:pPr>
      <w:r>
        <w:lastRenderedPageBreak/>
        <w:t>For the purposes of this Public Competition Assessment, the target, Country Electronics, will be referred to as “Thunderbird”.</w:t>
      </w:r>
    </w:p>
    <w:p w:rsidR="00AF1C87" w:rsidRDefault="00AF1C87" w:rsidP="000B538F">
      <w:pPr>
        <w:pStyle w:val="Heading3"/>
      </w:pPr>
      <w:r w:rsidRPr="007C1793">
        <w:t>Other industry participants</w:t>
      </w:r>
    </w:p>
    <w:p w:rsidR="00981375" w:rsidRPr="000B538F" w:rsidRDefault="00981375" w:rsidP="000B538F">
      <w:pPr>
        <w:pStyle w:val="Heading4"/>
      </w:pPr>
      <w:r w:rsidRPr="000B538F">
        <w:t>Tru-Test</w:t>
      </w:r>
    </w:p>
    <w:p w:rsidR="00981375" w:rsidRDefault="00981375" w:rsidP="00981375">
      <w:pPr>
        <w:pStyle w:val="NormalParagraph"/>
      </w:pPr>
      <w:r>
        <w:t>Tru-Test Corporation Limited (</w:t>
      </w:r>
      <w:r>
        <w:rPr>
          <w:b/>
        </w:rPr>
        <w:t>Tru-Test</w:t>
      </w:r>
      <w:r>
        <w:t>) is a New Zealand based manufacturer of electric fence, weigh scale and animal management products. It exports these products to a number of continents including Australia, North America and Europe, and is a major supplier of these products in New Zealand.</w:t>
      </w:r>
    </w:p>
    <w:p w:rsidR="00981375" w:rsidRDefault="00981375" w:rsidP="00981375">
      <w:pPr>
        <w:pStyle w:val="NormalParagraph"/>
      </w:pPr>
      <w:r>
        <w:t xml:space="preserve">In Australia, Tru-Test supplies a number of </w:t>
      </w:r>
      <w:r w:rsidR="004F042D">
        <w:t xml:space="preserve">premium </w:t>
      </w:r>
      <w:r>
        <w:t>elect</w:t>
      </w:r>
      <w:r w:rsidR="00247390">
        <w:t>ric fence products</w:t>
      </w:r>
      <w:r w:rsidR="004F042D">
        <w:t xml:space="preserve"> under its three premium brands, which are</w:t>
      </w:r>
      <w:r>
        <w:t xml:space="preserve"> Stafix, Speedrite</w:t>
      </w:r>
      <w:r w:rsidR="004F042D">
        <w:t xml:space="preserve"> </w:t>
      </w:r>
      <w:r>
        <w:t>and PEL</w:t>
      </w:r>
      <w:r w:rsidR="004F042D">
        <w:t>.</w:t>
      </w:r>
      <w:r w:rsidR="00C07009">
        <w:t xml:space="preserve"> </w:t>
      </w:r>
      <w:r w:rsidR="004F042D">
        <w:t>Tru-Test has also recently commenced supplying electric fence energisers in Australia under its budget brand, Patriot.</w:t>
      </w:r>
      <w:r w:rsidR="00C07009">
        <w:t xml:space="preserve"> </w:t>
      </w:r>
      <w:r w:rsidR="00247390">
        <w:t>Tru-</w:t>
      </w:r>
      <w:r w:rsidR="00267805">
        <w:t>T</w:t>
      </w:r>
      <w:r w:rsidR="00247390">
        <w:t xml:space="preserve">est also supplies weigh scale indicators and accessories. </w:t>
      </w:r>
    </w:p>
    <w:p w:rsidR="00981375" w:rsidRDefault="00247390" w:rsidP="00981375">
      <w:pPr>
        <w:pStyle w:val="NormalParagraph"/>
      </w:pPr>
      <w:r>
        <w:t>At the time of the ACCC’s decision, t</w:t>
      </w:r>
      <w:r w:rsidR="00981375">
        <w:t xml:space="preserve">he Gallagher Group </w:t>
      </w:r>
      <w:r>
        <w:t xml:space="preserve">owned </w:t>
      </w:r>
      <w:r w:rsidR="008A667F">
        <w:t>11.86</w:t>
      </w:r>
      <w:r w:rsidR="009D4DA7">
        <w:t xml:space="preserve"> per cent </w:t>
      </w:r>
      <w:r w:rsidR="00981375">
        <w:t>of the issued shares in Tru-Test.</w:t>
      </w:r>
    </w:p>
    <w:p w:rsidR="00981375" w:rsidRPr="007C1793" w:rsidRDefault="00981375" w:rsidP="000B538F">
      <w:pPr>
        <w:pStyle w:val="Heading4"/>
      </w:pPr>
      <w:r w:rsidRPr="007C1793">
        <w:t>Daken</w:t>
      </w:r>
    </w:p>
    <w:p w:rsidR="00981375" w:rsidRDefault="00981375" w:rsidP="00981375">
      <w:pPr>
        <w:pStyle w:val="NormalParagraph"/>
      </w:pPr>
      <w:r>
        <w:t xml:space="preserve">Daken is an Australian company which supplies a range of agricultural products in Australia including electric fence </w:t>
      </w:r>
      <w:r w:rsidR="005D7BDF">
        <w:t xml:space="preserve">energisers and associated </w:t>
      </w:r>
      <w:r>
        <w:t xml:space="preserve">products. It also manufactures and supplies tractor implements and hay making equipment. Daken is a wholly owned subsidiary of Clark Equipment Pty Ltd, a privately owned Australian company. </w:t>
      </w:r>
    </w:p>
    <w:p w:rsidR="00981375" w:rsidRPr="007C1793" w:rsidRDefault="00981375" w:rsidP="000B538F">
      <w:pPr>
        <w:pStyle w:val="Heading4"/>
      </w:pPr>
      <w:r w:rsidRPr="007C1793">
        <w:t>Pakton</w:t>
      </w:r>
    </w:p>
    <w:p w:rsidR="00981375" w:rsidRDefault="00981375" w:rsidP="00981375">
      <w:pPr>
        <w:pStyle w:val="NormalParagraph"/>
      </w:pPr>
      <w:r>
        <w:t>Pa</w:t>
      </w:r>
      <w:r w:rsidRPr="000212F4">
        <w:t xml:space="preserve">kton is an Australian Original Equipment Manufacturer (OEM) </w:t>
      </w:r>
      <w:r>
        <w:t>of</w:t>
      </w:r>
      <w:r w:rsidRPr="000212F4">
        <w:t xml:space="preserve"> electronics for electric fence products for animal management and security. Pakton supplies these products to other third party </w:t>
      </w:r>
      <w:r>
        <w:t xml:space="preserve">wholesale </w:t>
      </w:r>
      <w:r w:rsidRPr="000212F4">
        <w:t xml:space="preserve">suppliers in Australia including Daken and JVA, as well as to overseas </w:t>
      </w:r>
      <w:r>
        <w:t>wholesalers</w:t>
      </w:r>
      <w:r w:rsidRPr="000212F4">
        <w:t>.</w:t>
      </w:r>
    </w:p>
    <w:p w:rsidR="00981375" w:rsidRPr="007C1793" w:rsidRDefault="00981375" w:rsidP="000B538F">
      <w:pPr>
        <w:pStyle w:val="Heading4"/>
      </w:pPr>
      <w:r w:rsidRPr="007C1793">
        <w:t xml:space="preserve">JVA </w:t>
      </w:r>
    </w:p>
    <w:p w:rsidR="00981375" w:rsidRDefault="00981375" w:rsidP="00981375">
      <w:pPr>
        <w:pStyle w:val="NormalParagraph"/>
      </w:pPr>
      <w:r>
        <w:t>JVA is an Australian supplier of electric fencing products. Its electric fence energiser products are manufactured by Pakton and distributed by a small number of rural resellers located in Queensland and Western Australia, as well as online.</w:t>
      </w:r>
      <w:r>
        <w:rPr>
          <w:rStyle w:val="FootnoteReference"/>
        </w:rPr>
        <w:footnoteReference w:id="1"/>
      </w:r>
    </w:p>
    <w:p w:rsidR="00981375" w:rsidRPr="007C1793" w:rsidRDefault="00981375" w:rsidP="000B538F">
      <w:pPr>
        <w:pStyle w:val="Heading4"/>
      </w:pPr>
      <w:r w:rsidRPr="007C1793">
        <w:t>Rural resellers</w:t>
      </w:r>
    </w:p>
    <w:p w:rsidR="00981375" w:rsidRDefault="00981375" w:rsidP="00981375">
      <w:pPr>
        <w:pStyle w:val="NormalParagraph"/>
      </w:pPr>
      <w:r>
        <w:t>Most electric fencing products and animal weigh scale products are sold to end users through rural and agricultural retail stores (</w:t>
      </w:r>
      <w:r w:rsidRPr="00E65206">
        <w:rPr>
          <w:b/>
        </w:rPr>
        <w:t>rural</w:t>
      </w:r>
      <w:r>
        <w:t xml:space="preserve"> </w:t>
      </w:r>
      <w:r w:rsidRPr="00DC3997">
        <w:rPr>
          <w:b/>
        </w:rPr>
        <w:t>resellers</w:t>
      </w:r>
      <w:r>
        <w:t xml:space="preserve">). Market inquiries suggest that this is because most end-users seek advice about the features of the products before making a purchase. </w:t>
      </w:r>
    </w:p>
    <w:p w:rsidR="00981375" w:rsidRDefault="00981375" w:rsidP="00981375">
      <w:pPr>
        <w:pStyle w:val="NormalParagraph"/>
      </w:pPr>
      <w:r>
        <w:t xml:space="preserve">Most rural resellers in Australia are part of, or members of, a larger corporate or cooperative entity, franchise or buying group. Examples of rural reseller brands in </w:t>
      </w:r>
      <w:r>
        <w:lastRenderedPageBreak/>
        <w:t>Australia include Landmark, Elders, Ruralco/CRT and Australian Independent Rural Retailers (</w:t>
      </w:r>
      <w:r w:rsidRPr="0077320F">
        <w:rPr>
          <w:b/>
        </w:rPr>
        <w:t>AIRR</w:t>
      </w:r>
      <w:r>
        <w:t>). There are also some resellers who offer an online store where end-users can purchase products directly, however, the ACCC understands that sales volumes through this distribution method are currently small.</w:t>
      </w:r>
    </w:p>
    <w:p w:rsidR="00AF1C87" w:rsidRDefault="00981375" w:rsidP="004F042D">
      <w:pPr>
        <w:pStyle w:val="NormalParagraph"/>
      </w:pPr>
      <w:r>
        <w:t xml:space="preserve">Market </w:t>
      </w:r>
      <w:r w:rsidR="002963ED">
        <w:t xml:space="preserve">inquiries </w:t>
      </w:r>
      <w:r>
        <w:t xml:space="preserve">indicated that the reseller channel is integral for the successful distribution of these products. </w:t>
      </w:r>
      <w:r w:rsidR="002963ED">
        <w:t>T</w:t>
      </w:r>
      <w:r>
        <w:t xml:space="preserve">he manufacturers compete to have their products stocked by the resellers by offering volume-based rebates on wholesale product purchases along with non-price offers, such as support with merchandising and after-sales service and advice. </w:t>
      </w:r>
    </w:p>
    <w:p w:rsidR="00AF1C87" w:rsidRDefault="00AF1C87" w:rsidP="006A7FE8">
      <w:pPr>
        <w:pStyle w:val="Heading3"/>
      </w:pPr>
      <w:r>
        <w:t xml:space="preserve">The proposed </w:t>
      </w:r>
      <w:r w:rsidRPr="00A53505">
        <w:t>transaction</w:t>
      </w:r>
    </w:p>
    <w:p w:rsidR="00AF1C87" w:rsidRDefault="005C412C" w:rsidP="00A53505">
      <w:pPr>
        <w:pStyle w:val="NormalParagraph"/>
      </w:pPr>
      <w:r>
        <w:t>Gallagher proposed to acquire</w:t>
      </w:r>
      <w:r w:rsidR="00BC16BD">
        <w:t xml:space="preserve"> the assets</w:t>
      </w:r>
      <w:r w:rsidR="00EF595A">
        <w:t>, including the manufacturing plant, equipment and inventory,</w:t>
      </w:r>
      <w:r w:rsidR="00BC16BD">
        <w:t xml:space="preserve"> of</w:t>
      </w:r>
      <w:r>
        <w:t xml:space="preserve"> Thunderbird. </w:t>
      </w:r>
    </w:p>
    <w:p w:rsidR="000E4355" w:rsidRDefault="000E4355" w:rsidP="006A7FE8">
      <w:pPr>
        <w:pStyle w:val="Heading3"/>
      </w:pPr>
      <w:r>
        <w:t xml:space="preserve">Areas of </w:t>
      </w:r>
      <w:r w:rsidR="00A9404E">
        <w:t>o</w:t>
      </w:r>
      <w:r>
        <w:t>verlap</w:t>
      </w:r>
    </w:p>
    <w:p w:rsidR="000E4355" w:rsidRPr="000E4355" w:rsidRDefault="000E4355" w:rsidP="00D4618E">
      <w:pPr>
        <w:pStyle w:val="NormalParagraph"/>
      </w:pPr>
      <w:r w:rsidRPr="000E4355">
        <w:t>The ACCC considers that the following areas of overlap exist between the parties to the proposed acquisition:</w:t>
      </w:r>
    </w:p>
    <w:p w:rsidR="000E4355" w:rsidRPr="000E4355" w:rsidRDefault="000E4355" w:rsidP="000B538F">
      <w:pPr>
        <w:pStyle w:val="ListParagraph"/>
        <w:numPr>
          <w:ilvl w:val="0"/>
          <w:numId w:val="35"/>
        </w:numPr>
        <w:ind w:left="709" w:hanging="283"/>
        <w:rPr>
          <w:lang w:eastAsia="en-US"/>
        </w:rPr>
      </w:pPr>
      <w:r w:rsidRPr="000E4355">
        <w:rPr>
          <w:lang w:eastAsia="en-US"/>
        </w:rPr>
        <w:t>Electric fence products, namely electric fence energisers and accessories, which together control livestock by delivering an electric pulse through insulated fence wires. Electric fencing has the following basic components:</w:t>
      </w:r>
    </w:p>
    <w:p w:rsidR="000E4355" w:rsidRPr="000E4355" w:rsidRDefault="000E4355" w:rsidP="000B538F">
      <w:pPr>
        <w:pStyle w:val="ListParagraph"/>
        <w:tabs>
          <w:tab w:val="clear" w:pos="360"/>
          <w:tab w:val="num" w:pos="1276"/>
        </w:tabs>
        <w:ind w:left="1276" w:hanging="567"/>
        <w:rPr>
          <w:lang w:eastAsia="en-US"/>
        </w:rPr>
      </w:pPr>
      <w:r w:rsidRPr="000E4355">
        <w:rPr>
          <w:lang w:eastAsia="en-US"/>
        </w:rPr>
        <w:t>A wire or filament that carries an electric charge along the fence-line.</w:t>
      </w:r>
      <w:r w:rsidR="00C07009">
        <w:rPr>
          <w:lang w:eastAsia="en-US"/>
        </w:rPr>
        <w:t xml:space="preserve"> </w:t>
      </w:r>
    </w:p>
    <w:p w:rsidR="000E4355" w:rsidRPr="000E4355" w:rsidRDefault="000E4355" w:rsidP="000B538F">
      <w:pPr>
        <w:pStyle w:val="ListParagraph"/>
        <w:tabs>
          <w:tab w:val="clear" w:pos="360"/>
          <w:tab w:val="num" w:pos="1276"/>
        </w:tabs>
        <w:ind w:left="1276" w:hanging="567"/>
        <w:rPr>
          <w:lang w:eastAsia="en-US"/>
        </w:rPr>
      </w:pPr>
      <w:r w:rsidRPr="000E4355">
        <w:rPr>
          <w:lang w:eastAsia="en-US"/>
        </w:rPr>
        <w:t>An energiser, which can be powered by either solar, battery or mains (or sometimes more than one of these options), pushes power through the fence in a series of pulses.</w:t>
      </w:r>
      <w:r w:rsidR="00C07009">
        <w:rPr>
          <w:lang w:eastAsia="en-US"/>
        </w:rPr>
        <w:t xml:space="preserve"> </w:t>
      </w:r>
    </w:p>
    <w:p w:rsidR="000E4355" w:rsidRPr="000E4355" w:rsidRDefault="000E4355" w:rsidP="000B538F">
      <w:pPr>
        <w:pStyle w:val="ListParagraph"/>
        <w:tabs>
          <w:tab w:val="clear" w:pos="360"/>
          <w:tab w:val="num" w:pos="1276"/>
        </w:tabs>
        <w:ind w:left="1276" w:hanging="567"/>
        <w:rPr>
          <w:lang w:eastAsia="en-US"/>
        </w:rPr>
      </w:pPr>
      <w:r w:rsidRPr="000E4355">
        <w:rPr>
          <w:lang w:eastAsia="en-US"/>
        </w:rPr>
        <w:t>A ground system, usually a series of metal rods sunk into the ground and connected to the energiser via a ground wire, waits dormant until the fence is touched by an animal that is also in contact with the ground.</w:t>
      </w:r>
      <w:r w:rsidR="00C07009">
        <w:rPr>
          <w:lang w:eastAsia="en-US"/>
        </w:rPr>
        <w:t xml:space="preserve"> </w:t>
      </w:r>
      <w:r w:rsidRPr="000E4355">
        <w:rPr>
          <w:lang w:eastAsia="en-US"/>
        </w:rPr>
        <w:t xml:space="preserve">The ground system attracts the charge through the animal which completes the circuit and returns the current to the energiser. </w:t>
      </w:r>
    </w:p>
    <w:p w:rsidR="000E4355" w:rsidRPr="000E4355" w:rsidRDefault="000E4355" w:rsidP="002963ED">
      <w:pPr>
        <w:pStyle w:val="ListParagraph"/>
        <w:tabs>
          <w:tab w:val="clear" w:pos="360"/>
          <w:tab w:val="num" w:pos="1276"/>
        </w:tabs>
        <w:ind w:left="1276" w:hanging="567"/>
        <w:rPr>
          <w:lang w:eastAsia="en-US"/>
        </w:rPr>
      </w:pPr>
      <w:r w:rsidRPr="000E4355">
        <w:rPr>
          <w:lang w:eastAsia="en-US"/>
        </w:rPr>
        <w:t>Other parts, including posts, tape, insulators, reels and accessories.</w:t>
      </w:r>
    </w:p>
    <w:p w:rsidR="000E4355" w:rsidRPr="000E4355" w:rsidRDefault="000E4355" w:rsidP="000B538F">
      <w:pPr>
        <w:pStyle w:val="ListParagraph"/>
        <w:numPr>
          <w:ilvl w:val="0"/>
          <w:numId w:val="35"/>
        </w:numPr>
        <w:ind w:left="709" w:hanging="283"/>
        <w:rPr>
          <w:lang w:eastAsia="en-US"/>
        </w:rPr>
      </w:pPr>
      <w:r w:rsidRPr="000E4355">
        <w:rPr>
          <w:lang w:eastAsia="en-US"/>
        </w:rPr>
        <w:t xml:space="preserve">Animal weigh scale systems, which comprise an electronic weigh indicator which powers and interprets the weigh signal from load bars, and displays and stores the weight of </w:t>
      </w:r>
      <w:r w:rsidR="00B80E16">
        <w:rPr>
          <w:lang w:eastAsia="en-US"/>
        </w:rPr>
        <w:t xml:space="preserve">an </w:t>
      </w:r>
      <w:r w:rsidRPr="000E4355">
        <w:rPr>
          <w:lang w:eastAsia="en-US"/>
        </w:rPr>
        <w:t xml:space="preserve">animal. </w:t>
      </w:r>
    </w:p>
    <w:p w:rsidR="000E4355" w:rsidRDefault="000E4355" w:rsidP="00D4618E">
      <w:pPr>
        <w:pStyle w:val="NormalParagraph"/>
      </w:pPr>
      <w:r w:rsidRPr="000E4355">
        <w:t xml:space="preserve">For the purposes of this </w:t>
      </w:r>
      <w:r w:rsidR="00D4618E">
        <w:t>Public Competition Assessment</w:t>
      </w:r>
      <w:r w:rsidRPr="000E4355">
        <w:t xml:space="preserve">, </w:t>
      </w:r>
      <w:r w:rsidR="00D4618E">
        <w:t xml:space="preserve">animal management </w:t>
      </w:r>
      <w:r w:rsidRPr="000E4355">
        <w:t>electric fencing products will be referred to as ‘</w:t>
      </w:r>
      <w:r w:rsidRPr="00D4618E">
        <w:rPr>
          <w:b/>
        </w:rPr>
        <w:t>energisers</w:t>
      </w:r>
      <w:r w:rsidRPr="000E4355">
        <w:t xml:space="preserve">’, as these are the critical component of the electric fencing products sold by the </w:t>
      </w:r>
      <w:r w:rsidR="001E2994">
        <w:t>merger parties</w:t>
      </w:r>
      <w:r w:rsidRPr="000E4355">
        <w:t xml:space="preserve"> and are commonly purchased separately from other types of electric fencing products. Animal weigh scale systems will be referred to as ‘</w:t>
      </w:r>
      <w:r w:rsidRPr="00D4618E">
        <w:rPr>
          <w:b/>
        </w:rPr>
        <w:t>animal weigh scales’</w:t>
      </w:r>
      <w:r w:rsidRPr="000E4355">
        <w:t xml:space="preserve">. </w:t>
      </w:r>
    </w:p>
    <w:p w:rsidR="00AF1C87" w:rsidRDefault="00E845AB" w:rsidP="006148DE">
      <w:pPr>
        <w:pStyle w:val="Heading3"/>
      </w:pPr>
      <w:r>
        <w:lastRenderedPageBreak/>
        <w:t>Review timeline</w:t>
      </w:r>
    </w:p>
    <w:p w:rsidR="00AF1C87" w:rsidRPr="005E537F" w:rsidRDefault="00AF1C87" w:rsidP="006148DE">
      <w:pPr>
        <w:pStyle w:val="NormalParagraph"/>
        <w:keepNext/>
      </w:pPr>
      <w:r>
        <w:t>The following table outlines the timelin</w:t>
      </w:r>
      <w:r w:rsidR="005E537F">
        <w:t>e of key events in this matter.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2"/>
        <w:gridCol w:w="7016"/>
      </w:tblGrid>
      <w:tr w:rsidR="00AF1C87" w:rsidRPr="00F80A7E" w:rsidTr="00F85E5C">
        <w:trPr>
          <w:trHeight w:val="263"/>
          <w:tblHeader/>
        </w:trPr>
        <w:tc>
          <w:tcPr>
            <w:tcW w:w="1552" w:type="dxa"/>
          </w:tcPr>
          <w:p w:rsidR="00AF1C87" w:rsidRPr="00E845AB" w:rsidRDefault="00AF1C87" w:rsidP="006148DE">
            <w:pPr>
              <w:keepNext/>
              <w:rPr>
                <w:rFonts w:ascii="Arial" w:hAnsi="Arial" w:cs="Arial"/>
                <w:b/>
                <w:sz w:val="22"/>
                <w:szCs w:val="22"/>
              </w:rPr>
            </w:pPr>
            <w:r w:rsidRPr="00E845AB">
              <w:rPr>
                <w:rFonts w:ascii="Arial" w:hAnsi="Arial" w:cs="Arial"/>
                <w:b/>
                <w:sz w:val="22"/>
                <w:szCs w:val="22"/>
              </w:rPr>
              <w:t>Date</w:t>
            </w:r>
          </w:p>
        </w:tc>
        <w:tc>
          <w:tcPr>
            <w:tcW w:w="7016" w:type="dxa"/>
          </w:tcPr>
          <w:p w:rsidR="00AF1C87" w:rsidRPr="00E845AB" w:rsidRDefault="00AF1C87" w:rsidP="006148DE">
            <w:pPr>
              <w:keepNext/>
              <w:ind w:left="-68"/>
              <w:rPr>
                <w:rFonts w:ascii="Arial" w:hAnsi="Arial" w:cs="Arial"/>
                <w:b/>
                <w:sz w:val="22"/>
                <w:szCs w:val="22"/>
              </w:rPr>
            </w:pPr>
            <w:r w:rsidRPr="00E845AB">
              <w:rPr>
                <w:rFonts w:ascii="Arial" w:hAnsi="Arial" w:cs="Arial"/>
                <w:b/>
                <w:sz w:val="22"/>
                <w:szCs w:val="22"/>
              </w:rPr>
              <w:t>Event</w:t>
            </w:r>
          </w:p>
        </w:tc>
      </w:tr>
      <w:tr w:rsidR="00AF1C87" w:rsidRPr="00F80A7E" w:rsidTr="00F80A7E">
        <w:tc>
          <w:tcPr>
            <w:tcW w:w="1552" w:type="dxa"/>
          </w:tcPr>
          <w:p w:rsidR="002F2E4B" w:rsidRDefault="002F2E4B" w:rsidP="006148DE">
            <w:pPr>
              <w:keepNext/>
              <w:rPr>
                <w:rFonts w:ascii="Arial" w:hAnsi="Arial" w:cs="Arial"/>
                <w:sz w:val="22"/>
                <w:szCs w:val="22"/>
              </w:rPr>
            </w:pPr>
            <w:bookmarkStart w:id="11" w:name="EventDate"/>
            <w:bookmarkEnd w:id="11"/>
            <w:r>
              <w:rPr>
                <w:rFonts w:ascii="Arial" w:hAnsi="Arial" w:cs="Arial"/>
                <w:sz w:val="22"/>
                <w:szCs w:val="22"/>
              </w:rPr>
              <w:t>25-Oct-2012</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15-Nov-2012</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13-Dec-2012</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FB37A2" w:rsidRDefault="00FB37A2"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20-Dec-2012</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31-Jan-2013</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FB37A2" w:rsidRDefault="00FB37A2"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15-Feb-2013</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04-Mar-2013</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11-Mar-2013</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21-Mar-2013</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27-Mar-2013</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13-Dec-2013</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19-Dec-2013</w:t>
            </w:r>
          </w:p>
          <w:p w:rsidR="00AF1C87" w:rsidRPr="00F80A7E" w:rsidRDefault="00AF1C87" w:rsidP="006148DE">
            <w:pPr>
              <w:keepNext/>
              <w:rPr>
                <w:rFonts w:ascii="Arial" w:hAnsi="Arial" w:cs="Arial"/>
                <w:sz w:val="22"/>
                <w:szCs w:val="22"/>
              </w:rPr>
            </w:pPr>
          </w:p>
        </w:tc>
        <w:tc>
          <w:tcPr>
            <w:tcW w:w="7016" w:type="dxa"/>
          </w:tcPr>
          <w:p w:rsidR="002F2E4B" w:rsidRDefault="002F2E4B" w:rsidP="006148DE">
            <w:pPr>
              <w:keepNext/>
              <w:rPr>
                <w:rFonts w:ascii="Arial" w:hAnsi="Arial" w:cs="Arial"/>
                <w:sz w:val="22"/>
                <w:szCs w:val="22"/>
              </w:rPr>
            </w:pPr>
            <w:bookmarkStart w:id="12" w:name="EventDescription"/>
            <w:bookmarkEnd w:id="12"/>
            <w:r>
              <w:rPr>
                <w:rFonts w:ascii="Arial" w:hAnsi="Arial" w:cs="Arial"/>
                <w:sz w:val="22"/>
                <w:szCs w:val="22"/>
              </w:rPr>
              <w:t>ACCC commenced review under the Merger Review Process Guidelines.</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Closing date for submissions from interested parties.</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ACCC requested further information from the merger parties. ACCC</w:t>
            </w:r>
          </w:p>
          <w:p w:rsidR="002F2E4B" w:rsidRDefault="002F2E4B" w:rsidP="006148DE">
            <w:pPr>
              <w:keepNext/>
              <w:rPr>
                <w:rFonts w:ascii="Arial" w:hAnsi="Arial" w:cs="Arial"/>
                <w:sz w:val="22"/>
                <w:szCs w:val="22"/>
              </w:rPr>
            </w:pPr>
            <w:r>
              <w:rPr>
                <w:rFonts w:ascii="Arial" w:hAnsi="Arial" w:cs="Arial"/>
                <w:sz w:val="22"/>
                <w:szCs w:val="22"/>
              </w:rPr>
              <w:t>timeline suspended. Former proposed decision date of 20 December</w:t>
            </w:r>
          </w:p>
          <w:p w:rsidR="002F2E4B" w:rsidRDefault="002F2E4B" w:rsidP="006148DE">
            <w:pPr>
              <w:keepNext/>
              <w:rPr>
                <w:rFonts w:ascii="Arial" w:hAnsi="Arial" w:cs="Arial"/>
                <w:sz w:val="22"/>
                <w:szCs w:val="22"/>
              </w:rPr>
            </w:pPr>
            <w:r>
              <w:rPr>
                <w:rFonts w:ascii="Arial" w:hAnsi="Arial" w:cs="Arial"/>
                <w:sz w:val="22"/>
                <w:szCs w:val="22"/>
              </w:rPr>
              <w:t>2012 delayed pending receipt of information from the parties.</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ACCC received further information from the merger parties. ACCC</w:t>
            </w:r>
          </w:p>
          <w:p w:rsidR="002F2E4B" w:rsidRDefault="002F2E4B" w:rsidP="006148DE">
            <w:pPr>
              <w:keepNext/>
              <w:rPr>
                <w:rFonts w:ascii="Arial" w:hAnsi="Arial" w:cs="Arial"/>
                <w:sz w:val="22"/>
                <w:szCs w:val="22"/>
              </w:rPr>
            </w:pPr>
            <w:r>
              <w:rPr>
                <w:rFonts w:ascii="Arial" w:hAnsi="Arial" w:cs="Arial"/>
                <w:sz w:val="22"/>
                <w:szCs w:val="22"/>
              </w:rPr>
              <w:t>timeline recommenced.</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ACCC published a Statement of Issues outlining preliminary competition</w:t>
            </w:r>
            <w:r w:rsidR="00435A2A">
              <w:rPr>
                <w:rFonts w:ascii="Arial" w:hAnsi="Arial" w:cs="Arial"/>
                <w:sz w:val="22"/>
                <w:szCs w:val="22"/>
              </w:rPr>
              <w:t xml:space="preserve"> </w:t>
            </w:r>
            <w:r>
              <w:rPr>
                <w:rFonts w:ascii="Arial" w:hAnsi="Arial" w:cs="Arial"/>
                <w:sz w:val="22"/>
                <w:szCs w:val="22"/>
              </w:rPr>
              <w:t>concerns.</w:t>
            </w:r>
          </w:p>
          <w:p w:rsidR="009022B2" w:rsidRDefault="009022B2" w:rsidP="006148DE">
            <w:pPr>
              <w:keepNext/>
              <w:rPr>
                <w:rFonts w:ascii="Arial" w:hAnsi="Arial" w:cs="Arial"/>
                <w:sz w:val="22"/>
                <w:szCs w:val="22"/>
              </w:rPr>
            </w:pP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Closing date for submissions relating to Statement of Issues.</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Former proposed decision date of 15 March 2013 delayed to allow</w:t>
            </w:r>
          </w:p>
          <w:p w:rsidR="002F2E4B" w:rsidRDefault="002F2E4B" w:rsidP="006148DE">
            <w:pPr>
              <w:keepNext/>
              <w:rPr>
                <w:rFonts w:ascii="Arial" w:hAnsi="Arial" w:cs="Arial"/>
                <w:sz w:val="22"/>
                <w:szCs w:val="22"/>
              </w:rPr>
            </w:pPr>
            <w:r>
              <w:rPr>
                <w:rFonts w:ascii="Arial" w:hAnsi="Arial" w:cs="Arial"/>
                <w:sz w:val="22"/>
                <w:szCs w:val="22"/>
              </w:rPr>
              <w:t>provision of information requested from Gallagher.</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ACCC received further information from Gallagher. ACCC timeline</w:t>
            </w:r>
          </w:p>
          <w:p w:rsidR="002F2E4B" w:rsidRDefault="002F2E4B" w:rsidP="006148DE">
            <w:pPr>
              <w:keepNext/>
              <w:rPr>
                <w:rFonts w:ascii="Arial" w:hAnsi="Arial" w:cs="Arial"/>
                <w:sz w:val="22"/>
                <w:szCs w:val="22"/>
              </w:rPr>
            </w:pPr>
            <w:r>
              <w:rPr>
                <w:rFonts w:ascii="Arial" w:hAnsi="Arial" w:cs="Arial"/>
                <w:sz w:val="22"/>
                <w:szCs w:val="22"/>
              </w:rPr>
              <w:t>recommenced.</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Former proposed decision date of 21 March 2013 delayed to allow</w:t>
            </w:r>
          </w:p>
          <w:p w:rsidR="002F2E4B" w:rsidRDefault="002F2E4B" w:rsidP="006148DE">
            <w:pPr>
              <w:keepNext/>
              <w:rPr>
                <w:rFonts w:ascii="Arial" w:hAnsi="Arial" w:cs="Arial"/>
                <w:sz w:val="22"/>
                <w:szCs w:val="22"/>
              </w:rPr>
            </w:pPr>
            <w:r>
              <w:rPr>
                <w:rFonts w:ascii="Arial" w:hAnsi="Arial" w:cs="Arial"/>
                <w:sz w:val="22"/>
                <w:szCs w:val="22"/>
              </w:rPr>
              <w:t>Gallagher to make further submissions.</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Timeline suspended at Gallagher's request to allow it to make</w:t>
            </w:r>
          </w:p>
          <w:p w:rsidR="002F2E4B" w:rsidRDefault="002F2E4B" w:rsidP="006148DE">
            <w:pPr>
              <w:keepNext/>
              <w:rPr>
                <w:rFonts w:ascii="Arial" w:hAnsi="Arial" w:cs="Arial"/>
                <w:sz w:val="22"/>
                <w:szCs w:val="22"/>
              </w:rPr>
            </w:pPr>
            <w:r>
              <w:rPr>
                <w:rFonts w:ascii="Arial" w:hAnsi="Arial" w:cs="Arial"/>
                <w:sz w:val="22"/>
                <w:szCs w:val="22"/>
              </w:rPr>
              <w:t>further submissions.</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ACCC received further information from Gallagher.</w:t>
            </w:r>
          </w:p>
          <w:p w:rsidR="002F2E4B" w:rsidRDefault="002F2E4B" w:rsidP="006148DE">
            <w:pPr>
              <w:keepNext/>
              <w:rPr>
                <w:rFonts w:ascii="Arial" w:hAnsi="Arial" w:cs="Arial"/>
                <w:sz w:val="22"/>
                <w:szCs w:val="22"/>
              </w:rPr>
            </w:pPr>
          </w:p>
          <w:p w:rsidR="002F2E4B" w:rsidRDefault="002F2E4B" w:rsidP="006148DE">
            <w:pPr>
              <w:keepNext/>
              <w:rPr>
                <w:rFonts w:ascii="Arial" w:hAnsi="Arial" w:cs="Arial"/>
                <w:sz w:val="22"/>
                <w:szCs w:val="22"/>
              </w:rPr>
            </w:pPr>
            <w:r>
              <w:rPr>
                <w:rFonts w:ascii="Arial" w:hAnsi="Arial" w:cs="Arial"/>
                <w:sz w:val="22"/>
                <w:szCs w:val="22"/>
              </w:rPr>
              <w:t>ACCC announced it would not oppose the proposed acquisition,</w:t>
            </w:r>
          </w:p>
          <w:p w:rsidR="00AF1C87" w:rsidRDefault="002F2E4B" w:rsidP="006148DE">
            <w:pPr>
              <w:keepNext/>
              <w:rPr>
                <w:rFonts w:ascii="Arial" w:hAnsi="Arial" w:cs="Arial"/>
                <w:sz w:val="22"/>
                <w:szCs w:val="22"/>
              </w:rPr>
            </w:pPr>
            <w:r>
              <w:rPr>
                <w:rFonts w:ascii="Arial" w:hAnsi="Arial" w:cs="Arial"/>
                <w:sz w:val="22"/>
                <w:szCs w:val="22"/>
              </w:rPr>
              <w:t>subject to a section 87B undertaking accepted by ACCC.</w:t>
            </w:r>
          </w:p>
          <w:p w:rsidR="00FB37A2" w:rsidRPr="00F80A7E" w:rsidRDefault="00FB37A2" w:rsidP="006148DE">
            <w:pPr>
              <w:keepNext/>
              <w:rPr>
                <w:rFonts w:ascii="Arial" w:hAnsi="Arial" w:cs="Arial"/>
                <w:sz w:val="22"/>
                <w:szCs w:val="22"/>
              </w:rPr>
            </w:pPr>
          </w:p>
        </w:tc>
      </w:tr>
    </w:tbl>
    <w:p w:rsidR="00AF1C87" w:rsidRDefault="00AF1C87" w:rsidP="006A7FE8">
      <w:pPr>
        <w:pStyle w:val="Heading3"/>
      </w:pPr>
      <w:r>
        <w:t xml:space="preserve">Market </w:t>
      </w:r>
      <w:r w:rsidRPr="00F80A7E">
        <w:t>inquiries</w:t>
      </w:r>
    </w:p>
    <w:p w:rsidR="005C412C" w:rsidRDefault="005C412C" w:rsidP="005C412C">
      <w:pPr>
        <w:pStyle w:val="NormalParagraph"/>
      </w:pPr>
      <w:r>
        <w:t xml:space="preserve">The ACCC </w:t>
      </w:r>
      <w:r w:rsidRPr="00CB6FAC">
        <w:t xml:space="preserve">conducted </w:t>
      </w:r>
      <w:r>
        <w:t xml:space="preserve">extensive </w:t>
      </w:r>
      <w:r w:rsidRPr="00CB6FAC">
        <w:t>market inquiries in relation to the proposed acquisition with a range of industry participants, including competitors, potential competitors, customers</w:t>
      </w:r>
      <w:r>
        <w:t xml:space="preserve"> (the major rural reseller chains, rural buying groups</w:t>
      </w:r>
      <w:r w:rsidR="00BC5837">
        <w:t>, independent rural resellers and online</w:t>
      </w:r>
      <w:r>
        <w:t xml:space="preserve"> retailers</w:t>
      </w:r>
      <w:r w:rsidRPr="00CB6FAC">
        <w:t xml:space="preserve">), </w:t>
      </w:r>
      <w:r w:rsidR="00BC5837">
        <w:t xml:space="preserve">agricultural </w:t>
      </w:r>
      <w:r w:rsidRPr="00CB6FAC">
        <w:t>industry bodies and other interested parties.</w:t>
      </w:r>
      <w:r>
        <w:t xml:space="preserve"> </w:t>
      </w:r>
    </w:p>
    <w:p w:rsidR="00AF1C87" w:rsidRDefault="00AF1C87" w:rsidP="006A7FE8">
      <w:pPr>
        <w:pStyle w:val="Heading3"/>
      </w:pPr>
      <w:r w:rsidRPr="00A53505">
        <w:t>Statement</w:t>
      </w:r>
      <w:r>
        <w:t xml:space="preserve"> of Issues</w:t>
      </w:r>
    </w:p>
    <w:p w:rsidR="003329FE" w:rsidRDefault="00AF1C87" w:rsidP="00A53505">
      <w:pPr>
        <w:pStyle w:val="NormalParagraph"/>
      </w:pPr>
      <w:r>
        <w:t xml:space="preserve">The ACCC published its Statement of </w:t>
      </w:r>
      <w:r>
        <w:rPr>
          <w:szCs w:val="24"/>
        </w:rPr>
        <w:t xml:space="preserve">Issues on </w:t>
      </w:r>
      <w:r w:rsidR="00515C22">
        <w:rPr>
          <w:szCs w:val="24"/>
        </w:rPr>
        <w:t>31</w:t>
      </w:r>
      <w:r w:rsidR="009022B2">
        <w:rPr>
          <w:szCs w:val="24"/>
        </w:rPr>
        <w:t xml:space="preserve"> </w:t>
      </w:r>
      <w:r w:rsidR="00515C22">
        <w:rPr>
          <w:szCs w:val="24"/>
        </w:rPr>
        <w:t>January</w:t>
      </w:r>
      <w:r w:rsidR="009022B2">
        <w:rPr>
          <w:szCs w:val="24"/>
        </w:rPr>
        <w:t xml:space="preserve"> 2013</w:t>
      </w:r>
      <w:r>
        <w:t xml:space="preserve"> identifying a number of competition issues</w:t>
      </w:r>
      <w:r w:rsidR="003D4450">
        <w:t>.</w:t>
      </w:r>
      <w:r w:rsidR="00C07009">
        <w:t xml:space="preserve"> </w:t>
      </w:r>
      <w:r w:rsidR="003D4450">
        <w:t xml:space="preserve">The ACCC stated its preliminary view that the proposed acquisition would be likely to </w:t>
      </w:r>
      <w:r w:rsidR="00515C22">
        <w:t xml:space="preserve">raise competition concerns in the </w:t>
      </w:r>
      <w:r w:rsidR="003D4450">
        <w:t xml:space="preserve">supply of </w:t>
      </w:r>
      <w:r w:rsidR="003D4450">
        <w:lastRenderedPageBreak/>
        <w:t>energisers in Australia, and that the proposed acquisition may raise competition concerns in the supply of animal weigh systems in Australia.</w:t>
      </w:r>
      <w:r w:rsidR="00C07009">
        <w:t xml:space="preserve"> </w:t>
      </w:r>
      <w:r>
        <w:t xml:space="preserve"> </w:t>
      </w:r>
    </w:p>
    <w:p w:rsidR="00471D52" w:rsidRDefault="003D4450" w:rsidP="003D4450">
      <w:pPr>
        <w:pStyle w:val="NormalParagraph"/>
      </w:pPr>
      <w:r>
        <w:t xml:space="preserve">In the Statement of Issues, the ACCC expressed </w:t>
      </w:r>
      <w:r w:rsidR="00471D52">
        <w:t xml:space="preserve">preliminary </w:t>
      </w:r>
      <w:r>
        <w:t>concerns</w:t>
      </w:r>
      <w:r w:rsidR="00471D52">
        <w:t xml:space="preserve"> that the proposed acquisition would be likely to give rise to one or both of the following </w:t>
      </w:r>
      <w:r w:rsidR="007C1793">
        <w:t>theories</w:t>
      </w:r>
      <w:r w:rsidR="00471D52">
        <w:t xml:space="preserve"> of harm to competition</w:t>
      </w:r>
      <w:r w:rsidR="008A667F">
        <w:t xml:space="preserve">, particularly relating to the supply of energisers. </w:t>
      </w:r>
    </w:p>
    <w:p w:rsidR="00471D52" w:rsidRDefault="00471D52" w:rsidP="00471D52">
      <w:pPr>
        <w:pStyle w:val="NormalParagraph"/>
        <w:numPr>
          <w:ilvl w:val="1"/>
          <w:numId w:val="1"/>
        </w:numPr>
      </w:pPr>
      <w:r w:rsidRPr="00471D52">
        <w:rPr>
          <w:i/>
        </w:rPr>
        <w:t>Unilateral effects</w:t>
      </w:r>
      <w:r>
        <w:t xml:space="preserve"> –</w:t>
      </w:r>
      <w:r w:rsidR="00CC142D">
        <w:t xml:space="preserve"> </w:t>
      </w:r>
      <w:r w:rsidR="001E2994">
        <w:t xml:space="preserve">post-acquisition </w:t>
      </w:r>
      <w:r>
        <w:t xml:space="preserve">the merged firm would have an increased ability and incentive to unilaterally raise prices and reduce the </w:t>
      </w:r>
      <w:r w:rsidR="00CC142D">
        <w:t>quality of its service offering.</w:t>
      </w:r>
      <w:r w:rsidR="00C07009">
        <w:t xml:space="preserve"> </w:t>
      </w:r>
      <w:r w:rsidR="00342BDE">
        <w:t xml:space="preserve">Gallagher could </w:t>
      </w:r>
      <w:r w:rsidR="001E2994">
        <w:t>internalis</w:t>
      </w:r>
      <w:r w:rsidR="00342BDE">
        <w:t xml:space="preserve">e </w:t>
      </w:r>
      <w:r w:rsidR="001E2994">
        <w:t xml:space="preserve">substitution between </w:t>
      </w:r>
      <w:r w:rsidR="00342BDE">
        <w:t xml:space="preserve">its products and </w:t>
      </w:r>
      <w:r w:rsidR="00DC2689">
        <w:t>Thunderbird’s products</w:t>
      </w:r>
      <w:r w:rsidR="001E2994">
        <w:t xml:space="preserve">, </w:t>
      </w:r>
      <w:r w:rsidR="00DC2689">
        <w:t xml:space="preserve">and </w:t>
      </w:r>
      <w:r w:rsidR="00CC142D">
        <w:t xml:space="preserve">through its shareholding </w:t>
      </w:r>
      <w:r w:rsidR="00B631F4">
        <w:t xml:space="preserve">in </w:t>
      </w:r>
      <w:r w:rsidR="00CC142D">
        <w:t xml:space="preserve">Tru-Test, receive a </w:t>
      </w:r>
      <w:r w:rsidR="00015982">
        <w:t xml:space="preserve">share </w:t>
      </w:r>
      <w:r w:rsidR="00CC142D">
        <w:t>of profit</w:t>
      </w:r>
      <w:r w:rsidR="0092382F">
        <w:t>s</w:t>
      </w:r>
      <w:r w:rsidR="00CC142D">
        <w:t xml:space="preserve"> </w:t>
      </w:r>
      <w:r w:rsidR="00DC2689">
        <w:t xml:space="preserve">from sales </w:t>
      </w:r>
      <w:r w:rsidR="00214489">
        <w:t xml:space="preserve">won </w:t>
      </w:r>
      <w:r w:rsidR="006068A5">
        <w:t xml:space="preserve">by Tru-Test </w:t>
      </w:r>
      <w:r w:rsidR="00015982">
        <w:t xml:space="preserve">from </w:t>
      </w:r>
      <w:r w:rsidR="001E2994">
        <w:t xml:space="preserve">the merged </w:t>
      </w:r>
      <w:r w:rsidR="00CC142D">
        <w:t>Gallagher</w:t>
      </w:r>
      <w:r w:rsidR="001E2994">
        <w:t>-Thunderbird</w:t>
      </w:r>
      <w:r w:rsidR="00CC142D">
        <w:t xml:space="preserve">. </w:t>
      </w:r>
    </w:p>
    <w:p w:rsidR="003D4450" w:rsidRDefault="00471D52" w:rsidP="00471D52">
      <w:pPr>
        <w:pStyle w:val="NormalParagraph"/>
        <w:numPr>
          <w:ilvl w:val="1"/>
          <w:numId w:val="1"/>
        </w:numPr>
      </w:pPr>
      <w:r w:rsidRPr="00471D52">
        <w:rPr>
          <w:i/>
        </w:rPr>
        <w:t>Coordinated effects</w:t>
      </w:r>
      <w:r>
        <w:t xml:space="preserve"> - </w:t>
      </w:r>
      <w:r w:rsidR="003D4450">
        <w:t xml:space="preserve">post-acquisition, the highly concentrated market structure, together with the common ownership between Gallagher and Tru-Test, would increase the likelihood of coordination between Gallagher and Tru-Test with respect to their product, price and service offerings. In particular, the ACCC was concerned that the likely effect of the proposed acquisition would be an increase in prices for </w:t>
      </w:r>
      <w:r w:rsidR="006644F3">
        <w:t xml:space="preserve">the </w:t>
      </w:r>
      <w:r w:rsidR="003D4450">
        <w:t>various products supplied by Gallagher and Tru-Test.</w:t>
      </w:r>
      <w:r w:rsidR="00C07009">
        <w:t xml:space="preserve"> </w:t>
      </w:r>
    </w:p>
    <w:p w:rsidR="000E4355" w:rsidRDefault="003D4450" w:rsidP="000E4355">
      <w:pPr>
        <w:pStyle w:val="NormalParagraph"/>
      </w:pPr>
      <w:r w:rsidRPr="00DE7F3C">
        <w:t>The Statement of Issues is available on the ACCC website (</w:t>
      </w:r>
      <w:hyperlink r:id="rId9" w:history="1">
        <w:r w:rsidRPr="00DE7F3C">
          <w:rPr>
            <w:rStyle w:val="Hyperlink"/>
            <w:rFonts w:cs="Arial"/>
          </w:rPr>
          <w:t>www.accc.gov.au</w:t>
        </w:r>
      </w:hyperlink>
      <w:r w:rsidRPr="00DE7F3C">
        <w:t>) at the mergers register.</w:t>
      </w:r>
    </w:p>
    <w:p w:rsidR="00AF1C87" w:rsidRDefault="00D54358" w:rsidP="006A7FE8">
      <w:pPr>
        <w:pStyle w:val="Heading3"/>
      </w:pPr>
      <w:r>
        <w:t>Future w</w:t>
      </w:r>
      <w:r w:rsidR="00AF1C87">
        <w:t>ith</w:t>
      </w:r>
      <w:r>
        <w:t xml:space="preserve"> and </w:t>
      </w:r>
      <w:r w:rsidR="00AF1C87">
        <w:t xml:space="preserve">without </w:t>
      </w:r>
      <w:r>
        <w:t>the proposed acquisition</w:t>
      </w:r>
    </w:p>
    <w:p w:rsidR="006A7FE8" w:rsidRDefault="006A7FE8" w:rsidP="006A7FE8">
      <w:pPr>
        <w:pStyle w:val="NormalParagraph"/>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w:t>
      </w:r>
      <w:r w:rsidR="00D444C9">
        <w:t>,</w:t>
      </w:r>
      <w:r>
        <w:t xml:space="preserve"> to the likely future competitive environment if the acquisition does not proceed (the “without” position)</w:t>
      </w:r>
      <w:r w:rsidR="00F05548">
        <w:t>,</w:t>
      </w:r>
      <w:r>
        <w:t xml:space="preserve"> to determine whether the proposed acquisition is likely to substantially lessen competition in any relevant market.</w:t>
      </w:r>
    </w:p>
    <w:p w:rsidR="00302026" w:rsidRDefault="00302026" w:rsidP="00D32F29">
      <w:pPr>
        <w:pStyle w:val="NormalParagraph"/>
      </w:pPr>
      <w:r w:rsidRPr="003B315F">
        <w:t xml:space="preserve">In the absence of the proposed acquisition, the ACCC considered </w:t>
      </w:r>
      <w:r>
        <w:t xml:space="preserve">that the likely future competitive environment would be </w:t>
      </w:r>
      <w:r w:rsidRPr="003B315F">
        <w:t xml:space="preserve">the status quo, that is, </w:t>
      </w:r>
      <w:r w:rsidR="00D32F29">
        <w:t>Thunderbird</w:t>
      </w:r>
      <w:r>
        <w:t xml:space="preserve"> would continue to operate as an independent</w:t>
      </w:r>
      <w:r w:rsidR="00721873">
        <w:t xml:space="preserve"> </w:t>
      </w:r>
      <w:r>
        <w:t xml:space="preserve">competitor </w:t>
      </w:r>
      <w:r w:rsidR="00721873">
        <w:t xml:space="preserve">in </w:t>
      </w:r>
      <w:r>
        <w:t>the</w:t>
      </w:r>
      <w:r w:rsidR="00D32F29">
        <w:t xml:space="preserve"> </w:t>
      </w:r>
      <w:r w:rsidR="006644F3">
        <w:t xml:space="preserve">wholesale </w:t>
      </w:r>
      <w:r w:rsidR="00D32F29">
        <w:t>supply of energisers and animal weigh scales</w:t>
      </w:r>
      <w:r w:rsidR="006644F3">
        <w:t xml:space="preserve"> in Australia</w:t>
      </w:r>
      <w:r w:rsidR="00D32F29">
        <w:t xml:space="preserve">. </w:t>
      </w:r>
    </w:p>
    <w:p w:rsidR="00AF1C87" w:rsidRDefault="00E230CA" w:rsidP="006A7FE8">
      <w:pPr>
        <w:pStyle w:val="Heading3"/>
      </w:pPr>
      <w:r>
        <w:t>Market definition</w:t>
      </w:r>
    </w:p>
    <w:p w:rsidR="00354D61" w:rsidRDefault="00354D61" w:rsidP="00354D61">
      <w:pPr>
        <w:pStyle w:val="NormalParagraph"/>
        <w:keepNext/>
        <w:rPr>
          <w:rFonts w:cs="Arial"/>
        </w:rPr>
      </w:pPr>
      <w:r w:rsidRPr="006B5BD1">
        <w:rPr>
          <w:rFonts w:cs="Arial"/>
        </w:rPr>
        <w:t xml:space="preserve">The </w:t>
      </w:r>
      <w:r w:rsidRPr="00BC67F5">
        <w:t>ACCC</w:t>
      </w:r>
      <w:r w:rsidRPr="006B5BD1">
        <w:rPr>
          <w:rFonts w:cs="Arial"/>
        </w:rPr>
        <w:t xml:space="preserve"> considered that the following two markets were most relevant to the assessment of the competitive impact of the proposed acquisition:</w:t>
      </w:r>
    </w:p>
    <w:p w:rsidR="00354D61" w:rsidRDefault="00354D61" w:rsidP="000B538F">
      <w:pPr>
        <w:pStyle w:val="ListParagraph"/>
        <w:ind w:firstLine="66"/>
      </w:pPr>
      <w:r w:rsidRPr="00BC67F5">
        <w:t xml:space="preserve">the national </w:t>
      </w:r>
      <w:r w:rsidRPr="002B6195">
        <w:t>market</w:t>
      </w:r>
      <w:r w:rsidRPr="00BC67F5">
        <w:t xml:space="preserve"> for t</w:t>
      </w:r>
      <w:r>
        <w:t>he wholesale supply of energisers</w:t>
      </w:r>
      <w:r w:rsidRPr="00BC67F5">
        <w:t>; and</w:t>
      </w:r>
    </w:p>
    <w:p w:rsidR="00354D61" w:rsidRPr="00BC67F5" w:rsidRDefault="00354D61" w:rsidP="000B538F">
      <w:pPr>
        <w:pStyle w:val="ListParagraph"/>
        <w:ind w:firstLine="66"/>
      </w:pPr>
      <w:r w:rsidRPr="00BC67F5">
        <w:t xml:space="preserve">the national market </w:t>
      </w:r>
      <w:r>
        <w:t>for the wholesale supply of animal weigh scales</w:t>
      </w:r>
      <w:r w:rsidRPr="00BC67F5">
        <w:t xml:space="preserve">. </w:t>
      </w:r>
    </w:p>
    <w:p w:rsidR="00742F7A" w:rsidRDefault="00742F7A" w:rsidP="006068A5">
      <w:pPr>
        <w:pStyle w:val="Style1"/>
        <w:keepNext/>
      </w:pPr>
      <w:r w:rsidRPr="00742F7A">
        <w:lastRenderedPageBreak/>
        <w:t>Product dimension</w:t>
      </w:r>
    </w:p>
    <w:p w:rsidR="00354D61" w:rsidRPr="00354D61" w:rsidRDefault="00354D61" w:rsidP="000B538F">
      <w:pPr>
        <w:pStyle w:val="Heading4"/>
      </w:pPr>
      <w:r w:rsidRPr="00354D61">
        <w:t>Energisers</w:t>
      </w:r>
    </w:p>
    <w:p w:rsidR="00742F7A" w:rsidRDefault="00B42849" w:rsidP="00742F7A">
      <w:pPr>
        <w:pStyle w:val="NormalParagraph"/>
      </w:pPr>
      <w:r>
        <w:t>Electric fences are typically used on rural properties in order to</w:t>
      </w:r>
      <w:r w:rsidR="00A648F9">
        <w:t xml:space="preserve"> contain and manage livestock.</w:t>
      </w:r>
      <w:r w:rsidR="00C07009">
        <w:t xml:space="preserve"> </w:t>
      </w:r>
      <w:r w:rsidR="00A648F9">
        <w:t>The two main types of fencing on farms are electric fencing and conventional permanent wire fencing (</w:t>
      </w:r>
      <w:r w:rsidR="00A648F9" w:rsidRPr="00A648F9">
        <w:rPr>
          <w:b/>
        </w:rPr>
        <w:t>conventional fencing</w:t>
      </w:r>
      <w:r w:rsidR="00A648F9">
        <w:t>)</w:t>
      </w:r>
      <w:r w:rsidR="00AA797E">
        <w:t>,</w:t>
      </w:r>
      <w:r w:rsidR="00A648F9">
        <w:t xml:space="preserve"> or </w:t>
      </w:r>
      <w:r w:rsidR="00D54358">
        <w:t xml:space="preserve">a </w:t>
      </w:r>
      <w:r w:rsidR="00A648F9">
        <w:t>combination of both.</w:t>
      </w:r>
      <w:r w:rsidR="00C07009">
        <w:t xml:space="preserve"> </w:t>
      </w:r>
      <w:r w:rsidR="00A648F9">
        <w:t xml:space="preserve"> </w:t>
      </w:r>
    </w:p>
    <w:p w:rsidR="00D54358" w:rsidRDefault="00D54358" w:rsidP="00A53505">
      <w:pPr>
        <w:pStyle w:val="NormalParagraph"/>
      </w:pPr>
      <w:r>
        <w:t>The ACCC considered that there was unlikely to be a sufficient level of substitutability between conventional fencing and electric fencing to constitute a single market for the purposes of this merger review. In reaching this view, the ACCC took into account the following information from market inquiries:</w:t>
      </w:r>
    </w:p>
    <w:p w:rsidR="00D54358" w:rsidRDefault="00D54358" w:rsidP="000B538F">
      <w:pPr>
        <w:pStyle w:val="ListParagraph"/>
        <w:tabs>
          <w:tab w:val="clear" w:pos="360"/>
          <w:tab w:val="num" w:pos="709"/>
        </w:tabs>
        <w:ind w:left="709" w:hanging="283"/>
      </w:pPr>
      <w:r>
        <w:t xml:space="preserve">While </w:t>
      </w:r>
      <w:r w:rsidR="005F1CD3">
        <w:t>conventional fencing</w:t>
      </w:r>
      <w:r w:rsidR="00A648F9">
        <w:t xml:space="preserve"> requires less maintenance </w:t>
      </w:r>
      <w:r>
        <w:t xml:space="preserve">and lower ongoing costs </w:t>
      </w:r>
      <w:r w:rsidR="00A648F9">
        <w:t>than electric fencing</w:t>
      </w:r>
      <w:r>
        <w:t>, setting up conventional fencing costs significantly more than electric fencing because it requires more wire and posts to make fences durable.</w:t>
      </w:r>
      <w:r w:rsidR="00A648F9">
        <w:t xml:space="preserve"> </w:t>
      </w:r>
    </w:p>
    <w:p w:rsidR="00AF1C87" w:rsidRDefault="00D54358" w:rsidP="000B538F">
      <w:pPr>
        <w:pStyle w:val="ListParagraph"/>
        <w:tabs>
          <w:tab w:val="clear" w:pos="360"/>
          <w:tab w:val="num" w:pos="709"/>
        </w:tabs>
        <w:ind w:left="709" w:hanging="283"/>
      </w:pPr>
      <w:r>
        <w:t>I</w:t>
      </w:r>
      <w:r w:rsidR="00A648F9">
        <w:t>n contrast to conventional fencing, electric fencing is easier and quicker to construct and more</w:t>
      </w:r>
      <w:r w:rsidR="00015982">
        <w:t xml:space="preserve"> versatile in use and </w:t>
      </w:r>
      <w:r w:rsidR="00A648F9">
        <w:t xml:space="preserve">effective for containing most </w:t>
      </w:r>
      <w:r w:rsidR="00EF595A">
        <w:t xml:space="preserve">types of farm </w:t>
      </w:r>
      <w:r w:rsidR="00A648F9">
        <w:t>animals.</w:t>
      </w:r>
      <w:r w:rsidR="00C07009">
        <w:t xml:space="preserve"> </w:t>
      </w:r>
      <w:r w:rsidR="00A648F9">
        <w:t xml:space="preserve">For instance, an electric fence can be moved around a farm according to a farmer’s preferences for containing animals, such as to </w:t>
      </w:r>
      <w:r w:rsidR="00075E11">
        <w:t xml:space="preserve">have them </w:t>
      </w:r>
      <w:r w:rsidR="00A648F9">
        <w:t xml:space="preserve">graze in a particular paddock at a given time. </w:t>
      </w:r>
    </w:p>
    <w:p w:rsidR="00D54358" w:rsidRDefault="00D54358" w:rsidP="004912EA">
      <w:pPr>
        <w:pStyle w:val="NormalParagraph"/>
      </w:pPr>
      <w:r>
        <w:t xml:space="preserve">Market inquiries also revealed </w:t>
      </w:r>
      <w:r w:rsidR="00291672">
        <w:t xml:space="preserve">a degree of product differentiation </w:t>
      </w:r>
      <w:r w:rsidR="00291672" w:rsidRPr="004E4B41">
        <w:t xml:space="preserve">between the </w:t>
      </w:r>
      <w:r w:rsidR="00291672">
        <w:t xml:space="preserve">energisers supplied by the </w:t>
      </w:r>
      <w:r w:rsidR="00934D82">
        <w:t xml:space="preserve">merger </w:t>
      </w:r>
      <w:r w:rsidR="00291672">
        <w:t>parties</w:t>
      </w:r>
      <w:r>
        <w:t xml:space="preserve"> and their competitors</w:t>
      </w:r>
      <w:r w:rsidR="00291672">
        <w:t>.</w:t>
      </w:r>
      <w:r w:rsidR="00C07009">
        <w:t xml:space="preserve"> </w:t>
      </w:r>
      <w:r w:rsidR="00291672">
        <w:t xml:space="preserve">Market participants informed the ACCC that the energiser market is segmented into two groups – the </w:t>
      </w:r>
      <w:r w:rsidR="00291672" w:rsidRPr="00D54358">
        <w:rPr>
          <w:i/>
        </w:rPr>
        <w:t>premium</w:t>
      </w:r>
      <w:r w:rsidR="00291672">
        <w:t xml:space="preserve"> brands are Gallagher</w:t>
      </w:r>
      <w:r w:rsidR="00962798">
        <w:t>,</w:t>
      </w:r>
      <w:r w:rsidR="00291672">
        <w:t xml:space="preserve"> and </w:t>
      </w:r>
      <w:r w:rsidR="00962798">
        <w:t xml:space="preserve">Tru-Test’s </w:t>
      </w:r>
      <w:r w:rsidR="00E230CA">
        <w:t>Stafix, Speedrite and PEL brands</w:t>
      </w:r>
      <w:r w:rsidR="00962798">
        <w:t>. T</w:t>
      </w:r>
      <w:r w:rsidR="00291672">
        <w:t xml:space="preserve">he </w:t>
      </w:r>
      <w:r w:rsidR="00291672" w:rsidRPr="00D54358">
        <w:rPr>
          <w:i/>
        </w:rPr>
        <w:t xml:space="preserve">budget </w:t>
      </w:r>
      <w:r w:rsidR="00291672">
        <w:t>brands are Thunderbird, Daken and Pa</w:t>
      </w:r>
      <w:r w:rsidR="00E230CA">
        <w:t>triot.</w:t>
      </w:r>
      <w:r w:rsidR="00C07009">
        <w:t xml:space="preserve"> </w:t>
      </w:r>
      <w:r w:rsidR="00291672">
        <w:t>Patriot is the bu</w:t>
      </w:r>
      <w:r w:rsidR="00E230CA">
        <w:t>dget brand supplied by Tru-Test</w:t>
      </w:r>
      <w:r w:rsidR="00291672">
        <w:t>.</w:t>
      </w:r>
      <w:r w:rsidR="00C07009">
        <w:t xml:space="preserve"> </w:t>
      </w:r>
      <w:r>
        <w:t>Market inquiries indicated that the budget brands are particularly suited to the needs of the growing hobby/lifestyle farm customer segment.</w:t>
      </w:r>
      <w:r w:rsidR="00C07009">
        <w:t xml:space="preserve"> </w:t>
      </w:r>
    </w:p>
    <w:p w:rsidR="004912EA" w:rsidRDefault="00D54358" w:rsidP="004912EA">
      <w:pPr>
        <w:pStyle w:val="NormalParagraph"/>
      </w:pPr>
      <w:r>
        <w:t>T</w:t>
      </w:r>
      <w:r w:rsidR="00821B06">
        <w:t xml:space="preserve">he ACCC </w:t>
      </w:r>
      <w:r w:rsidR="00291672">
        <w:t>considered that</w:t>
      </w:r>
      <w:r w:rsidR="00821B06">
        <w:t xml:space="preserve"> for the vast majority of energiser products</w:t>
      </w:r>
      <w:r w:rsidR="00291672">
        <w:t xml:space="preserve"> the functionality of premium and budget energisers </w:t>
      </w:r>
      <w:r>
        <w:t xml:space="preserve">was </w:t>
      </w:r>
      <w:r w:rsidR="00B631F4">
        <w:t>substantially similar.</w:t>
      </w:r>
      <w:r w:rsidR="00C07009">
        <w:t xml:space="preserve"> </w:t>
      </w:r>
      <w:r w:rsidR="00721873">
        <w:t xml:space="preserve">Information </w:t>
      </w:r>
      <w:r w:rsidR="00821B06">
        <w:t>p</w:t>
      </w:r>
      <w:r w:rsidR="00CF5BEE">
        <w:t xml:space="preserve">rovided to the ACCC </w:t>
      </w:r>
      <w:r w:rsidR="00E16D60">
        <w:t xml:space="preserve">also </w:t>
      </w:r>
      <w:r w:rsidR="00A573F5">
        <w:t xml:space="preserve">indicated </w:t>
      </w:r>
      <w:r w:rsidR="00E16D60">
        <w:t xml:space="preserve">a significant degree of </w:t>
      </w:r>
      <w:r w:rsidR="003B341E">
        <w:t xml:space="preserve">substitution between </w:t>
      </w:r>
      <w:r w:rsidR="003D4450">
        <w:t>the budget and premium brands</w:t>
      </w:r>
      <w:r w:rsidR="003B341E">
        <w:t xml:space="preserve"> by end-users</w:t>
      </w:r>
      <w:r w:rsidR="003D4450">
        <w:t>.</w:t>
      </w:r>
      <w:r w:rsidR="00C07009">
        <w:t xml:space="preserve"> </w:t>
      </w:r>
      <w:r w:rsidR="003D4450">
        <w:t xml:space="preserve">Therefore, the ACCC considered </w:t>
      </w:r>
      <w:r w:rsidR="00291672">
        <w:t>that the supply of energisers comprises a single product market</w:t>
      </w:r>
      <w:r w:rsidR="003D4450">
        <w:t>, which includes premium and budget brands of energisers</w:t>
      </w:r>
      <w:r w:rsidR="00291672">
        <w:t xml:space="preserve">. </w:t>
      </w:r>
    </w:p>
    <w:p w:rsidR="00354D61" w:rsidRPr="00354D61" w:rsidRDefault="00354D61" w:rsidP="000B538F">
      <w:pPr>
        <w:pStyle w:val="Heading4"/>
      </w:pPr>
      <w:r w:rsidRPr="00354D61">
        <w:t>Animal weigh scales</w:t>
      </w:r>
    </w:p>
    <w:p w:rsidR="00D54358" w:rsidRDefault="00354D61" w:rsidP="00934D82">
      <w:pPr>
        <w:pStyle w:val="NormalParagraph"/>
      </w:pPr>
      <w:r>
        <w:t xml:space="preserve">Animal weigh scales are used by farmers, stockyards, abattoirs and other agricultural businesses to measure, record and analyse an animal’s weight. </w:t>
      </w:r>
    </w:p>
    <w:p w:rsidR="00F411D4" w:rsidRPr="00F411D4" w:rsidRDefault="00E35E8A" w:rsidP="00934D82">
      <w:pPr>
        <w:pStyle w:val="NormalParagraph"/>
      </w:pPr>
      <w:r>
        <w:rPr>
          <w:rFonts w:eastAsia="Calibri"/>
          <w:lang w:eastAsia="en-US"/>
        </w:rPr>
        <w:t>While all animal weigh scales perform the same principal function</w:t>
      </w:r>
      <w:r w:rsidR="00934D82">
        <w:rPr>
          <w:rFonts w:eastAsia="Calibri"/>
          <w:lang w:eastAsia="en-US"/>
        </w:rPr>
        <w:t xml:space="preserve"> of weighing animals</w:t>
      </w:r>
      <w:r>
        <w:rPr>
          <w:rFonts w:eastAsia="Calibri"/>
          <w:lang w:eastAsia="en-US"/>
        </w:rPr>
        <w:t xml:space="preserve">, </w:t>
      </w:r>
      <w:r w:rsidR="00F411D4">
        <w:rPr>
          <w:rFonts w:eastAsia="Calibri"/>
          <w:lang w:eastAsia="en-US"/>
        </w:rPr>
        <w:t>the</w:t>
      </w:r>
      <w:r>
        <w:rPr>
          <w:rFonts w:eastAsia="Calibri"/>
          <w:lang w:eastAsia="en-US"/>
        </w:rPr>
        <w:t xml:space="preserve"> </w:t>
      </w:r>
      <w:r w:rsidR="00E60799">
        <w:rPr>
          <w:rFonts w:eastAsia="Calibri"/>
          <w:lang w:eastAsia="en-US"/>
        </w:rPr>
        <w:t>level</w:t>
      </w:r>
      <w:r w:rsidR="00E47F0D">
        <w:rPr>
          <w:rFonts w:eastAsia="Calibri"/>
          <w:lang w:eastAsia="en-US"/>
        </w:rPr>
        <w:t>s</w:t>
      </w:r>
      <w:r w:rsidR="00E60799">
        <w:rPr>
          <w:rFonts w:eastAsia="Calibri"/>
          <w:lang w:eastAsia="en-US"/>
        </w:rPr>
        <w:t xml:space="preserve"> of </w:t>
      </w:r>
      <w:r w:rsidR="00EF595A">
        <w:rPr>
          <w:rFonts w:eastAsia="Calibri"/>
          <w:lang w:eastAsia="en-US"/>
        </w:rPr>
        <w:t xml:space="preserve">ancillary </w:t>
      </w:r>
      <w:r>
        <w:rPr>
          <w:rFonts w:eastAsia="Calibri"/>
          <w:lang w:eastAsia="en-US"/>
        </w:rPr>
        <w:t xml:space="preserve">functionality </w:t>
      </w:r>
      <w:r w:rsidR="00E47F0D">
        <w:rPr>
          <w:rFonts w:eastAsia="Calibri"/>
          <w:lang w:eastAsia="en-US"/>
        </w:rPr>
        <w:t xml:space="preserve">vary significantly </w:t>
      </w:r>
      <w:r>
        <w:rPr>
          <w:rFonts w:eastAsia="Calibri"/>
          <w:lang w:eastAsia="en-US"/>
        </w:rPr>
        <w:t xml:space="preserve">between various </w:t>
      </w:r>
      <w:r w:rsidR="00F411D4">
        <w:rPr>
          <w:rFonts w:eastAsia="Calibri"/>
          <w:lang w:eastAsia="en-US"/>
        </w:rPr>
        <w:t xml:space="preserve">models of weigh scales </w:t>
      </w:r>
      <w:r w:rsidR="00934D82">
        <w:rPr>
          <w:rFonts w:eastAsia="Calibri"/>
          <w:lang w:eastAsia="en-US"/>
        </w:rPr>
        <w:t>in the market</w:t>
      </w:r>
      <w:r w:rsidR="00F411D4">
        <w:rPr>
          <w:rFonts w:eastAsia="Calibri"/>
          <w:lang w:eastAsia="en-US"/>
        </w:rPr>
        <w:t>.</w:t>
      </w:r>
      <w:r w:rsidR="00C07009">
        <w:rPr>
          <w:rFonts w:eastAsia="Calibri"/>
          <w:lang w:eastAsia="en-US"/>
        </w:rPr>
        <w:t xml:space="preserve"> </w:t>
      </w:r>
      <w:r w:rsidR="00E47F0D">
        <w:rPr>
          <w:rFonts w:eastAsia="Calibri"/>
          <w:lang w:eastAsia="en-US"/>
        </w:rPr>
        <w:t>B</w:t>
      </w:r>
      <w:r w:rsidR="00F411D4" w:rsidRPr="00F411D4">
        <w:rPr>
          <w:rFonts w:eastAsia="Calibri"/>
          <w:lang w:eastAsia="en-US"/>
        </w:rPr>
        <w:t>asic</w:t>
      </w:r>
      <w:r w:rsidR="00F411D4">
        <w:rPr>
          <w:rFonts w:eastAsia="Calibri"/>
          <w:lang w:eastAsia="en-US"/>
        </w:rPr>
        <w:t xml:space="preserve"> models have the sole</w:t>
      </w:r>
      <w:r w:rsidR="00F411D4" w:rsidRPr="00F411D4">
        <w:rPr>
          <w:rFonts w:eastAsia="Calibri"/>
          <w:lang w:eastAsia="en-US"/>
        </w:rPr>
        <w:t xml:space="preserve"> functionality of weighing animals</w:t>
      </w:r>
      <w:r w:rsidR="00F411D4">
        <w:rPr>
          <w:rFonts w:eastAsia="Calibri"/>
          <w:lang w:eastAsia="en-US"/>
        </w:rPr>
        <w:t xml:space="preserve">, </w:t>
      </w:r>
      <w:r w:rsidR="00E47F0D">
        <w:rPr>
          <w:rFonts w:eastAsia="Calibri"/>
          <w:lang w:eastAsia="en-US"/>
        </w:rPr>
        <w:t xml:space="preserve">while </w:t>
      </w:r>
      <w:r w:rsidR="00F411D4" w:rsidRPr="00F411D4">
        <w:rPr>
          <w:rFonts w:eastAsia="Calibri"/>
          <w:lang w:eastAsia="en-US"/>
        </w:rPr>
        <w:t>sophisticated animal weighing systems</w:t>
      </w:r>
      <w:r w:rsidR="00F411D4">
        <w:rPr>
          <w:rFonts w:eastAsia="Calibri"/>
          <w:lang w:eastAsia="en-US"/>
        </w:rPr>
        <w:t xml:space="preserve"> which</w:t>
      </w:r>
      <w:r w:rsidR="00F411D4" w:rsidRPr="00F411D4">
        <w:rPr>
          <w:rFonts w:eastAsia="Calibri"/>
          <w:lang w:eastAsia="en-US"/>
        </w:rPr>
        <w:t xml:space="preserve"> have integrated software that </w:t>
      </w:r>
      <w:r w:rsidR="00E47F0D">
        <w:rPr>
          <w:rFonts w:eastAsia="Calibri"/>
          <w:lang w:eastAsia="en-US"/>
        </w:rPr>
        <w:t xml:space="preserve">can </w:t>
      </w:r>
      <w:r w:rsidR="00F411D4" w:rsidRPr="00F411D4">
        <w:rPr>
          <w:rFonts w:eastAsia="Calibri"/>
          <w:lang w:eastAsia="en-US"/>
        </w:rPr>
        <w:t xml:space="preserve">store and analyse a range of statistical data about livestock. </w:t>
      </w:r>
    </w:p>
    <w:p w:rsidR="00952366" w:rsidRPr="00952366" w:rsidRDefault="007D00B2" w:rsidP="00D35988">
      <w:pPr>
        <w:pStyle w:val="NormalParagraph"/>
      </w:pPr>
      <w:r>
        <w:lastRenderedPageBreak/>
        <w:t xml:space="preserve">In the Statement of Issues, the ACCC noted that it considered that industrial and animal weigh scales </w:t>
      </w:r>
      <w:r w:rsidR="00D54358">
        <w:t xml:space="preserve">were </w:t>
      </w:r>
      <w:r>
        <w:t>functionally similar and invited comments from market participants</w:t>
      </w:r>
      <w:r w:rsidR="00A34980">
        <w:t xml:space="preserve"> regarding</w:t>
      </w:r>
      <w:r>
        <w:t xml:space="preserve"> whether industrial weigh scales were substitutable for </w:t>
      </w:r>
      <w:r w:rsidR="00952366">
        <w:t>animal</w:t>
      </w:r>
      <w:r>
        <w:t xml:space="preserve"> weigh scales. Market inquires wit</w:t>
      </w:r>
      <w:r w:rsidR="00F411D4">
        <w:t>h industrial weigh scale manufa</w:t>
      </w:r>
      <w:r>
        <w:t xml:space="preserve">cturers in the period following the Statement of Issues indicated that </w:t>
      </w:r>
      <w:r w:rsidRPr="00C6526D">
        <w:t>industrial weigh scale manufacturers were able to manufacture and supply basic a</w:t>
      </w:r>
      <w:r w:rsidR="00F411D4" w:rsidRPr="00C6526D">
        <w:t xml:space="preserve">nimal weigh scales at a competitive price, however, they </w:t>
      </w:r>
      <w:r w:rsidRPr="00C6526D">
        <w:t xml:space="preserve">were not able to manufacture high-end animal weigh scales that have electronic identification capabilities </w:t>
      </w:r>
      <w:r w:rsidR="00934D82" w:rsidRPr="00C6526D">
        <w:t>(</w:t>
      </w:r>
      <w:r w:rsidRPr="00C6526D">
        <w:t>similar to some of the products of the merger parties</w:t>
      </w:r>
      <w:r w:rsidR="00934D82" w:rsidRPr="00C6526D">
        <w:t>)</w:t>
      </w:r>
      <w:r w:rsidR="00E35E8A" w:rsidRPr="00C6526D">
        <w:t xml:space="preserve"> without significant time, investment</w:t>
      </w:r>
      <w:r w:rsidR="009245FA">
        <w:t>,</w:t>
      </w:r>
      <w:r w:rsidR="00E35E8A" w:rsidRPr="00C6526D">
        <w:t xml:space="preserve"> and</w:t>
      </w:r>
      <w:r w:rsidR="00D35988" w:rsidRPr="00C6526D">
        <w:t xml:space="preserve"> research and development</w:t>
      </w:r>
      <w:r w:rsidR="00E35E8A" w:rsidRPr="00C6526D">
        <w:t>.</w:t>
      </w:r>
      <w:r w:rsidR="00D35988" w:rsidRPr="00C6526D">
        <w:t xml:space="preserve"> </w:t>
      </w:r>
    </w:p>
    <w:p w:rsidR="00241792" w:rsidRPr="00C6526D" w:rsidRDefault="00E35E8A" w:rsidP="00E35E8A">
      <w:pPr>
        <w:pStyle w:val="NormalParagraph"/>
      </w:pPr>
      <w:r>
        <w:t>On the basis of its market inquiries, t</w:t>
      </w:r>
      <w:r w:rsidR="00D35988">
        <w:t>he ACCC</w:t>
      </w:r>
      <w:r w:rsidR="00C6526D">
        <w:t xml:space="preserve"> formed </w:t>
      </w:r>
      <w:r w:rsidR="007C1793">
        <w:t>the</w:t>
      </w:r>
      <w:r w:rsidR="00C6526D">
        <w:t xml:space="preserve"> view</w:t>
      </w:r>
      <w:r w:rsidR="00D35988" w:rsidRPr="00C6526D">
        <w:t xml:space="preserve"> that supply-side substitution from industrial weigh scale manufacturers is only likely for basic animal weigh scales</w:t>
      </w:r>
      <w:r w:rsidRPr="00C6526D">
        <w:t xml:space="preserve">, and therefore considered it appropriate to </w:t>
      </w:r>
      <w:r w:rsidR="00D54358">
        <w:t xml:space="preserve">analyse </w:t>
      </w:r>
      <w:r w:rsidR="00A34DDD">
        <w:t xml:space="preserve">the likely effect of the proposed acquisition </w:t>
      </w:r>
      <w:r w:rsidR="00D54358">
        <w:t xml:space="preserve">in </w:t>
      </w:r>
      <w:r w:rsidRPr="00C6526D">
        <w:t>a market for animal weigh scales</w:t>
      </w:r>
      <w:r w:rsidR="00934D82" w:rsidRPr="00C6526D">
        <w:t xml:space="preserve"> only</w:t>
      </w:r>
      <w:r w:rsidRPr="00C6526D">
        <w:t xml:space="preserve">. </w:t>
      </w:r>
      <w:r w:rsidR="00934D82" w:rsidRPr="00C6526D">
        <w:t>However, in it</w:t>
      </w:r>
      <w:r w:rsidRPr="00C6526D">
        <w:t xml:space="preserve">s </w:t>
      </w:r>
      <w:r w:rsidR="000F7F65" w:rsidRPr="00C6526D">
        <w:t xml:space="preserve">competition analysis, </w:t>
      </w:r>
      <w:r w:rsidRPr="00C6526D">
        <w:t xml:space="preserve">the ACCC took </w:t>
      </w:r>
      <w:r w:rsidR="000F7F65" w:rsidRPr="00C6526D">
        <w:t xml:space="preserve">the constraint </w:t>
      </w:r>
      <w:r w:rsidRPr="00C6526D">
        <w:t xml:space="preserve">on the merged entity </w:t>
      </w:r>
      <w:r w:rsidR="000F7F65" w:rsidRPr="00C6526D">
        <w:t>from industri</w:t>
      </w:r>
      <w:r w:rsidRPr="00C6526D">
        <w:t>al weigh scale manufacturers in relation to</w:t>
      </w:r>
      <w:r w:rsidR="000F7F65" w:rsidRPr="00C6526D">
        <w:t xml:space="preserve"> </w:t>
      </w:r>
      <w:r w:rsidR="00647B63">
        <w:t xml:space="preserve">basic </w:t>
      </w:r>
      <w:r w:rsidR="000F7F65" w:rsidRPr="00C6526D">
        <w:t>animal w</w:t>
      </w:r>
      <w:r w:rsidRPr="00C6526D">
        <w:t>eigh scales</w:t>
      </w:r>
      <w:r w:rsidR="00C51307">
        <w:t xml:space="preserve"> </w:t>
      </w:r>
      <w:r w:rsidR="00C51307" w:rsidRPr="00C6526D">
        <w:t>into consideration</w:t>
      </w:r>
      <w:r w:rsidR="000F7F65" w:rsidRPr="00C6526D">
        <w:t>.</w:t>
      </w:r>
    </w:p>
    <w:p w:rsidR="00742F7A" w:rsidRPr="00742F7A" w:rsidRDefault="00742F7A" w:rsidP="00742F7A">
      <w:pPr>
        <w:pStyle w:val="NormalParagraph"/>
        <w:numPr>
          <w:ilvl w:val="0"/>
          <w:numId w:val="0"/>
        </w:numPr>
        <w:rPr>
          <w:i/>
        </w:rPr>
      </w:pPr>
      <w:r w:rsidRPr="00742F7A">
        <w:rPr>
          <w:i/>
        </w:rPr>
        <w:t>Geographic dimension</w:t>
      </w:r>
    </w:p>
    <w:p w:rsidR="006516A3" w:rsidRDefault="00742F7A" w:rsidP="006516A3">
      <w:pPr>
        <w:pStyle w:val="NormalParagraph"/>
      </w:pPr>
      <w:r>
        <w:t xml:space="preserve">The ACCC considered that the appropriate geographic dimension of </w:t>
      </w:r>
      <w:r w:rsidR="00A34980">
        <w:t xml:space="preserve">both </w:t>
      </w:r>
      <w:r>
        <w:t xml:space="preserve">the market for the </w:t>
      </w:r>
      <w:r w:rsidR="006516A3">
        <w:t xml:space="preserve">wholesale </w:t>
      </w:r>
      <w:r>
        <w:t xml:space="preserve">supply of </w:t>
      </w:r>
      <w:r w:rsidR="00934D82">
        <w:t>energisers and of</w:t>
      </w:r>
      <w:r w:rsidR="00354D61">
        <w:t xml:space="preserve"> the market for the wholesale supply of animal weigh scales </w:t>
      </w:r>
      <w:r w:rsidR="006516A3">
        <w:t>is national</w:t>
      </w:r>
      <w:r w:rsidR="00102CA2">
        <w:t>,</w:t>
      </w:r>
      <w:r w:rsidR="006516A3">
        <w:t xml:space="preserve"> because energisers</w:t>
      </w:r>
      <w:r w:rsidR="00354D61">
        <w:t xml:space="preserve"> and animal weigh scales</w:t>
      </w:r>
      <w:r w:rsidR="006516A3">
        <w:t xml:space="preserve"> are durable products which can be and are efficiently transported </w:t>
      </w:r>
      <w:r w:rsidR="007C1793">
        <w:t>over long distances</w:t>
      </w:r>
      <w:r w:rsidR="006516A3">
        <w:t>.</w:t>
      </w:r>
      <w:r w:rsidR="00C07009">
        <w:t xml:space="preserve"> </w:t>
      </w:r>
      <w:r w:rsidR="006516A3">
        <w:t>During its review, the ACCC found that the energisers</w:t>
      </w:r>
      <w:r w:rsidR="00354D61">
        <w:t xml:space="preserve"> and animal weigh scales</w:t>
      </w:r>
      <w:r w:rsidR="006516A3">
        <w:t xml:space="preserve"> of all suppliers in the market are distributed throughout Australia. In addition, the ACCC understands that the vast majority of energisers</w:t>
      </w:r>
      <w:r w:rsidR="00354D61">
        <w:t xml:space="preserve"> and animal weigh scales</w:t>
      </w:r>
      <w:r w:rsidR="006516A3">
        <w:t xml:space="preserve"> supplied in Australia are manufactured at offshore manufacturing plants in accordance with regulatory requirements such that they can be sold in Australia.</w:t>
      </w:r>
      <w:r w:rsidR="00C07009">
        <w:t xml:space="preserve"> </w:t>
      </w:r>
    </w:p>
    <w:p w:rsidR="00AF1C87" w:rsidRDefault="00AF1C87" w:rsidP="007C1793">
      <w:pPr>
        <w:pStyle w:val="Heading3"/>
      </w:pPr>
      <w:r>
        <w:t>Competition analysis</w:t>
      </w:r>
    </w:p>
    <w:p w:rsidR="00E8238E" w:rsidRDefault="00E8238E" w:rsidP="000B538F">
      <w:pPr>
        <w:pStyle w:val="Heading4"/>
      </w:pPr>
      <w:r w:rsidRPr="00354D61">
        <w:t>Energisers</w:t>
      </w:r>
    </w:p>
    <w:p w:rsidR="00407A7E" w:rsidRDefault="00407A7E" w:rsidP="00E8238E">
      <w:pPr>
        <w:pStyle w:val="NormalParagraph"/>
        <w:numPr>
          <w:ilvl w:val="0"/>
          <w:numId w:val="0"/>
        </w:numPr>
        <w:rPr>
          <w:i/>
        </w:rPr>
      </w:pPr>
      <w:r>
        <w:rPr>
          <w:i/>
        </w:rPr>
        <w:t xml:space="preserve">Wholesale </w:t>
      </w:r>
      <w:r w:rsidR="00995C84">
        <w:rPr>
          <w:i/>
        </w:rPr>
        <w:t>supply of energisers – supply channel</w:t>
      </w:r>
      <w:r>
        <w:rPr>
          <w:i/>
        </w:rPr>
        <w:t xml:space="preserve"> </w:t>
      </w:r>
    </w:p>
    <w:p w:rsidR="006017DF" w:rsidRDefault="00407A7E" w:rsidP="00407A7E">
      <w:pPr>
        <w:pStyle w:val="NormalParagraph"/>
      </w:pPr>
      <w:r>
        <w:t xml:space="preserve">The ACCC’s market inquiries indicated that the rural resellers provide an important avenue for suppliers of energisers to reach a large number of end-users. </w:t>
      </w:r>
    </w:p>
    <w:p w:rsidR="00407A7E" w:rsidRPr="00407A7E" w:rsidRDefault="00407A7E" w:rsidP="00407A7E">
      <w:pPr>
        <w:pStyle w:val="NormalParagraph"/>
      </w:pPr>
      <w:r w:rsidRPr="00407A7E">
        <w:t xml:space="preserve">The </w:t>
      </w:r>
      <w:r w:rsidR="00EF595A">
        <w:t xml:space="preserve">matters taken into account by </w:t>
      </w:r>
      <w:r w:rsidR="00E01998">
        <w:t xml:space="preserve">rural resellers when negotiating the wholesale supply of energisers </w:t>
      </w:r>
      <w:r w:rsidR="00E01998" w:rsidRPr="00407A7E">
        <w:t>were</w:t>
      </w:r>
      <w:r w:rsidRPr="00407A7E">
        <w:t xml:space="preserve"> an important factor in the </w:t>
      </w:r>
      <w:r w:rsidR="001058FB">
        <w:t xml:space="preserve">ACCC’s </w:t>
      </w:r>
      <w:r w:rsidRPr="00407A7E">
        <w:t>competition analysis</w:t>
      </w:r>
      <w:r w:rsidR="001058FB">
        <w:t>,</w:t>
      </w:r>
      <w:r>
        <w:t xml:space="preserve"> </w:t>
      </w:r>
      <w:r w:rsidR="001058FB">
        <w:t xml:space="preserve">as explained </w:t>
      </w:r>
      <w:r w:rsidR="00721873">
        <w:t>below</w:t>
      </w:r>
      <w:r w:rsidRPr="00407A7E">
        <w:t>.</w:t>
      </w:r>
    </w:p>
    <w:p w:rsidR="00BF3008" w:rsidRDefault="00BF3008" w:rsidP="00407A7E">
      <w:pPr>
        <w:pStyle w:val="NormalParagraph"/>
      </w:pPr>
      <w:r>
        <w:t xml:space="preserve">The </w:t>
      </w:r>
      <w:r w:rsidR="00E0497C">
        <w:t xml:space="preserve">wholesale </w:t>
      </w:r>
      <w:r>
        <w:t xml:space="preserve">suppliers of energisers utilise the rural reseller channel in </w:t>
      </w:r>
      <w:r w:rsidR="006017DF">
        <w:t>different</w:t>
      </w:r>
      <w:r>
        <w:t xml:space="preserve"> ways. </w:t>
      </w:r>
      <w:r w:rsidR="006017DF">
        <w:t>S</w:t>
      </w:r>
      <w:r>
        <w:t>ome supply energisers directly to independent rural retail stores</w:t>
      </w:r>
      <w:r w:rsidR="00086143">
        <w:t xml:space="preserve">. Other suppliers </w:t>
      </w:r>
      <w:r>
        <w:t>market</w:t>
      </w:r>
      <w:r w:rsidR="00086143">
        <w:t xml:space="preserve"> </w:t>
      </w:r>
      <w:r>
        <w:t>and distribut</w:t>
      </w:r>
      <w:r w:rsidR="00086143">
        <w:t xml:space="preserve">e their </w:t>
      </w:r>
      <w:r>
        <w:t xml:space="preserve">energisers </w:t>
      </w:r>
      <w:r w:rsidR="006F41C9">
        <w:t xml:space="preserve">more centrally </w:t>
      </w:r>
      <w:r>
        <w:t xml:space="preserve">through the corporate/cooperative entities </w:t>
      </w:r>
      <w:r w:rsidR="00086143">
        <w:t xml:space="preserve">to which </w:t>
      </w:r>
      <w:r w:rsidR="00F266CD">
        <w:t xml:space="preserve">independent </w:t>
      </w:r>
      <w:r w:rsidR="00086143">
        <w:t xml:space="preserve">rural resellers belong, </w:t>
      </w:r>
      <w:r>
        <w:t xml:space="preserve">or </w:t>
      </w:r>
      <w:r w:rsidR="00086143">
        <w:t xml:space="preserve">through </w:t>
      </w:r>
      <w:r>
        <w:t>buying groups</w:t>
      </w:r>
      <w:r w:rsidR="00086143">
        <w:t xml:space="preserve">. Market inquiries indicated that where corporate/cooperative entities </w:t>
      </w:r>
      <w:r w:rsidR="006017DF">
        <w:t xml:space="preserve">or buying groups </w:t>
      </w:r>
      <w:r w:rsidR="00086143">
        <w:t xml:space="preserve">choose to support a given energiser brand, this tends to enhance the energiser supplier’s </w:t>
      </w:r>
      <w:r>
        <w:t>promotional activity and provide</w:t>
      </w:r>
      <w:r w:rsidR="00086143">
        <w:t>s</w:t>
      </w:r>
      <w:r>
        <w:t xml:space="preserve"> for wider distribution of its energisers through </w:t>
      </w:r>
      <w:r w:rsidR="00086143">
        <w:t xml:space="preserve">the reseller’s </w:t>
      </w:r>
      <w:r>
        <w:t>network of stores.</w:t>
      </w:r>
      <w:r w:rsidR="00C07009">
        <w:t xml:space="preserve"> </w:t>
      </w:r>
    </w:p>
    <w:p w:rsidR="00995C84" w:rsidRPr="00BF3008" w:rsidRDefault="00407A7E" w:rsidP="00F266CD">
      <w:pPr>
        <w:pStyle w:val="NormalParagraph"/>
      </w:pPr>
      <w:r w:rsidRPr="00BF3008">
        <w:lastRenderedPageBreak/>
        <w:t xml:space="preserve">As noted above, electric fence energisers are manufactured and supplied in a range of technical specifications. </w:t>
      </w:r>
      <w:r>
        <w:t>Market inquiries indicated that</w:t>
      </w:r>
      <w:r w:rsidR="004A79B7">
        <w:t xml:space="preserve"> </w:t>
      </w:r>
      <w:r w:rsidR="00F266CD">
        <w:t>t</w:t>
      </w:r>
      <w:r w:rsidR="00BF3008">
        <w:t>he rural resellers</w:t>
      </w:r>
      <w:r w:rsidR="00BF3008" w:rsidRPr="00BF3008">
        <w:t xml:space="preserve"> typically seek to stock products supplied by more than one </w:t>
      </w:r>
      <w:r w:rsidR="00F266CD">
        <w:t>supplier</w:t>
      </w:r>
      <w:r w:rsidR="00BF3008" w:rsidRPr="00BF3008">
        <w:t xml:space="preserve"> and negotiate with </w:t>
      </w:r>
      <w:r w:rsidR="009A61D9">
        <w:t>a number of independent suppliers</w:t>
      </w:r>
      <w:r w:rsidR="00BF3008" w:rsidRPr="00BF3008">
        <w:t xml:space="preserve"> to purchase products which allow the resellers to offer a mix of basic and premium energisers. </w:t>
      </w:r>
      <w:r w:rsidR="00995C84" w:rsidRPr="00BF3008">
        <w:t>The resellers and wholesale suppliers negotiate on the basis of product range, wholesale prices and rebates.</w:t>
      </w:r>
      <w:r w:rsidR="00995C84">
        <w:t xml:space="preserve"> </w:t>
      </w:r>
    </w:p>
    <w:p w:rsidR="00BF3008" w:rsidRPr="00995C84" w:rsidRDefault="00995C84" w:rsidP="00F266CD">
      <w:pPr>
        <w:pStyle w:val="NormalParagraph"/>
        <w:keepNext/>
        <w:numPr>
          <w:ilvl w:val="0"/>
          <w:numId w:val="0"/>
        </w:numPr>
        <w:ind w:left="357" w:hanging="357"/>
        <w:rPr>
          <w:i/>
        </w:rPr>
      </w:pPr>
      <w:r w:rsidRPr="00995C84">
        <w:rPr>
          <w:i/>
        </w:rPr>
        <w:t>Competition among existing suppliers</w:t>
      </w:r>
    </w:p>
    <w:p w:rsidR="00E10526" w:rsidRDefault="00995C84" w:rsidP="00E10526">
      <w:pPr>
        <w:pStyle w:val="NormalParagraph"/>
      </w:pPr>
      <w:r>
        <w:t>T</w:t>
      </w:r>
      <w:r w:rsidR="006516A3">
        <w:t xml:space="preserve">he ACCC </w:t>
      </w:r>
      <w:r>
        <w:t xml:space="preserve">found that the proposed acquisition would increase concentration in </w:t>
      </w:r>
      <w:r w:rsidR="006516A3">
        <w:t>the market for the wholesale supply of en</w:t>
      </w:r>
      <w:r w:rsidR="00F128DC">
        <w:t>ergisers</w:t>
      </w:r>
      <w:r>
        <w:t xml:space="preserve">, which was already </w:t>
      </w:r>
      <w:r w:rsidR="00F128DC">
        <w:t>concentrated</w:t>
      </w:r>
      <w:r>
        <w:t>.</w:t>
      </w:r>
      <w:r w:rsidR="004F7CD6">
        <w:rPr>
          <w:rStyle w:val="FootnoteReference"/>
        </w:rPr>
        <w:footnoteReference w:id="2"/>
      </w:r>
      <w:r>
        <w:t xml:space="preserve"> </w:t>
      </w:r>
      <w:r w:rsidR="00F128DC">
        <w:t>Gallagher and Tru-Test</w:t>
      </w:r>
      <w:r>
        <w:t xml:space="preserve"> </w:t>
      </w:r>
      <w:r w:rsidR="004F7CD6">
        <w:t xml:space="preserve">already </w:t>
      </w:r>
      <w:r>
        <w:t xml:space="preserve">held </w:t>
      </w:r>
      <w:r w:rsidR="004F7CD6">
        <w:t xml:space="preserve">the vast majority of market share </w:t>
      </w:r>
      <w:r w:rsidR="0092543C">
        <w:t xml:space="preserve">based </w:t>
      </w:r>
      <w:r w:rsidR="004F7CD6">
        <w:t>on sales</w:t>
      </w:r>
      <w:r w:rsidR="00B20360">
        <w:t xml:space="preserve"> of energisers</w:t>
      </w:r>
      <w:r w:rsidR="004F7CD6">
        <w:t xml:space="preserve">. </w:t>
      </w:r>
      <w:r w:rsidR="00F128DC">
        <w:t xml:space="preserve">Thunderbird </w:t>
      </w:r>
      <w:r w:rsidR="004F7CD6">
        <w:t xml:space="preserve">was </w:t>
      </w:r>
      <w:r w:rsidR="00F128DC">
        <w:t>the next largest competitor in terms of market share</w:t>
      </w:r>
      <w:r w:rsidR="004F7CD6">
        <w:t xml:space="preserve">, followed by smaller suppliers </w:t>
      </w:r>
      <w:r w:rsidR="00B36DAD">
        <w:t>Daken and</w:t>
      </w:r>
      <w:r w:rsidR="009D4DA7">
        <w:t xml:space="preserve"> JVA, </w:t>
      </w:r>
      <w:r w:rsidR="004F7CD6">
        <w:t xml:space="preserve">who, </w:t>
      </w:r>
      <w:r w:rsidR="00CC56C5">
        <w:t xml:space="preserve">at the time of the ACCC’s investigation, </w:t>
      </w:r>
      <w:r w:rsidR="004F7CD6">
        <w:t xml:space="preserve">had a combined share of </w:t>
      </w:r>
      <w:r w:rsidR="009D4DA7">
        <w:t>less than 5 per cent</w:t>
      </w:r>
      <w:r w:rsidR="00B36DAD">
        <w:t xml:space="preserve"> </w:t>
      </w:r>
      <w:r w:rsidR="004F7CD6">
        <w:t>of the market</w:t>
      </w:r>
      <w:r w:rsidR="00B36DAD">
        <w:t xml:space="preserve">. </w:t>
      </w:r>
    </w:p>
    <w:p w:rsidR="0096371D" w:rsidRDefault="00E10526" w:rsidP="0096371D">
      <w:pPr>
        <w:pStyle w:val="NormalParagraph"/>
      </w:pPr>
      <w:r>
        <w:t xml:space="preserve">Gallagher and Tru-Test </w:t>
      </w:r>
      <w:r w:rsidR="004F7CD6">
        <w:t xml:space="preserve">are </w:t>
      </w:r>
      <w:r>
        <w:t>the two most significant suppliers of energisers in Australia.</w:t>
      </w:r>
      <w:r w:rsidR="00C07009">
        <w:t xml:space="preserve"> </w:t>
      </w:r>
      <w:r w:rsidR="00E41C6F">
        <w:t xml:space="preserve">Market participants stated that </w:t>
      </w:r>
      <w:r w:rsidR="0040027E">
        <w:t xml:space="preserve">the </w:t>
      </w:r>
      <w:r>
        <w:t xml:space="preserve">Gallagher and Tru-Test brands </w:t>
      </w:r>
      <w:r w:rsidR="004741F1">
        <w:t xml:space="preserve">are </w:t>
      </w:r>
      <w:r w:rsidR="00294C4C">
        <w:t xml:space="preserve">highly regarded by </w:t>
      </w:r>
      <w:r w:rsidR="004741F1">
        <w:t xml:space="preserve">market participants </w:t>
      </w:r>
      <w:r w:rsidR="00294C4C">
        <w:t xml:space="preserve">for their </w:t>
      </w:r>
      <w:r w:rsidR="00E41C6F">
        <w:t xml:space="preserve">reliable </w:t>
      </w:r>
      <w:r>
        <w:t>energisers</w:t>
      </w:r>
      <w:r w:rsidR="00294C4C">
        <w:t xml:space="preserve"> and after-sales service</w:t>
      </w:r>
      <w:r>
        <w:t xml:space="preserve">. </w:t>
      </w:r>
      <w:r w:rsidR="00CC729F">
        <w:t>M</w:t>
      </w:r>
      <w:r w:rsidR="004F7CD6">
        <w:t>arket inquiries</w:t>
      </w:r>
      <w:r w:rsidR="00CC729F">
        <w:t xml:space="preserve"> indicated that </w:t>
      </w:r>
      <w:r>
        <w:t>Gallagher</w:t>
      </w:r>
      <w:r w:rsidR="00DE6AFD">
        <w:t xml:space="preserve"> and Tru-Test </w:t>
      </w:r>
      <w:r w:rsidR="00CC729F">
        <w:t xml:space="preserve">are </w:t>
      </w:r>
      <w:r w:rsidR="004F7CD6">
        <w:t xml:space="preserve">the </w:t>
      </w:r>
      <w:r>
        <w:t>closest competitors</w:t>
      </w:r>
      <w:r w:rsidR="004F7CD6">
        <w:t xml:space="preserve"> of each other</w:t>
      </w:r>
      <w:r>
        <w:t>.</w:t>
      </w:r>
      <w:r w:rsidR="00C07009">
        <w:t xml:space="preserve"> </w:t>
      </w:r>
    </w:p>
    <w:p w:rsidR="00995C84" w:rsidRDefault="00995C84" w:rsidP="00995C84">
      <w:pPr>
        <w:pStyle w:val="NormalParagraph"/>
      </w:pPr>
      <w:r>
        <w:t xml:space="preserve">Market inquiries indicated Thunderbird </w:t>
      </w:r>
      <w:r w:rsidR="00E0497C">
        <w:t>to be</w:t>
      </w:r>
      <w:r w:rsidR="006F41C9">
        <w:t xml:space="preserve"> </w:t>
      </w:r>
      <w:r>
        <w:t>a successful competitor</w:t>
      </w:r>
      <w:r w:rsidR="00CB7234">
        <w:t xml:space="preserve"> in the market</w:t>
      </w:r>
      <w:r>
        <w:t>, having won market share from Gallagher and Tru-Test</w:t>
      </w:r>
      <w:r w:rsidR="00E65369">
        <w:t xml:space="preserve"> and developed products across a range of specifications</w:t>
      </w:r>
      <w:r>
        <w:t xml:space="preserve">. </w:t>
      </w:r>
      <w:r w:rsidR="00CB7234">
        <w:t xml:space="preserve">While </w:t>
      </w:r>
      <w:r>
        <w:t>Daken</w:t>
      </w:r>
      <w:r w:rsidR="004F7CD6">
        <w:t xml:space="preserve">’s </w:t>
      </w:r>
      <w:r>
        <w:t>market share was considerably smaller than Thunderbird’s, its brand was recognised</w:t>
      </w:r>
      <w:r w:rsidR="00E65369">
        <w:t>, particularly as it supplies a range of other products in the agricultur</w:t>
      </w:r>
      <w:r w:rsidR="009A61D9">
        <w:t>al</w:t>
      </w:r>
      <w:r w:rsidR="00E65369">
        <w:t xml:space="preserve"> </w:t>
      </w:r>
      <w:r w:rsidR="00F95400">
        <w:t xml:space="preserve">retail </w:t>
      </w:r>
      <w:r w:rsidR="00E65369">
        <w:t>sector</w:t>
      </w:r>
      <w:r>
        <w:t xml:space="preserve">. </w:t>
      </w:r>
      <w:r w:rsidR="009A61D9">
        <w:t xml:space="preserve">The ACCC found that Daken’s energiser products were stocked by a number of rural resellers. </w:t>
      </w:r>
    </w:p>
    <w:p w:rsidR="008570EC" w:rsidRPr="008570EC" w:rsidRDefault="004072BB" w:rsidP="00995C84">
      <w:pPr>
        <w:pStyle w:val="NormalParagraph"/>
      </w:pPr>
      <w:r>
        <w:t>As noted above, rural</w:t>
      </w:r>
      <w:r w:rsidRPr="00BF3008">
        <w:t xml:space="preserve"> resellers </w:t>
      </w:r>
      <w:r>
        <w:t xml:space="preserve">typically </w:t>
      </w:r>
      <w:r w:rsidRPr="00BF3008">
        <w:t xml:space="preserve">seek to offer </w:t>
      </w:r>
      <w:r>
        <w:t xml:space="preserve">their customers </w:t>
      </w:r>
      <w:r w:rsidRPr="00BF3008">
        <w:t xml:space="preserve">a range of energisers </w:t>
      </w:r>
      <w:r>
        <w:t xml:space="preserve">comprising a mix of </w:t>
      </w:r>
      <w:r w:rsidRPr="00BF3008">
        <w:t>basic and premium products.</w:t>
      </w:r>
      <w:r>
        <w:t xml:space="preserve"> In this regard, m</w:t>
      </w:r>
      <w:r w:rsidR="00995C84">
        <w:t xml:space="preserve">arket inquiries indicated that Gallagher and Tru-Test’s brands were highly recognisable and </w:t>
      </w:r>
      <w:r>
        <w:t xml:space="preserve">at least one of these was </w:t>
      </w:r>
      <w:r w:rsidR="00995C84">
        <w:t xml:space="preserve">likely to be </w:t>
      </w:r>
      <w:r>
        <w:t xml:space="preserve">selected by </w:t>
      </w:r>
      <w:r w:rsidR="00995C84">
        <w:t xml:space="preserve">resellers </w:t>
      </w:r>
      <w:r>
        <w:t xml:space="preserve">to form the premium part of their product range offering. Meanwhile, </w:t>
      </w:r>
      <w:r w:rsidR="00995C84">
        <w:t xml:space="preserve">Thunderbird’s products </w:t>
      </w:r>
      <w:r>
        <w:t xml:space="preserve">were often adopted by </w:t>
      </w:r>
      <w:r w:rsidR="00995C84">
        <w:t>resellers</w:t>
      </w:r>
      <w:r>
        <w:t xml:space="preserve"> to fulfil their </w:t>
      </w:r>
      <w:r w:rsidR="00995C84">
        <w:t xml:space="preserve">preferences to offer a lower-priced </w:t>
      </w:r>
      <w:r>
        <w:t>‘</w:t>
      </w:r>
      <w:r w:rsidR="000005B4">
        <w:t>budget</w:t>
      </w:r>
      <w:r>
        <w:t xml:space="preserve">’ </w:t>
      </w:r>
      <w:r w:rsidR="00995C84">
        <w:t>energiser to their customers.</w:t>
      </w:r>
      <w:r w:rsidR="00995C84" w:rsidRPr="00A74ADE">
        <w:t xml:space="preserve"> </w:t>
      </w:r>
      <w:r w:rsidR="008570EC">
        <w:t xml:space="preserve">That said, </w:t>
      </w:r>
      <w:r>
        <w:t>m</w:t>
      </w:r>
      <w:r w:rsidR="00995C84">
        <w:t xml:space="preserve">arket inquiries revealed that all existing suppliers manufacture and supply </w:t>
      </w:r>
      <w:r w:rsidR="008570EC">
        <w:t>‘</w:t>
      </w:r>
      <w:r w:rsidR="000005B4">
        <w:t>budget</w:t>
      </w:r>
      <w:r w:rsidR="008570EC">
        <w:t xml:space="preserve">’ </w:t>
      </w:r>
      <w:r w:rsidR="00995C84">
        <w:t xml:space="preserve">energisers and </w:t>
      </w:r>
      <w:r w:rsidR="00200C8B">
        <w:t xml:space="preserve">that </w:t>
      </w:r>
      <w:r w:rsidR="00995C84">
        <w:t>Gallagher</w:t>
      </w:r>
      <w:r w:rsidR="00200C8B">
        <w:t>’s premium products</w:t>
      </w:r>
      <w:r w:rsidR="00995C84">
        <w:t xml:space="preserve"> competed with all of these</w:t>
      </w:r>
      <w:r w:rsidR="00EF595A">
        <w:rPr>
          <w:strike/>
        </w:rPr>
        <w:t>.</w:t>
      </w:r>
    </w:p>
    <w:p w:rsidR="008570EC" w:rsidRDefault="00020755" w:rsidP="008570EC">
      <w:pPr>
        <w:pStyle w:val="NormalParagraph"/>
      </w:pPr>
      <w:r>
        <w:t xml:space="preserve">While other </w:t>
      </w:r>
      <w:r w:rsidR="00E0497C">
        <w:t xml:space="preserve">wholesale </w:t>
      </w:r>
      <w:r>
        <w:t>suppliers in the market, such as Daken and J</w:t>
      </w:r>
      <w:r w:rsidR="0055038D">
        <w:t xml:space="preserve">VA, </w:t>
      </w:r>
      <w:r w:rsidR="00CA279B">
        <w:t>had</w:t>
      </w:r>
      <w:r w:rsidR="0055038D">
        <w:t xml:space="preserve"> a small market share in aggregate, </w:t>
      </w:r>
      <w:r w:rsidR="00CA279B">
        <w:t xml:space="preserve">market inquiries indicated </w:t>
      </w:r>
      <w:r>
        <w:t xml:space="preserve">that </w:t>
      </w:r>
      <w:r w:rsidR="0055038D">
        <w:t>these suppliers</w:t>
      </w:r>
      <w:r w:rsidR="00CA279B">
        <w:t>’ products</w:t>
      </w:r>
      <w:r w:rsidR="002D2279">
        <w:t xml:space="preserve"> </w:t>
      </w:r>
      <w:r w:rsidR="00CA279B">
        <w:t>were v</w:t>
      </w:r>
      <w:r w:rsidR="009575BE">
        <w:t>iable alternative</w:t>
      </w:r>
      <w:r w:rsidR="00814CF0">
        <w:t>s f</w:t>
      </w:r>
      <w:r w:rsidR="009575BE">
        <w:t>o</w:t>
      </w:r>
      <w:r w:rsidR="00814CF0">
        <w:t xml:space="preserve">r </w:t>
      </w:r>
      <w:r w:rsidR="009575BE">
        <w:t>r</w:t>
      </w:r>
      <w:r w:rsidR="004741F1">
        <w:t>ural resellers and end-users.</w:t>
      </w:r>
      <w:r w:rsidR="009575BE">
        <w:t xml:space="preserve"> </w:t>
      </w:r>
      <w:r w:rsidR="00200C8B">
        <w:t xml:space="preserve">In this regard, the ACCC </w:t>
      </w:r>
      <w:r w:rsidR="00CA279B">
        <w:t xml:space="preserve">found </w:t>
      </w:r>
      <w:r w:rsidR="00200C8B">
        <w:t xml:space="preserve">that </w:t>
      </w:r>
      <w:r w:rsidR="00CA279B">
        <w:t xml:space="preserve">these </w:t>
      </w:r>
      <w:r w:rsidR="00EF595A">
        <w:t>and other</w:t>
      </w:r>
      <w:r w:rsidR="00C07009">
        <w:t xml:space="preserve"> </w:t>
      </w:r>
      <w:r w:rsidR="00EF595A">
        <w:t>m</w:t>
      </w:r>
      <w:r w:rsidR="00E13254">
        <w:t xml:space="preserve">anufacturers of energiser products </w:t>
      </w:r>
      <w:r w:rsidR="00EF595A">
        <w:t xml:space="preserve">do </w:t>
      </w:r>
      <w:r w:rsidR="00E13254">
        <w:t xml:space="preserve">not </w:t>
      </w:r>
      <w:r w:rsidR="00EF595A">
        <w:t xml:space="preserve">face capacity </w:t>
      </w:r>
      <w:r w:rsidR="00E13254">
        <w:t>constrain</w:t>
      </w:r>
      <w:r w:rsidR="00EF595A">
        <w:t>ts on</w:t>
      </w:r>
      <w:r w:rsidR="00EF595A" w:rsidRPr="00EF595A">
        <w:t xml:space="preserve"> </w:t>
      </w:r>
      <w:r w:rsidR="00EF595A">
        <w:t>their ability to expand their wholesale output</w:t>
      </w:r>
      <w:r w:rsidR="00E13254">
        <w:t xml:space="preserve">. </w:t>
      </w:r>
      <w:r w:rsidR="008570EC" w:rsidRPr="008570EC">
        <w:t xml:space="preserve">Market inquiries </w:t>
      </w:r>
      <w:r w:rsidR="00CA279B">
        <w:t xml:space="preserve">also </w:t>
      </w:r>
      <w:r w:rsidR="008570EC">
        <w:t xml:space="preserve">indicated that there was scope for resellers to substitute Thunderbird with another supplier of </w:t>
      </w:r>
      <w:r w:rsidR="000005B4">
        <w:t>budget</w:t>
      </w:r>
      <w:r w:rsidR="008570EC">
        <w:t xml:space="preserve"> energisers if post-acquisition, Gallagher sought to raise wholesale prices</w:t>
      </w:r>
      <w:r w:rsidR="008570EC" w:rsidRPr="00170083">
        <w:t xml:space="preserve"> </w:t>
      </w:r>
      <w:r w:rsidR="008570EC">
        <w:t>or reduce rebates offered to resellers, or reduce product development and service offerings.</w:t>
      </w:r>
      <w:r w:rsidR="0005104A" w:rsidRPr="0005104A">
        <w:t xml:space="preserve"> </w:t>
      </w:r>
      <w:r w:rsidR="0005104A">
        <w:t xml:space="preserve">In addition, market inquiries revealed that the market share of any supplier can change considerably based on a reseller’s selection of suppliers of a mix of premium and </w:t>
      </w:r>
      <w:r w:rsidR="000005B4">
        <w:t>budget</w:t>
      </w:r>
      <w:r w:rsidR="0005104A">
        <w:t xml:space="preserve"> energisers.</w:t>
      </w:r>
    </w:p>
    <w:p w:rsidR="00441A78" w:rsidRPr="002C78E5" w:rsidRDefault="002C78E5" w:rsidP="006148DE">
      <w:pPr>
        <w:pStyle w:val="NormalParagraph"/>
        <w:keepNext/>
        <w:numPr>
          <w:ilvl w:val="0"/>
          <w:numId w:val="0"/>
        </w:numPr>
        <w:rPr>
          <w:i/>
        </w:rPr>
      </w:pPr>
      <w:r w:rsidRPr="002C78E5">
        <w:rPr>
          <w:i/>
        </w:rPr>
        <w:lastRenderedPageBreak/>
        <w:t xml:space="preserve">Likelihood of </w:t>
      </w:r>
      <w:r w:rsidR="002F040E">
        <w:rPr>
          <w:i/>
        </w:rPr>
        <w:t xml:space="preserve">competitive constraint from </w:t>
      </w:r>
      <w:r w:rsidRPr="002C78E5">
        <w:rPr>
          <w:i/>
        </w:rPr>
        <w:t>new entr</w:t>
      </w:r>
      <w:r w:rsidR="002F040E">
        <w:rPr>
          <w:i/>
        </w:rPr>
        <w:t>ants</w:t>
      </w:r>
      <w:r w:rsidR="00441A78" w:rsidRPr="002C78E5">
        <w:rPr>
          <w:i/>
        </w:rPr>
        <w:t xml:space="preserve"> </w:t>
      </w:r>
    </w:p>
    <w:p w:rsidR="00441A78" w:rsidRDefault="00441A78" w:rsidP="00441A78">
      <w:pPr>
        <w:pStyle w:val="NormalParagraph"/>
      </w:pPr>
      <w:r w:rsidRPr="00DE7F3C">
        <w:t xml:space="preserve">The ACCC assessed the likelihood of new entry in the </w:t>
      </w:r>
      <w:r>
        <w:t xml:space="preserve">market for the wholesale supply of energisers </w:t>
      </w:r>
      <w:r w:rsidRPr="00DE7F3C">
        <w:t xml:space="preserve">and whether any such entry would act as a sufficient constraint to alleviate the ACCC’s competition concerns in relation to the proposed acquisition. </w:t>
      </w:r>
    </w:p>
    <w:p w:rsidR="00706C47" w:rsidRDefault="00441A78" w:rsidP="00441A78">
      <w:pPr>
        <w:pStyle w:val="NormalParagraph"/>
      </w:pPr>
      <w:r>
        <w:t xml:space="preserve">The ACCC’s market inquiries indicated that </w:t>
      </w:r>
      <w:r w:rsidR="00CA279B">
        <w:t xml:space="preserve">barriers to the expansion of </w:t>
      </w:r>
      <w:r>
        <w:t xml:space="preserve">manufacturing </w:t>
      </w:r>
      <w:r w:rsidR="00CA279B">
        <w:t xml:space="preserve">output for energisers were </w:t>
      </w:r>
      <w:r>
        <w:t xml:space="preserve">unlikely to be </w:t>
      </w:r>
      <w:r w:rsidR="00CA279B">
        <w:t xml:space="preserve">substantial </w:t>
      </w:r>
      <w:r>
        <w:t>due to the availability of</w:t>
      </w:r>
      <w:r w:rsidRPr="00441A78">
        <w:t xml:space="preserve"> </w:t>
      </w:r>
      <w:r>
        <w:t>third party electronic manufacturers (such as Pakton)</w:t>
      </w:r>
      <w:r w:rsidR="00CA279B">
        <w:t>. However</w:t>
      </w:r>
      <w:r>
        <w:t xml:space="preserve">, </w:t>
      </w:r>
      <w:r w:rsidR="00745593">
        <w:t xml:space="preserve">market inquiries indicated that </w:t>
      </w:r>
      <w:r w:rsidRPr="00441A78">
        <w:t>rural resellers</w:t>
      </w:r>
      <w:r w:rsidR="00CA279B">
        <w:t xml:space="preserve"> </w:t>
      </w:r>
      <w:r w:rsidR="00024BC4">
        <w:t xml:space="preserve">had limited shelf space for selling energisers. For this reason, the resellers </w:t>
      </w:r>
      <w:r w:rsidR="00CA279B">
        <w:t>typically negotiate with a small number of suppliers of energisers</w:t>
      </w:r>
      <w:r w:rsidR="00971AF6">
        <w:t xml:space="preserve"> whose brands </w:t>
      </w:r>
      <w:r w:rsidR="00745593">
        <w:t xml:space="preserve">are </w:t>
      </w:r>
      <w:r w:rsidR="00971AF6">
        <w:t xml:space="preserve">recognised by </w:t>
      </w:r>
      <w:r w:rsidR="00745593">
        <w:t>customers.</w:t>
      </w:r>
      <w:r w:rsidR="00745593" w:rsidRPr="00745593">
        <w:t xml:space="preserve"> </w:t>
      </w:r>
      <w:r w:rsidR="00745593">
        <w:t xml:space="preserve">These factors appeared to have the potential to limit the </w:t>
      </w:r>
      <w:r w:rsidR="00745593" w:rsidRPr="00441A78">
        <w:t xml:space="preserve">opportunities for new suppliers to enter the </w:t>
      </w:r>
      <w:r w:rsidR="00745593">
        <w:t>market, or for small existing suppliers to expand their presence on a large scale</w:t>
      </w:r>
      <w:r w:rsidR="00933541">
        <w:t xml:space="preserve">, unless a reseller </w:t>
      </w:r>
      <w:r w:rsidR="00336BAF">
        <w:t>altered</w:t>
      </w:r>
      <w:r w:rsidR="00933541">
        <w:t xml:space="preserve"> its mix of suppliers as noted in paragraph 52</w:t>
      </w:r>
      <w:r w:rsidR="00745593">
        <w:t>.</w:t>
      </w:r>
    </w:p>
    <w:p w:rsidR="00441A78" w:rsidRPr="00441A78" w:rsidRDefault="00441A78" w:rsidP="00441A78">
      <w:pPr>
        <w:pStyle w:val="NormalParagraph"/>
        <w:numPr>
          <w:ilvl w:val="0"/>
          <w:numId w:val="0"/>
        </w:numPr>
        <w:rPr>
          <w:i/>
        </w:rPr>
      </w:pPr>
      <w:r w:rsidRPr="00441A78">
        <w:rPr>
          <w:i/>
        </w:rPr>
        <w:t>Imports</w:t>
      </w:r>
    </w:p>
    <w:p w:rsidR="00441A78" w:rsidRDefault="00441A78" w:rsidP="00441A78">
      <w:pPr>
        <w:pStyle w:val="NormalParagraph"/>
      </w:pPr>
      <w:r>
        <w:t>Gallagher and Tru-Test import their products from New Zealand.</w:t>
      </w:r>
      <w:r w:rsidR="00C07009">
        <w:t xml:space="preserve"> </w:t>
      </w:r>
      <w:r>
        <w:t xml:space="preserve">Market inquiries showed that Gallagher and Tru-Test have been successful in Australia because they have both established domestic distribution networks, brand recognition and </w:t>
      </w:r>
      <w:r w:rsidR="00024BC4">
        <w:t xml:space="preserve">representatives </w:t>
      </w:r>
      <w:r>
        <w:t>based in Australia to provide after-sales support, advice and training</w:t>
      </w:r>
      <w:r w:rsidR="00EC4056">
        <w:t xml:space="preserve"> to rural resellers and end users</w:t>
      </w:r>
      <w:r>
        <w:t>.</w:t>
      </w:r>
      <w:r w:rsidR="00C07009">
        <w:t xml:space="preserve"> </w:t>
      </w:r>
    </w:p>
    <w:p w:rsidR="00441A78" w:rsidRDefault="0002785E" w:rsidP="00706C47">
      <w:pPr>
        <w:pStyle w:val="NormalParagraph"/>
      </w:pPr>
      <w:r>
        <w:t>Other than the products imported by Gallagher and Tru-Test, e</w:t>
      </w:r>
      <w:r w:rsidR="00441A78">
        <w:t xml:space="preserve">nergisers are not currently imported in significant volumes, either directly by end users or by rural resellers. Market participants indicated that prices would have to increase substantially before </w:t>
      </w:r>
      <w:r w:rsidR="00962798">
        <w:t xml:space="preserve">independent </w:t>
      </w:r>
      <w:r w:rsidR="00441A78">
        <w:t xml:space="preserve">imports of energisers would be considered </w:t>
      </w:r>
      <w:r w:rsidR="00751441">
        <w:t xml:space="preserve">to </w:t>
      </w:r>
      <w:r w:rsidR="00A43D05">
        <w:t xml:space="preserve">be </w:t>
      </w:r>
      <w:r w:rsidR="00441A78">
        <w:t>viable</w:t>
      </w:r>
      <w:r w:rsidR="00751441">
        <w:t xml:space="preserve"> substitutes for the energisers supplied by the merger parties’ and Tru-Test</w:t>
      </w:r>
      <w:r w:rsidR="00441A78">
        <w:t xml:space="preserve">. As such, the ACCC did not consider that </w:t>
      </w:r>
      <w:r w:rsidR="00962798">
        <w:t xml:space="preserve">independent </w:t>
      </w:r>
      <w:r w:rsidR="00441A78">
        <w:t xml:space="preserve">imports would be likely to provide an effective constraint on the merged firm. </w:t>
      </w:r>
    </w:p>
    <w:p w:rsidR="00E128C1" w:rsidRPr="00E128C1" w:rsidRDefault="00E128C1" w:rsidP="00E128C1">
      <w:pPr>
        <w:pStyle w:val="NormalParagraph"/>
        <w:numPr>
          <w:ilvl w:val="0"/>
          <w:numId w:val="0"/>
        </w:numPr>
        <w:ind w:left="360" w:hanging="360"/>
        <w:rPr>
          <w:i/>
        </w:rPr>
      </w:pPr>
      <w:r w:rsidRPr="00E128C1">
        <w:rPr>
          <w:i/>
        </w:rPr>
        <w:t>Conclusions</w:t>
      </w:r>
    </w:p>
    <w:p w:rsidR="00E128C1" w:rsidRDefault="00E128C1" w:rsidP="00E128C1">
      <w:pPr>
        <w:pStyle w:val="NormalParagraph"/>
      </w:pPr>
      <w:r>
        <w:t>After taking the above factors into account, the ACCC was concerned that post-acquisition, Gallagher would own a full and partial shareholding in</w:t>
      </w:r>
      <w:r w:rsidR="00A34980">
        <w:t xml:space="preserve"> </w:t>
      </w:r>
      <w:r w:rsidR="00C375B7">
        <w:t>its</w:t>
      </w:r>
      <w:r>
        <w:t xml:space="preserve"> two</w:t>
      </w:r>
      <w:r w:rsidR="00A34980">
        <w:t xml:space="preserve"> closest competitors</w:t>
      </w:r>
      <w:r>
        <w:t xml:space="preserve"> for the wholesale supply of energisers</w:t>
      </w:r>
      <w:r w:rsidR="002715CF">
        <w:t xml:space="preserve"> </w:t>
      </w:r>
      <w:r>
        <w:t xml:space="preserve">– Thunderbird and Tru-Test. The ACCC considered that while there was potential for resellers to support the growth of other existing suppliers such as Daken, their ability to leverage competition between suppliers was limited in circumstances where three of these were not competing independently of each other. </w:t>
      </w:r>
    </w:p>
    <w:p w:rsidR="00E128C1" w:rsidRPr="00AA4F4C" w:rsidRDefault="00E128C1" w:rsidP="00E128C1">
      <w:pPr>
        <w:pStyle w:val="NormalParagraph"/>
      </w:pPr>
      <w:r>
        <w:t xml:space="preserve">The ACCC was concerned that in these circumstances, Gallagher would have </w:t>
      </w:r>
      <w:r w:rsidRPr="00AA4F4C">
        <w:t>an increased ability and incentive to unilateralIy raise prices</w:t>
      </w:r>
      <w:r w:rsidR="006A76CF">
        <w:t xml:space="preserve">, </w:t>
      </w:r>
      <w:r w:rsidRPr="00AA4F4C">
        <w:t xml:space="preserve">reduce </w:t>
      </w:r>
      <w:r w:rsidR="00E86B10">
        <w:t xml:space="preserve">product development and </w:t>
      </w:r>
      <w:r w:rsidR="006A76CF">
        <w:t xml:space="preserve">decrease </w:t>
      </w:r>
      <w:r w:rsidRPr="00AA4F4C">
        <w:t>the quality of its service offerings.</w:t>
      </w:r>
    </w:p>
    <w:p w:rsidR="00E128C1" w:rsidRDefault="00E128C1" w:rsidP="00E128C1">
      <w:pPr>
        <w:pStyle w:val="NormalParagraph"/>
      </w:pPr>
      <w:r w:rsidRPr="00AA4F4C">
        <w:t xml:space="preserve">The ACCC was also concerned that the </w:t>
      </w:r>
      <w:r w:rsidR="00D07BC2">
        <w:t xml:space="preserve">removal of an independent competitor from the market (Thunderbird), together with Gallagher’s shareholding in Tru-Test, </w:t>
      </w:r>
      <w:r w:rsidRPr="00AA4F4C">
        <w:t>would increase the likelihood of coordination between Gallagher and Tru-Test with respect to their product, price and service offerings in the market.</w:t>
      </w:r>
    </w:p>
    <w:p w:rsidR="00E8238E" w:rsidRPr="00E8238E" w:rsidRDefault="00E8238E" w:rsidP="000B538F">
      <w:pPr>
        <w:pStyle w:val="Heading4"/>
      </w:pPr>
      <w:r w:rsidRPr="00E8238E">
        <w:lastRenderedPageBreak/>
        <w:t>Animal Weigh Scales</w:t>
      </w:r>
    </w:p>
    <w:p w:rsidR="00066337" w:rsidRDefault="00D6755A" w:rsidP="00066337">
      <w:pPr>
        <w:pStyle w:val="NormalParagraph"/>
      </w:pPr>
      <w:r>
        <w:t>Market inquiries indicated that Gallagher and Tru-Test are the key suppliers of anim</w:t>
      </w:r>
      <w:r w:rsidR="00066337">
        <w:t>al weigh scales in Australia.</w:t>
      </w:r>
      <w:r w:rsidR="00C07009">
        <w:t xml:space="preserve"> </w:t>
      </w:r>
      <w:r w:rsidR="00066337">
        <w:t xml:space="preserve">Thunderbird </w:t>
      </w:r>
      <w:r w:rsidR="00D07BC2">
        <w:t xml:space="preserve">had </w:t>
      </w:r>
      <w:r w:rsidR="00066337">
        <w:t xml:space="preserve">a </w:t>
      </w:r>
      <w:r w:rsidR="00F32870">
        <w:t>small</w:t>
      </w:r>
      <w:r w:rsidR="00066337">
        <w:t xml:space="preserve"> presence in this ma</w:t>
      </w:r>
      <w:r w:rsidR="00E93536">
        <w:t xml:space="preserve">rket and the ACCC found that </w:t>
      </w:r>
      <w:r w:rsidR="009F5920">
        <w:t>this was unlikely to increase in the foreseeable future</w:t>
      </w:r>
      <w:r w:rsidR="00066337">
        <w:t xml:space="preserve">. There are no other suppliers of animal weigh scales in Australia. </w:t>
      </w:r>
    </w:p>
    <w:p w:rsidR="00AA5E6D" w:rsidRPr="00AA5E6D" w:rsidRDefault="00E93536" w:rsidP="00066337">
      <w:pPr>
        <w:pStyle w:val="NormalParagraph"/>
      </w:pPr>
      <w:r>
        <w:t xml:space="preserve">As described in </w:t>
      </w:r>
      <w:r w:rsidRPr="00E13254">
        <w:t xml:space="preserve">paragraph </w:t>
      </w:r>
      <w:r w:rsidR="00E13254">
        <w:t>40</w:t>
      </w:r>
      <w:r>
        <w:t>, animal weigh scales range from basic models which have the sole functionality of weigh</w:t>
      </w:r>
      <w:r w:rsidR="00AA5E6D">
        <w:t>ing</w:t>
      </w:r>
      <w:r>
        <w:t xml:space="preserve"> animals</w:t>
      </w:r>
      <w:r w:rsidR="00D07BC2">
        <w:t>,</w:t>
      </w:r>
      <w:r w:rsidR="00FC0485">
        <w:t xml:space="preserve"> to</w:t>
      </w:r>
      <w:r>
        <w:t xml:space="preserve"> sophis</w:t>
      </w:r>
      <w:r w:rsidR="00AA5E6D">
        <w:t xml:space="preserve">ticated animal </w:t>
      </w:r>
      <w:r w:rsidR="009F2497">
        <w:t xml:space="preserve">management </w:t>
      </w:r>
      <w:r w:rsidR="00AA5E6D">
        <w:t>systems</w:t>
      </w:r>
      <w:r w:rsidR="009F2497">
        <w:t xml:space="preserve">, </w:t>
      </w:r>
      <w:r w:rsidR="00D07BC2">
        <w:t xml:space="preserve">where </w:t>
      </w:r>
      <w:r w:rsidR="009F2497">
        <w:t xml:space="preserve">weighing </w:t>
      </w:r>
      <w:r w:rsidR="00D07BC2">
        <w:t xml:space="preserve">is </w:t>
      </w:r>
      <w:r w:rsidR="009F2497">
        <w:t>one of a number of functions</w:t>
      </w:r>
      <w:r w:rsidR="00D07BC2">
        <w:t xml:space="preserve"> provided by the equipment</w:t>
      </w:r>
      <w:r w:rsidR="00AA5E6D">
        <w:t>.</w:t>
      </w:r>
      <w:r w:rsidR="00C07009">
        <w:t xml:space="preserve"> </w:t>
      </w:r>
      <w:r w:rsidR="00AA5E6D">
        <w:t>Sophis</w:t>
      </w:r>
      <w:r w:rsidR="00F32870">
        <w:t>ticated animal weighing systems are compatible</w:t>
      </w:r>
      <w:r w:rsidR="00AA5E6D">
        <w:t xml:space="preserve"> with a</w:t>
      </w:r>
      <w:r w:rsidR="00AA5E6D">
        <w:rPr>
          <w:lang w:eastAsia="en-US"/>
        </w:rPr>
        <w:t xml:space="preserve"> larger category of products such as </w:t>
      </w:r>
      <w:r w:rsidR="00AA5E6D" w:rsidRPr="00AA5E6D">
        <w:rPr>
          <w:lang w:eastAsia="en-US"/>
        </w:rPr>
        <w:t>el</w:t>
      </w:r>
      <w:r w:rsidR="00A12BA2">
        <w:rPr>
          <w:lang w:eastAsia="en-US"/>
        </w:rPr>
        <w:t>ectronic identification readers (</w:t>
      </w:r>
      <w:r w:rsidR="00A12BA2" w:rsidRPr="00A12BA2">
        <w:rPr>
          <w:b/>
          <w:lang w:eastAsia="en-US"/>
        </w:rPr>
        <w:t>EID</w:t>
      </w:r>
      <w:r w:rsidR="00A12BA2">
        <w:rPr>
          <w:lang w:eastAsia="en-US"/>
        </w:rPr>
        <w:t>)</w:t>
      </w:r>
      <w:r w:rsidR="00AA5E6D" w:rsidRPr="00AA5E6D">
        <w:rPr>
          <w:lang w:eastAsia="en-US"/>
        </w:rPr>
        <w:t xml:space="preserve"> and animal handling products.</w:t>
      </w:r>
      <w:r w:rsidR="00C07009">
        <w:rPr>
          <w:lang w:eastAsia="en-US"/>
        </w:rPr>
        <w:t xml:space="preserve"> </w:t>
      </w:r>
      <w:r w:rsidR="00AA5E6D">
        <w:rPr>
          <w:lang w:eastAsia="en-US"/>
        </w:rPr>
        <w:t xml:space="preserve">While these products </w:t>
      </w:r>
      <w:r w:rsidR="00AA5E6D" w:rsidRPr="00AA5E6D">
        <w:rPr>
          <w:lang w:eastAsia="en-US"/>
        </w:rPr>
        <w:t>can be purchased</w:t>
      </w:r>
      <w:r w:rsidR="00AA5E6D">
        <w:rPr>
          <w:lang w:eastAsia="en-US"/>
        </w:rPr>
        <w:t xml:space="preserve"> and used</w:t>
      </w:r>
      <w:r w:rsidR="00AA5E6D" w:rsidRPr="00AA5E6D">
        <w:rPr>
          <w:lang w:eastAsia="en-US"/>
        </w:rPr>
        <w:t xml:space="preserve"> separately, collectively </w:t>
      </w:r>
      <w:r w:rsidR="00AA5E6D">
        <w:rPr>
          <w:lang w:eastAsia="en-US"/>
        </w:rPr>
        <w:t xml:space="preserve">they </w:t>
      </w:r>
      <w:r w:rsidR="00AA5E6D" w:rsidRPr="00AA5E6D">
        <w:rPr>
          <w:lang w:eastAsia="en-US"/>
        </w:rPr>
        <w:t xml:space="preserve">add value </w:t>
      </w:r>
      <w:r w:rsidR="00AA5E6D">
        <w:rPr>
          <w:lang w:eastAsia="en-US"/>
        </w:rPr>
        <w:t>for the end user</w:t>
      </w:r>
      <w:r w:rsidR="00AA5E6D" w:rsidRPr="00AA5E6D">
        <w:rPr>
          <w:lang w:eastAsia="en-US"/>
        </w:rPr>
        <w:t xml:space="preserve"> </w:t>
      </w:r>
      <w:r w:rsidR="00D57F78">
        <w:rPr>
          <w:lang w:eastAsia="en-US"/>
        </w:rPr>
        <w:t>for</w:t>
      </w:r>
      <w:r w:rsidR="00D57F78" w:rsidRPr="00AA5E6D">
        <w:rPr>
          <w:lang w:eastAsia="en-US"/>
        </w:rPr>
        <w:t xml:space="preserve"> </w:t>
      </w:r>
      <w:r w:rsidR="00AA5E6D" w:rsidRPr="00AA5E6D">
        <w:rPr>
          <w:lang w:eastAsia="en-US"/>
        </w:rPr>
        <w:t>electronically tag</w:t>
      </w:r>
      <w:r w:rsidR="00AA5E6D">
        <w:rPr>
          <w:lang w:eastAsia="en-US"/>
        </w:rPr>
        <w:t>ged</w:t>
      </w:r>
      <w:r w:rsidR="00AA5E6D" w:rsidRPr="00AA5E6D">
        <w:rPr>
          <w:lang w:eastAsia="en-US"/>
        </w:rPr>
        <w:t xml:space="preserve"> cattle</w:t>
      </w:r>
      <w:r w:rsidR="00AA5E6D">
        <w:rPr>
          <w:lang w:eastAsia="en-US"/>
        </w:rPr>
        <w:t>.</w:t>
      </w:r>
      <w:r w:rsidR="00AA5E6D" w:rsidRPr="00AA5E6D">
        <w:rPr>
          <w:vertAlign w:val="superscript"/>
          <w:lang w:eastAsia="en-US"/>
        </w:rPr>
        <w:footnoteReference w:id="3"/>
      </w:r>
      <w:r w:rsidR="00C07009">
        <w:rPr>
          <w:lang w:eastAsia="en-US"/>
        </w:rPr>
        <w:t xml:space="preserve"> </w:t>
      </w:r>
    </w:p>
    <w:p w:rsidR="00494D66" w:rsidRDefault="00AA5E6D" w:rsidP="00066337">
      <w:pPr>
        <w:pStyle w:val="NormalParagraph"/>
        <w:tabs>
          <w:tab w:val="clear" w:pos="360"/>
        </w:tabs>
      </w:pPr>
      <w:r>
        <w:t xml:space="preserve">The ACCC found that while Thunderbird </w:t>
      </w:r>
      <w:r w:rsidR="00A84DF9">
        <w:t xml:space="preserve">was </w:t>
      </w:r>
      <w:r>
        <w:t>capable of supplying a complete animal weighing system, incl</w:t>
      </w:r>
      <w:r w:rsidR="00494D66">
        <w:t>uding weigh scales with EID-compatible indicators, EID a</w:t>
      </w:r>
      <w:r w:rsidR="00F32870">
        <w:t xml:space="preserve">nd animal handling products, </w:t>
      </w:r>
      <w:r w:rsidR="005827F2">
        <w:t>these were significantly less advanced than those which were supplied by Gallagher and Tru-Test</w:t>
      </w:r>
      <w:r w:rsidR="00F10414">
        <w:t xml:space="preserve"> and that demand for premium weighing systems from end-users was increasing significantly</w:t>
      </w:r>
      <w:r w:rsidR="005827F2">
        <w:t xml:space="preserve">. </w:t>
      </w:r>
    </w:p>
    <w:p w:rsidR="006A1ADB" w:rsidRDefault="009D4DA7" w:rsidP="00066337">
      <w:pPr>
        <w:pStyle w:val="NormalParagraph"/>
      </w:pPr>
      <w:r>
        <w:t>The ACCC</w:t>
      </w:r>
      <w:r w:rsidR="006A1ADB">
        <w:t xml:space="preserve"> </w:t>
      </w:r>
      <w:r w:rsidR="00F10414">
        <w:t xml:space="preserve">also </w:t>
      </w:r>
      <w:r w:rsidR="006A1ADB">
        <w:t xml:space="preserve">considered that industrial weigh scales manufacturers </w:t>
      </w:r>
      <w:r w:rsidR="00F10414">
        <w:t xml:space="preserve">were </w:t>
      </w:r>
      <w:r w:rsidR="006A1ADB">
        <w:t xml:space="preserve">likely to </w:t>
      </w:r>
      <w:r w:rsidR="00C50187">
        <w:t xml:space="preserve">competitively </w:t>
      </w:r>
      <w:r w:rsidR="006A1ADB">
        <w:t>constrain the merged firm and Tru-Test in relation to the basic range of weigh scales.</w:t>
      </w:r>
      <w:r w:rsidR="00C07009">
        <w:t xml:space="preserve"> </w:t>
      </w:r>
    </w:p>
    <w:p w:rsidR="00D6755A" w:rsidRPr="00E8238E" w:rsidRDefault="006A1ADB" w:rsidP="006A1ADB">
      <w:pPr>
        <w:pStyle w:val="NormalParagraph"/>
      </w:pPr>
      <w:r>
        <w:t>On the basis of the above</w:t>
      </w:r>
      <w:r w:rsidRPr="00A5731A">
        <w:t xml:space="preserve">, the ACCC </w:t>
      </w:r>
      <w:r w:rsidR="00FF619D">
        <w:t xml:space="preserve">considered </w:t>
      </w:r>
      <w:r w:rsidRPr="00A5731A">
        <w:t xml:space="preserve">that </w:t>
      </w:r>
      <w:r w:rsidR="00FF619D">
        <w:t xml:space="preserve">Thunderbird did not appear likely to exert a strong competitive constraint in the market at the time of </w:t>
      </w:r>
      <w:r w:rsidRPr="00A5731A">
        <w:t xml:space="preserve">the proposed acquisition </w:t>
      </w:r>
      <w:r w:rsidR="00FF619D">
        <w:t xml:space="preserve">and </w:t>
      </w:r>
      <w:r w:rsidRPr="00A5731A">
        <w:t xml:space="preserve">would </w:t>
      </w:r>
      <w:r>
        <w:t xml:space="preserve">be unlikely to </w:t>
      </w:r>
      <w:r w:rsidR="00FF619D">
        <w:t xml:space="preserve">do so in the foreseeable future. Therefore, the ACCC concluded that the proposed acquisition would not be likely to </w:t>
      </w:r>
      <w:r w:rsidRPr="00A5731A">
        <w:t xml:space="preserve">substantially </w:t>
      </w:r>
      <w:r w:rsidR="00FF619D" w:rsidRPr="00A5731A">
        <w:t>lessen</w:t>
      </w:r>
      <w:r w:rsidR="00FF619D">
        <w:t xml:space="preserve"> </w:t>
      </w:r>
      <w:r w:rsidRPr="00A5731A">
        <w:t>competition in the market</w:t>
      </w:r>
      <w:r>
        <w:t xml:space="preserve"> for the supply of animal weigh scales.</w:t>
      </w:r>
    </w:p>
    <w:p w:rsidR="00AF1C87" w:rsidRDefault="00AF1C87" w:rsidP="006A7FE8">
      <w:pPr>
        <w:pStyle w:val="Heading3"/>
      </w:pPr>
      <w:r w:rsidRPr="00A53505">
        <w:t>Undertakings</w:t>
      </w:r>
    </w:p>
    <w:p w:rsidR="009835AD" w:rsidRDefault="009835AD" w:rsidP="009835AD">
      <w:pPr>
        <w:pStyle w:val="NormalParagraph"/>
      </w:pPr>
      <w:bookmarkStart w:id="13" w:name="_Ref369520139"/>
      <w:r w:rsidRPr="00B830E3">
        <w:t xml:space="preserve">As noted </w:t>
      </w:r>
      <w:r w:rsidR="009D4DA7">
        <w:t xml:space="preserve">in </w:t>
      </w:r>
      <w:r w:rsidR="009D4DA7" w:rsidRPr="00E13254">
        <w:t xml:space="preserve">paragraph </w:t>
      </w:r>
      <w:r w:rsidR="00E13254" w:rsidRPr="00E13254">
        <w:t>17</w:t>
      </w:r>
      <w:r w:rsidR="009D4DA7" w:rsidRPr="00E13254">
        <w:t>,</w:t>
      </w:r>
      <w:r w:rsidRPr="00B830E3">
        <w:t xml:space="preserve"> </w:t>
      </w:r>
      <w:r>
        <w:t>Gallagher</w:t>
      </w:r>
      <w:r w:rsidR="00471D52">
        <w:t xml:space="preserve"> </w:t>
      </w:r>
      <w:r w:rsidR="00EF595A">
        <w:t xml:space="preserve">owned </w:t>
      </w:r>
      <w:r>
        <w:t>11.86</w:t>
      </w:r>
      <w:r w:rsidRPr="00B830E3">
        <w:t xml:space="preserve"> per cent</w:t>
      </w:r>
      <w:r>
        <w:t xml:space="preserve"> </w:t>
      </w:r>
      <w:r w:rsidR="00471D52">
        <w:t xml:space="preserve">of </w:t>
      </w:r>
      <w:r>
        <w:t>share</w:t>
      </w:r>
      <w:r w:rsidR="00471D52">
        <w:t>s</w:t>
      </w:r>
      <w:r>
        <w:t xml:space="preserve"> in Tru-Test.</w:t>
      </w:r>
      <w:r w:rsidR="00C07009">
        <w:t xml:space="preserve"> </w:t>
      </w:r>
      <w:r w:rsidR="00C6526D">
        <w:t xml:space="preserve">Like Gallagher, </w:t>
      </w:r>
      <w:r w:rsidRPr="00B830E3">
        <w:t>Tru</w:t>
      </w:r>
      <w:r>
        <w:t>-Test is a wholesale supplier of energisers and animal weigh scales in Australia.</w:t>
      </w:r>
      <w:r w:rsidR="00C07009">
        <w:t xml:space="preserve"> </w:t>
      </w:r>
      <w:r>
        <w:t xml:space="preserve">The ACCC’s merger review found </w:t>
      </w:r>
      <w:r w:rsidR="00EF595A">
        <w:t xml:space="preserve">that </w:t>
      </w:r>
      <w:r>
        <w:t xml:space="preserve">Tru-Test </w:t>
      </w:r>
      <w:r w:rsidR="00EF595A">
        <w:t xml:space="preserve">was </w:t>
      </w:r>
      <w:r>
        <w:t>Gallagher’s closest competitor in both the relevant markets.</w:t>
      </w:r>
      <w:r w:rsidR="00C07009">
        <w:t xml:space="preserve"> </w:t>
      </w:r>
      <w:r w:rsidRPr="00B830E3">
        <w:t xml:space="preserve">The ACCC considered </w:t>
      </w:r>
      <w:r w:rsidR="00EF595A">
        <w:t xml:space="preserve">that </w:t>
      </w:r>
      <w:r w:rsidRPr="00B830E3">
        <w:t xml:space="preserve">the merged entity’s </w:t>
      </w:r>
      <w:r>
        <w:t>11.86</w:t>
      </w:r>
      <w:r w:rsidRPr="00B830E3">
        <w:t xml:space="preserve"> per cent interest in </w:t>
      </w:r>
      <w:r>
        <w:t>Tru-Test</w:t>
      </w:r>
      <w:r w:rsidR="00FF619D">
        <w:t>, together with the proposed acquisition,</w:t>
      </w:r>
      <w:r w:rsidRPr="00B830E3">
        <w:t xml:space="preserve"> would </w:t>
      </w:r>
      <w:r w:rsidR="00FF619D">
        <w:t xml:space="preserve">significantly </w:t>
      </w:r>
      <w:r w:rsidRPr="00B830E3">
        <w:t xml:space="preserve">weaken the </w:t>
      </w:r>
      <w:r w:rsidR="00FF619D">
        <w:t xml:space="preserve">degree of competitive </w:t>
      </w:r>
      <w:r w:rsidRPr="00B830E3">
        <w:t xml:space="preserve">constraint </w:t>
      </w:r>
      <w:r w:rsidR="00FF619D">
        <w:t xml:space="preserve">on Gallagher </w:t>
      </w:r>
      <w:r w:rsidRPr="00B830E3">
        <w:t xml:space="preserve">post acquisition. The ACCC was particularly concerned that this shareholding may </w:t>
      </w:r>
      <w:r w:rsidR="00C6526D">
        <w:t>allow</w:t>
      </w:r>
      <w:r w:rsidRPr="00B830E3">
        <w:t xml:space="preserve"> the merged entity to unilaterally raise prices in the relevant markets since the merged entity would be able to recoup part of any lost profit from any customer lost to </w:t>
      </w:r>
      <w:r>
        <w:t xml:space="preserve">Tru-Test </w:t>
      </w:r>
      <w:r w:rsidRPr="00B830E3">
        <w:t>through the earnings the merged entity would receive as a shareholder.</w:t>
      </w:r>
      <w:bookmarkEnd w:id="13"/>
      <w:r w:rsidR="00C07009">
        <w:t xml:space="preserve"> </w:t>
      </w:r>
    </w:p>
    <w:p w:rsidR="009835AD" w:rsidRDefault="009835AD" w:rsidP="009835AD">
      <w:pPr>
        <w:pStyle w:val="NormalParagraph"/>
      </w:pPr>
      <w:r w:rsidRPr="00B830E3">
        <w:lastRenderedPageBreak/>
        <w:t>The ACCC was also concerned that the proposed acquisition, absent the undertaking, may result in the merged entity having the ability to influence or gain insight into the operations of</w:t>
      </w:r>
      <w:r>
        <w:t xml:space="preserve"> Tru-Test</w:t>
      </w:r>
      <w:r w:rsidRPr="00B830E3">
        <w:t xml:space="preserve">, such as by using the shareholding to </w:t>
      </w:r>
      <w:r w:rsidR="00EF595A">
        <w:t>obtain</w:t>
      </w:r>
      <w:r w:rsidR="00EF595A" w:rsidRPr="00B830E3">
        <w:t xml:space="preserve"> </w:t>
      </w:r>
      <w:r w:rsidRPr="00B830E3">
        <w:t xml:space="preserve">board representation. Given the importance of the constraint from competitors, </w:t>
      </w:r>
      <w:r>
        <w:t>particularly Tru-Test</w:t>
      </w:r>
      <w:r w:rsidRPr="00B830E3">
        <w:t>, to the ACCC’s competition assessment, such a shareholding raised concerns.</w:t>
      </w:r>
    </w:p>
    <w:p w:rsidR="009835AD" w:rsidRDefault="009835AD" w:rsidP="009835AD">
      <w:pPr>
        <w:pStyle w:val="NormalParagraph"/>
      </w:pPr>
      <w:r w:rsidRPr="003F1F00">
        <w:t xml:space="preserve">The ACCC </w:t>
      </w:r>
      <w:r>
        <w:t>was also concerned that</w:t>
      </w:r>
      <w:r w:rsidRPr="003F1F00">
        <w:t xml:space="preserve"> the </w:t>
      </w:r>
      <w:r>
        <w:t>proposed acquisition may increase</w:t>
      </w:r>
      <w:r w:rsidRPr="003F1F00">
        <w:t xml:space="preserve"> likelihood of </w:t>
      </w:r>
      <w:r>
        <w:t xml:space="preserve">coordination between Tru-Test and Gallagher with respect to their product, price and service offerings in the market. In relation to this theory of harm, a key factor considered by the ACCC was that the common ownership between the two companies may align their interests and remove their incentives to compete vigorously with each other, in the absence of strong competition from </w:t>
      </w:r>
      <w:r w:rsidR="00C6526D">
        <w:t xml:space="preserve">other competitors in the market, including </w:t>
      </w:r>
      <w:r>
        <w:t xml:space="preserve">Thunderbird. </w:t>
      </w:r>
    </w:p>
    <w:p w:rsidR="009835AD" w:rsidRPr="00505444" w:rsidRDefault="009835AD" w:rsidP="009835AD">
      <w:pPr>
        <w:pStyle w:val="NormalParagraph"/>
      </w:pPr>
      <w:r w:rsidRPr="00505444">
        <w:t xml:space="preserve">In response to these concerns, </w:t>
      </w:r>
      <w:r>
        <w:t>Gallagher</w:t>
      </w:r>
      <w:r w:rsidRPr="00505444">
        <w:t xml:space="preserve"> offered and the ACCC accepted a court enforceable undertaking pursuant to section 87B of the Act (the </w:t>
      </w:r>
      <w:r w:rsidRPr="00505444">
        <w:rPr>
          <w:b/>
        </w:rPr>
        <w:t>Undertaking</w:t>
      </w:r>
      <w:r w:rsidRPr="00505444">
        <w:t xml:space="preserve">). The Undertaking requires </w:t>
      </w:r>
      <w:r w:rsidR="00C6526D">
        <w:t>Gallagher</w:t>
      </w:r>
      <w:r w:rsidRPr="00505444">
        <w:t xml:space="preserve"> to:</w:t>
      </w:r>
    </w:p>
    <w:p w:rsidR="009835AD" w:rsidRPr="00B830E3" w:rsidRDefault="009835AD" w:rsidP="000B538F">
      <w:pPr>
        <w:pStyle w:val="ListParagraph"/>
        <w:numPr>
          <w:ilvl w:val="0"/>
          <w:numId w:val="41"/>
        </w:numPr>
        <w:ind w:left="709" w:hanging="283"/>
      </w:pPr>
      <w:r w:rsidRPr="00B830E3">
        <w:t xml:space="preserve">divest </w:t>
      </w:r>
      <w:r w:rsidRPr="009835AD">
        <w:t>the</w:t>
      </w:r>
      <w:r>
        <w:t xml:space="preserve"> 11.86</w:t>
      </w:r>
      <w:r w:rsidRPr="00B830E3">
        <w:t xml:space="preserve"> per cent interest in </w:t>
      </w:r>
      <w:r>
        <w:t>Tru-Test</w:t>
      </w:r>
      <w:r w:rsidRPr="00B830E3">
        <w:t xml:space="preserve"> (either </w:t>
      </w:r>
      <w:r>
        <w:t xml:space="preserve">to Tru-Test </w:t>
      </w:r>
      <w:r w:rsidRPr="00B830E3">
        <w:t>or otherwise to another purchaser approved by the ACCC) within a defined timeframe</w:t>
      </w:r>
      <w:r w:rsidR="00C6526D">
        <w:t>;</w:t>
      </w:r>
    </w:p>
    <w:p w:rsidR="009835AD" w:rsidRPr="00D20341" w:rsidRDefault="009835AD" w:rsidP="000B538F">
      <w:pPr>
        <w:pStyle w:val="ListParagraph"/>
        <w:numPr>
          <w:ilvl w:val="0"/>
          <w:numId w:val="41"/>
        </w:numPr>
        <w:ind w:left="709" w:hanging="283"/>
      </w:pPr>
      <w:r w:rsidRPr="00B830E3">
        <w:t xml:space="preserve">maintain the independence of </w:t>
      </w:r>
      <w:r>
        <w:t xml:space="preserve">Tru-Test and Gallagher while Gallagher </w:t>
      </w:r>
      <w:r w:rsidRPr="00D20341">
        <w:t xml:space="preserve">remains a shareholder by ensuring that Gallagher does not exercise any influence over Tru-Test, and vice versa; and </w:t>
      </w:r>
    </w:p>
    <w:p w:rsidR="009835AD" w:rsidRPr="00D20341" w:rsidRDefault="009835AD" w:rsidP="000B538F">
      <w:pPr>
        <w:pStyle w:val="ListParagraph"/>
        <w:numPr>
          <w:ilvl w:val="0"/>
          <w:numId w:val="41"/>
        </w:numPr>
        <w:ind w:left="709" w:hanging="283"/>
      </w:pPr>
      <w:r w:rsidRPr="00D20341">
        <w:t>providing for the effective oversight of Gallagher’s compliance with this undertaking.</w:t>
      </w:r>
    </w:p>
    <w:p w:rsidR="006F41C9" w:rsidRDefault="006F41C9" w:rsidP="006F41C9">
      <w:pPr>
        <w:pStyle w:val="NormalParagraph"/>
      </w:pPr>
      <w:bookmarkStart w:id="14" w:name="_Ref369520148"/>
      <w:r w:rsidRPr="006F41C9">
        <w:t xml:space="preserve">The ACCC considered that if the s87B undertaking were accepted, Gallagher would no longer hold an ownership interest in one of its key competitors, and resellers would </w:t>
      </w:r>
      <w:r w:rsidR="002715CF">
        <w:t xml:space="preserve">have </w:t>
      </w:r>
      <w:r w:rsidRPr="006F41C9">
        <w:t xml:space="preserve">the ability to negotiate wholesale purchases of energisers with </w:t>
      </w:r>
      <w:r w:rsidR="002715CF">
        <w:t>at least as many</w:t>
      </w:r>
      <w:r w:rsidRPr="006F41C9">
        <w:t xml:space="preserve"> independent suppliers</w:t>
      </w:r>
      <w:r w:rsidR="002715CF">
        <w:t xml:space="preserve"> as before the acquisition</w:t>
      </w:r>
      <w:r w:rsidRPr="006F41C9">
        <w:t>.</w:t>
      </w:r>
      <w:r w:rsidR="002715CF">
        <w:t xml:space="preserve"> </w:t>
      </w:r>
    </w:p>
    <w:p w:rsidR="007B4139" w:rsidRPr="00E13254" w:rsidRDefault="007B4139" w:rsidP="007B4139">
      <w:pPr>
        <w:pStyle w:val="NormalParagraph"/>
      </w:pPr>
      <w:r>
        <w:t xml:space="preserve">Therefore, </w:t>
      </w:r>
      <w:r w:rsidR="006F41C9">
        <w:t xml:space="preserve">taking into account the factors outlined above in the section titled </w:t>
      </w:r>
      <w:r w:rsidR="006F41C9" w:rsidRPr="00E13254">
        <w:t xml:space="preserve">Competition Analysis, </w:t>
      </w:r>
      <w:r w:rsidRPr="00E13254">
        <w:t>the ACCC considered that with the undertaking, competition in the energiser market in the future would not be substantially lessened compared to competition in the future without the proposed acquisition.</w:t>
      </w:r>
    </w:p>
    <w:p w:rsidR="009835AD" w:rsidRPr="00EF595A" w:rsidRDefault="007B4139" w:rsidP="009835AD">
      <w:pPr>
        <w:pStyle w:val="NormalParagraph"/>
      </w:pPr>
      <w:r w:rsidRPr="00EF595A">
        <w:t>Accordingly, t</w:t>
      </w:r>
      <w:r w:rsidR="009835AD" w:rsidRPr="00EF595A">
        <w:t>he ACCC accepted the Undertaking</w:t>
      </w:r>
      <w:r w:rsidRPr="00EF595A">
        <w:t xml:space="preserve"> and approved</w:t>
      </w:r>
      <w:r w:rsidR="009835AD" w:rsidRPr="00EF595A">
        <w:t xml:space="preserve"> Tru-Test as </w:t>
      </w:r>
      <w:r w:rsidRPr="00EF595A">
        <w:t xml:space="preserve">the proposed </w:t>
      </w:r>
      <w:r w:rsidR="009835AD" w:rsidRPr="00EF595A">
        <w:t xml:space="preserve">purchaser of </w:t>
      </w:r>
      <w:r w:rsidRPr="00EF595A">
        <w:t xml:space="preserve">Gallagher’s </w:t>
      </w:r>
      <w:r w:rsidR="009835AD" w:rsidRPr="00EF595A">
        <w:t>11.86 per cent shareholding. The ACCC granted this approval on the basis that the transfer would meet the objectives of the Undertaking and not raise any competition concerns.</w:t>
      </w:r>
      <w:bookmarkEnd w:id="14"/>
    </w:p>
    <w:p w:rsidR="00AF1C87" w:rsidRDefault="00AF1C87" w:rsidP="006A7FE8">
      <w:pPr>
        <w:pStyle w:val="Heading3"/>
      </w:pPr>
      <w:r w:rsidRPr="00A53505">
        <w:t>Conclusion</w:t>
      </w:r>
    </w:p>
    <w:p w:rsidR="00F85E5C" w:rsidRDefault="00AF1C87" w:rsidP="00E030CA">
      <w:pPr>
        <w:pStyle w:val="NormalParagraph"/>
      </w:pPr>
      <w:r>
        <w:t xml:space="preserve">On the </w:t>
      </w:r>
      <w:r w:rsidRPr="006A1ADB">
        <w:t>basis of the above</w:t>
      </w:r>
      <w:r w:rsidR="008F79E2" w:rsidRPr="006A1ADB">
        <w:t xml:space="preserve">, </w:t>
      </w:r>
      <w:r w:rsidRPr="006A1ADB">
        <w:t>including taking into account the proposed undertakings, t</w:t>
      </w:r>
      <w:r>
        <w:t xml:space="preserve">he ACCC formed the view that the proposed acquisition of </w:t>
      </w:r>
      <w:bookmarkStart w:id="15" w:name="Target4"/>
      <w:bookmarkEnd w:id="15"/>
      <w:r w:rsidR="006A1ADB">
        <w:t xml:space="preserve">Thunderbird </w:t>
      </w:r>
      <w:r>
        <w:t xml:space="preserve">by </w:t>
      </w:r>
      <w:bookmarkStart w:id="16" w:name="Acquirer6"/>
      <w:bookmarkEnd w:id="16"/>
      <w:r w:rsidR="002F2E4B">
        <w:t>Gallagher Group</w:t>
      </w:r>
      <w:r>
        <w:t xml:space="preserve"> would </w:t>
      </w:r>
      <w:r w:rsidR="006A1ADB">
        <w:t>not</w:t>
      </w:r>
      <w:r>
        <w:t xml:space="preserve"> be likely to result in a substantial lessening of competition</w:t>
      </w:r>
      <w:r w:rsidR="006A1ADB">
        <w:t xml:space="preserve"> in either the nation</w:t>
      </w:r>
      <w:r w:rsidR="00E13254">
        <w:t>al</w:t>
      </w:r>
      <w:r w:rsidR="006A1ADB">
        <w:t xml:space="preserve"> market for the wholesale supply of energisers or the national market for the wholesale supply of animal weigh scales</w:t>
      </w:r>
      <w:r>
        <w:t xml:space="preserve"> in contravention of section 50 of the Act.</w:t>
      </w:r>
    </w:p>
    <w:sectPr w:rsidR="00F85E5C">
      <w:headerReference w:type="even" r:id="rId10"/>
      <w:headerReference w:type="default" r:id="rId11"/>
      <w:footerReference w:type="even" r:id="rId12"/>
      <w:footerReference w:type="default" r:id="rId13"/>
      <w:headerReference w:type="first" r:id="rId14"/>
      <w:footerReference w:type="first" r:id="rId15"/>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7F2" w:rsidRDefault="005827F2">
      <w:r>
        <w:separator/>
      </w:r>
    </w:p>
  </w:endnote>
  <w:endnote w:type="continuationSeparator" w:id="0">
    <w:p w:rsidR="005827F2" w:rsidRDefault="00582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7F2" w:rsidRPr="007746FD" w:rsidRDefault="005827F2" w:rsidP="007746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7F2" w:rsidRPr="007746FD" w:rsidRDefault="005827F2" w:rsidP="007746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7F2" w:rsidRPr="007746FD" w:rsidRDefault="005827F2" w:rsidP="007746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7F2" w:rsidRDefault="005827F2">
      <w:r>
        <w:separator/>
      </w:r>
    </w:p>
  </w:footnote>
  <w:footnote w:type="continuationSeparator" w:id="0">
    <w:p w:rsidR="005827F2" w:rsidRDefault="005827F2">
      <w:r>
        <w:continuationSeparator/>
      </w:r>
    </w:p>
  </w:footnote>
  <w:footnote w:id="1">
    <w:p w:rsidR="005827F2" w:rsidRPr="00004D27" w:rsidRDefault="005827F2" w:rsidP="00981375">
      <w:pPr>
        <w:pStyle w:val="FootnoteText"/>
        <w:rPr>
          <w:rFonts w:ascii="Arial" w:hAnsi="Arial" w:cs="Arial"/>
          <w:szCs w:val="20"/>
        </w:rPr>
      </w:pPr>
      <w:r w:rsidRPr="00004D27">
        <w:rPr>
          <w:rStyle w:val="FootnoteReference"/>
          <w:rFonts w:ascii="Arial" w:hAnsi="Arial" w:cs="Arial"/>
          <w:sz w:val="20"/>
          <w:szCs w:val="20"/>
        </w:rPr>
        <w:footnoteRef/>
      </w:r>
      <w:r w:rsidRPr="00004D27">
        <w:rPr>
          <w:rFonts w:ascii="Arial" w:hAnsi="Arial" w:cs="Arial"/>
          <w:szCs w:val="20"/>
        </w:rPr>
        <w:t xml:space="preserve"> </w:t>
      </w:r>
      <w:hyperlink r:id="rId1" w:history="1">
        <w:r w:rsidRPr="00004D27">
          <w:rPr>
            <w:rStyle w:val="Hyperlink"/>
            <w:rFonts w:ascii="Arial" w:hAnsi="Arial" w:cs="Arial"/>
            <w:szCs w:val="20"/>
          </w:rPr>
          <w:t>http://www.jva-fence.com.au/contact.php</w:t>
        </w:r>
      </w:hyperlink>
      <w:r w:rsidRPr="00004D27">
        <w:rPr>
          <w:rFonts w:ascii="Arial" w:hAnsi="Arial" w:cs="Arial"/>
          <w:szCs w:val="20"/>
        </w:rPr>
        <w:t xml:space="preserve"> </w:t>
      </w:r>
    </w:p>
  </w:footnote>
  <w:footnote w:id="2">
    <w:p w:rsidR="005827F2" w:rsidRPr="00004D27" w:rsidRDefault="005827F2" w:rsidP="004F7CD6">
      <w:pPr>
        <w:pStyle w:val="FootnoteText"/>
        <w:rPr>
          <w:rFonts w:ascii="Arial" w:hAnsi="Arial" w:cs="Arial"/>
          <w:szCs w:val="20"/>
        </w:rPr>
      </w:pPr>
      <w:r w:rsidRPr="00004D27">
        <w:rPr>
          <w:rStyle w:val="FootnoteReference"/>
          <w:rFonts w:ascii="Arial" w:hAnsi="Arial" w:cs="Arial"/>
          <w:sz w:val="20"/>
          <w:szCs w:val="20"/>
        </w:rPr>
        <w:footnoteRef/>
      </w:r>
      <w:r w:rsidRPr="00004D27">
        <w:rPr>
          <w:rFonts w:ascii="Arial" w:hAnsi="Arial" w:cs="Arial"/>
          <w:szCs w:val="20"/>
        </w:rPr>
        <w:t xml:space="preserve"> The ACCC was unable to obtain publicly available sources of information regarding market shares to include in this Public Competition Assessment.</w:t>
      </w:r>
    </w:p>
  </w:footnote>
  <w:footnote w:id="3">
    <w:p w:rsidR="005827F2" w:rsidRPr="00004D27" w:rsidRDefault="005827F2" w:rsidP="00AA5E6D">
      <w:pPr>
        <w:pStyle w:val="NormalWeb"/>
        <w:rPr>
          <w:rFonts w:ascii="Arial" w:hAnsi="Arial" w:cs="Arial"/>
          <w:sz w:val="20"/>
          <w:szCs w:val="20"/>
        </w:rPr>
      </w:pPr>
      <w:r w:rsidRPr="00004D27">
        <w:rPr>
          <w:rStyle w:val="FootnoteReference"/>
          <w:rFonts w:ascii="Arial" w:hAnsi="Arial" w:cs="Arial"/>
          <w:sz w:val="20"/>
          <w:szCs w:val="20"/>
        </w:rPr>
        <w:footnoteRef/>
      </w:r>
      <w:r w:rsidRPr="00004D27">
        <w:rPr>
          <w:rFonts w:ascii="Arial" w:hAnsi="Arial" w:cs="Arial"/>
          <w:sz w:val="20"/>
          <w:szCs w:val="20"/>
        </w:rPr>
        <w:t xml:space="preserve"> The ACCC understands that electronic tagging of cattle </w:t>
      </w:r>
      <w:r w:rsidRPr="00004D27">
        <w:rPr>
          <w:rFonts w:ascii="Arial" w:hAnsi="Arial" w:cs="Arial"/>
          <w:sz w:val="20"/>
          <w:szCs w:val="20"/>
          <w:lang w:eastAsia="en-US"/>
        </w:rPr>
        <w:t xml:space="preserve">became mandatory in Australia in 1999 as part of the National Livestock Identification System (NLIS). </w:t>
      </w:r>
      <w:r w:rsidRPr="00004D27">
        <w:rPr>
          <w:rFonts w:ascii="Arial" w:hAnsi="Arial" w:cs="Arial"/>
          <w:sz w:val="20"/>
          <w:szCs w:val="20"/>
          <w:lang w:val="en"/>
        </w:rPr>
        <w:t xml:space="preserve">The NLIS is </w:t>
      </w:r>
      <w:r w:rsidR="00F14B39" w:rsidRPr="00004D27">
        <w:rPr>
          <w:rFonts w:ascii="Arial" w:hAnsi="Arial" w:cs="Arial"/>
          <w:sz w:val="20"/>
          <w:szCs w:val="20"/>
          <w:lang w:val="en"/>
        </w:rPr>
        <w:t>livestock</w:t>
      </w:r>
      <w:r w:rsidRPr="00004D27">
        <w:rPr>
          <w:rFonts w:ascii="Arial" w:hAnsi="Arial" w:cs="Arial"/>
          <w:sz w:val="20"/>
          <w:szCs w:val="20"/>
          <w:lang w:val="en"/>
        </w:rPr>
        <w:t xml:space="preserve"> identification and tracking system which uses devices to identify and track livestock and keeps a central electronic database of an animal’s residency and animals it has interacted with for the purpose of improving food safety and access to export markets, and assists with disease management.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FD" w:rsidRDefault="007746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7F2" w:rsidRPr="001E2914" w:rsidRDefault="005827F2">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6FD" w:rsidRDefault="007746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A26FB"/>
    <w:multiLevelType w:val="hybridMultilevel"/>
    <w:tmpl w:val="31B8D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2">
    <w:nsid w:val="19F7594D"/>
    <w:multiLevelType w:val="hybridMultilevel"/>
    <w:tmpl w:val="BA70065C"/>
    <w:lvl w:ilvl="0" w:tplc="FFFFFFFF">
      <w:start w:val="1"/>
      <w:numFmt w:val="decimal"/>
      <w:lvlText w:val="%1."/>
      <w:lvlJc w:val="left"/>
      <w:pPr>
        <w:tabs>
          <w:tab w:val="num" w:pos="360"/>
        </w:tabs>
        <w:ind w:left="360" w:hanging="360"/>
      </w:pPr>
      <w:rPr>
        <w:sz w:val="24"/>
        <w:szCs w:val="24"/>
      </w:rPr>
    </w:lvl>
    <w:lvl w:ilvl="1" w:tplc="FFFFFFFF">
      <w:start w:val="1"/>
      <w:numFmt w:val="decimal"/>
      <w:lvlText w:val="%2."/>
      <w:lvlJc w:val="left"/>
      <w:pPr>
        <w:tabs>
          <w:tab w:val="num" w:pos="360"/>
        </w:tabs>
        <w:ind w:left="360" w:hanging="360"/>
      </w:pPr>
    </w:lvl>
    <w:lvl w:ilvl="2" w:tplc="FFFFFFFF">
      <w:start w:val="1"/>
      <w:numFmt w:val="lowerRoman"/>
      <w:lvlText w:val="%3."/>
      <w:lvlJc w:val="right"/>
      <w:pPr>
        <w:tabs>
          <w:tab w:val="num" w:pos="2018"/>
        </w:tabs>
        <w:ind w:left="2018" w:hanging="180"/>
      </w:pPr>
    </w:lvl>
    <w:lvl w:ilvl="3" w:tplc="FFFFFFFF">
      <w:start w:val="1"/>
      <w:numFmt w:val="decimal"/>
      <w:lvlText w:val="%4."/>
      <w:lvlJc w:val="left"/>
      <w:pPr>
        <w:tabs>
          <w:tab w:val="num" w:pos="2738"/>
        </w:tabs>
        <w:ind w:left="2738" w:hanging="360"/>
      </w:pPr>
    </w:lvl>
    <w:lvl w:ilvl="4" w:tplc="FFFFFFFF">
      <w:start w:val="1"/>
      <w:numFmt w:val="lowerLetter"/>
      <w:lvlText w:val="%5."/>
      <w:lvlJc w:val="left"/>
      <w:pPr>
        <w:tabs>
          <w:tab w:val="num" w:pos="3458"/>
        </w:tabs>
        <w:ind w:left="3458" w:hanging="360"/>
      </w:pPr>
    </w:lvl>
    <w:lvl w:ilvl="5" w:tplc="FFFFFFFF">
      <w:start w:val="1"/>
      <w:numFmt w:val="lowerRoman"/>
      <w:lvlText w:val="%6."/>
      <w:lvlJc w:val="right"/>
      <w:pPr>
        <w:tabs>
          <w:tab w:val="num" w:pos="4178"/>
        </w:tabs>
        <w:ind w:left="4178" w:hanging="180"/>
      </w:pPr>
    </w:lvl>
    <w:lvl w:ilvl="6" w:tplc="FFFFFFFF" w:tentative="1">
      <w:start w:val="1"/>
      <w:numFmt w:val="decimal"/>
      <w:lvlText w:val="%7."/>
      <w:lvlJc w:val="left"/>
      <w:pPr>
        <w:tabs>
          <w:tab w:val="num" w:pos="4898"/>
        </w:tabs>
        <w:ind w:left="4898" w:hanging="360"/>
      </w:pPr>
    </w:lvl>
    <w:lvl w:ilvl="7" w:tplc="FFFFFFFF" w:tentative="1">
      <w:start w:val="1"/>
      <w:numFmt w:val="lowerLetter"/>
      <w:lvlText w:val="%8."/>
      <w:lvlJc w:val="left"/>
      <w:pPr>
        <w:tabs>
          <w:tab w:val="num" w:pos="5618"/>
        </w:tabs>
        <w:ind w:left="5618" w:hanging="360"/>
      </w:pPr>
    </w:lvl>
    <w:lvl w:ilvl="8" w:tplc="FFFFFFFF" w:tentative="1">
      <w:start w:val="1"/>
      <w:numFmt w:val="lowerRoman"/>
      <w:lvlText w:val="%9."/>
      <w:lvlJc w:val="right"/>
      <w:pPr>
        <w:tabs>
          <w:tab w:val="num" w:pos="6338"/>
        </w:tabs>
        <w:ind w:left="6338" w:hanging="180"/>
      </w:pPr>
    </w:lvl>
  </w:abstractNum>
  <w:abstractNum w:abstractNumId="3">
    <w:nsid w:val="1D38186D"/>
    <w:multiLevelType w:val="hybridMultilevel"/>
    <w:tmpl w:val="9A448DE8"/>
    <w:lvl w:ilvl="0" w:tplc="76FAB17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DA1559E"/>
    <w:multiLevelType w:val="hybridMultilevel"/>
    <w:tmpl w:val="86502E20"/>
    <w:lvl w:ilvl="0" w:tplc="0C09000F">
      <w:start w:val="1"/>
      <w:numFmt w:val="decimal"/>
      <w:lvlText w:val="%1."/>
      <w:lvlJc w:val="left"/>
      <w:pPr>
        <w:ind w:left="928"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3ABD2119"/>
    <w:multiLevelType w:val="hybridMultilevel"/>
    <w:tmpl w:val="C5BC5384"/>
    <w:lvl w:ilvl="0" w:tplc="0C09001B">
      <w:start w:val="1"/>
      <w:numFmt w:val="lowerRoman"/>
      <w:lvlText w:val="%1."/>
      <w:lvlJc w:val="righ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9">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10">
    <w:nsid w:val="44E305FB"/>
    <w:multiLevelType w:val="multilevel"/>
    <w:tmpl w:val="E7B4A79E"/>
    <w:lvl w:ilvl="0">
      <w:start w:val="1"/>
      <w:numFmt w:val="decimal"/>
      <w:pStyle w:val="NormalParagraph"/>
      <w:lvlText w:val="%1."/>
      <w:lvlJc w:val="left"/>
      <w:pPr>
        <w:tabs>
          <w:tab w:val="num" w:pos="502"/>
        </w:tabs>
        <w:ind w:left="502" w:hanging="360"/>
      </w:pPr>
      <w:rPr>
        <w:rFonts w:hint="default"/>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nsid w:val="4BFA7E8D"/>
    <w:multiLevelType w:val="hybridMultilevel"/>
    <w:tmpl w:val="9A3ED6B2"/>
    <w:lvl w:ilvl="0" w:tplc="879ABD00">
      <w:start w:val="1"/>
      <w:numFmt w:val="upperLetter"/>
      <w:lvlText w:val="%1."/>
      <w:lvlJc w:val="left"/>
      <w:pPr>
        <w:tabs>
          <w:tab w:val="num" w:pos="360"/>
        </w:tabs>
        <w:ind w:left="360" w:hanging="360"/>
      </w:pPr>
      <w:rPr>
        <w:rFonts w:ascii="Times New Roman" w:hAnsi="Times New Roman" w:hint="default"/>
        <w:sz w:val="24"/>
        <w:szCs w:val="24"/>
      </w:rPr>
    </w:lvl>
    <w:lvl w:ilvl="1" w:tplc="879ABD00">
      <w:start w:val="1"/>
      <w:numFmt w:val="upperLetter"/>
      <w:lvlText w:val="%2."/>
      <w:lvlJc w:val="left"/>
      <w:pPr>
        <w:tabs>
          <w:tab w:val="num" w:pos="1080"/>
        </w:tabs>
        <w:ind w:left="1080" w:hanging="360"/>
      </w:pPr>
      <w:rPr>
        <w:rFonts w:ascii="Times New Roman" w:hAnsi="Times New Roman" w:hint="default"/>
        <w:sz w:val="24"/>
        <w:szCs w:val="24"/>
      </w:rPr>
    </w:lvl>
    <w:lvl w:ilvl="2" w:tplc="9020C6D2">
      <w:start w:val="1"/>
      <w:numFmt w:val="lowerLetter"/>
      <w:lvlText w:val="%3."/>
      <w:lvlJc w:val="left"/>
      <w:pPr>
        <w:ind w:left="1800" w:hanging="360"/>
      </w:pPr>
      <w:rPr>
        <w:rFont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2">
    <w:nsid w:val="4C6C20C9"/>
    <w:multiLevelType w:val="hybridMultilevel"/>
    <w:tmpl w:val="D102CC76"/>
    <w:lvl w:ilvl="0" w:tplc="0C09001B">
      <w:start w:val="1"/>
      <w:numFmt w:val="lowerRoman"/>
      <w:lvlText w:val="%1."/>
      <w:lvlJc w:val="righ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nsid w:val="584F102D"/>
    <w:multiLevelType w:val="hybridMultilevel"/>
    <w:tmpl w:val="6FCEB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865705D"/>
    <w:multiLevelType w:val="hybridMultilevel"/>
    <w:tmpl w:val="D15672D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nsid w:val="58F749CD"/>
    <w:multiLevelType w:val="hybridMultilevel"/>
    <w:tmpl w:val="E15AE6CE"/>
    <w:lvl w:ilvl="0" w:tplc="0C09001B">
      <w:start w:val="1"/>
      <w:numFmt w:val="lowerRoman"/>
      <w:lvlText w:val="%1."/>
      <w:lvlJc w:val="righ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nsid w:val="5C4D47B4"/>
    <w:multiLevelType w:val="hybridMultilevel"/>
    <w:tmpl w:val="129EB9F6"/>
    <w:lvl w:ilvl="0" w:tplc="0C09001B">
      <w:start w:val="1"/>
      <w:numFmt w:val="lowerRoman"/>
      <w:lvlText w:val="%1."/>
      <w:lvlJc w:val="right"/>
      <w:pPr>
        <w:ind w:left="927" w:hanging="360"/>
      </w:pPr>
      <w:rPr>
        <w:rFont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7">
    <w:nsid w:val="61636ACD"/>
    <w:multiLevelType w:val="hybridMultilevel"/>
    <w:tmpl w:val="2528CE1E"/>
    <w:lvl w:ilvl="0" w:tplc="0C090001">
      <w:start w:val="1"/>
      <w:numFmt w:val="bullet"/>
      <w:lvlText w:val=""/>
      <w:lvlJc w:val="left"/>
      <w:pPr>
        <w:tabs>
          <w:tab w:val="num" w:pos="567"/>
        </w:tabs>
        <w:ind w:left="567" w:hanging="567"/>
      </w:pPr>
      <w:rPr>
        <w:rFonts w:ascii="Symbol" w:hAnsi="Symbol"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10"/>
  </w:num>
  <w:num w:numId="2">
    <w:abstractNumId w:val="9"/>
  </w:num>
  <w:num w:numId="3">
    <w:abstractNumId w:val="1"/>
  </w:num>
  <w:num w:numId="4">
    <w:abstractNumId w:val="8"/>
  </w:num>
  <w:num w:numId="5">
    <w:abstractNumId w:val="6"/>
  </w:num>
  <w:num w:numId="6">
    <w:abstractNumId w:val="5"/>
  </w:num>
  <w:num w:numId="7">
    <w:abstractNumId w:val="4"/>
  </w:num>
  <w:num w:numId="8">
    <w:abstractNumId w:val="2"/>
  </w:num>
  <w:num w:numId="9">
    <w:abstractNumId w:val="11"/>
  </w:num>
  <w:num w:numId="10">
    <w:abstractNumId w:val="0"/>
  </w:num>
  <w:num w:numId="11">
    <w:abstractNumId w:val="15"/>
  </w:num>
  <w:num w:numId="12">
    <w:abstractNumId w:val="10"/>
  </w:num>
  <w:num w:numId="13">
    <w:abstractNumId w:val="3"/>
  </w:num>
  <w:num w:numId="14">
    <w:abstractNumId w:val="16"/>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7"/>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3"/>
  </w:num>
  <w:num w:numId="31">
    <w:abstractNumId w:val="10"/>
  </w:num>
  <w:num w:numId="32">
    <w:abstractNumId w:val="10"/>
  </w:num>
  <w:num w:numId="33">
    <w:abstractNumId w:val="10"/>
  </w:num>
  <w:num w:numId="34">
    <w:abstractNumId w:val="14"/>
  </w:num>
  <w:num w:numId="35">
    <w:abstractNumId w:val="7"/>
  </w:num>
  <w:num w:numId="36">
    <w:abstractNumId w:val="8"/>
  </w:num>
  <w:num w:numId="37">
    <w:abstractNumId w:val="8"/>
  </w:num>
  <w:num w:numId="38">
    <w:abstractNumId w:val="8"/>
  </w:num>
  <w:num w:numId="39">
    <w:abstractNumId w:val="8"/>
  </w:num>
  <w:num w:numId="40">
    <w:abstractNumId w:val="8"/>
  </w:num>
  <w:num w:numId="41">
    <w:abstractNumId w:val="12"/>
  </w:num>
  <w:num w:numId="42">
    <w:abstractNumId w:val="8"/>
  </w:num>
  <w:num w:numId="43">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isplayHorizontalDrawingGridEvery w:val="0"/>
  <w:displayVerticalDrawingGridEvery w:val="0"/>
  <w:doNotUseMarginsForDrawingGridOrigin/>
  <w:noPunctuationKerning/>
  <w:characterSpacingControl w:val="doNotCompress"/>
  <w:hdrShapeDefaults>
    <o:shapedefaults v:ext="edit" spidmax="38913"/>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Document1"/>
  </w:docVars>
  <w:rsids>
    <w:rsidRoot w:val="002F2E4B"/>
    <w:rsid w:val="000005B4"/>
    <w:rsid w:val="00002F83"/>
    <w:rsid w:val="00004D27"/>
    <w:rsid w:val="000118C8"/>
    <w:rsid w:val="00015982"/>
    <w:rsid w:val="00020755"/>
    <w:rsid w:val="00024BC4"/>
    <w:rsid w:val="0002785E"/>
    <w:rsid w:val="00032105"/>
    <w:rsid w:val="00035BD6"/>
    <w:rsid w:val="0005104A"/>
    <w:rsid w:val="00062328"/>
    <w:rsid w:val="00066337"/>
    <w:rsid w:val="00075E11"/>
    <w:rsid w:val="000840E0"/>
    <w:rsid w:val="00086143"/>
    <w:rsid w:val="000B538F"/>
    <w:rsid w:val="000D14A1"/>
    <w:rsid w:val="000E147B"/>
    <w:rsid w:val="000E4355"/>
    <w:rsid w:val="000E7CBF"/>
    <w:rsid w:val="000F7F65"/>
    <w:rsid w:val="00102CA2"/>
    <w:rsid w:val="001035A6"/>
    <w:rsid w:val="001058FB"/>
    <w:rsid w:val="00107B37"/>
    <w:rsid w:val="001111A9"/>
    <w:rsid w:val="00116E6E"/>
    <w:rsid w:val="00121510"/>
    <w:rsid w:val="00142FBA"/>
    <w:rsid w:val="00156E44"/>
    <w:rsid w:val="00182A2B"/>
    <w:rsid w:val="00187163"/>
    <w:rsid w:val="00187E93"/>
    <w:rsid w:val="00194CDD"/>
    <w:rsid w:val="001A0EA9"/>
    <w:rsid w:val="001A2C26"/>
    <w:rsid w:val="001B08C3"/>
    <w:rsid w:val="001C7CC8"/>
    <w:rsid w:val="001D52AC"/>
    <w:rsid w:val="001D5EC8"/>
    <w:rsid w:val="001E2914"/>
    <w:rsid w:val="001E2994"/>
    <w:rsid w:val="001E2B97"/>
    <w:rsid w:val="001F3347"/>
    <w:rsid w:val="002003A2"/>
    <w:rsid w:val="00200C8B"/>
    <w:rsid w:val="00203A5B"/>
    <w:rsid w:val="00214489"/>
    <w:rsid w:val="0023387E"/>
    <w:rsid w:val="00241792"/>
    <w:rsid w:val="002437A8"/>
    <w:rsid w:val="00247390"/>
    <w:rsid w:val="00247A10"/>
    <w:rsid w:val="00247BAD"/>
    <w:rsid w:val="00267805"/>
    <w:rsid w:val="002715CF"/>
    <w:rsid w:val="00291672"/>
    <w:rsid w:val="00294606"/>
    <w:rsid w:val="00294C4C"/>
    <w:rsid w:val="002963ED"/>
    <w:rsid w:val="002C10C3"/>
    <w:rsid w:val="002C41BC"/>
    <w:rsid w:val="002C78E5"/>
    <w:rsid w:val="002D2279"/>
    <w:rsid w:val="002E30A0"/>
    <w:rsid w:val="002F040E"/>
    <w:rsid w:val="002F2E4B"/>
    <w:rsid w:val="002F6378"/>
    <w:rsid w:val="00302026"/>
    <w:rsid w:val="003074F2"/>
    <w:rsid w:val="00307640"/>
    <w:rsid w:val="00330BFA"/>
    <w:rsid w:val="003329FE"/>
    <w:rsid w:val="00336BAF"/>
    <w:rsid w:val="0033743C"/>
    <w:rsid w:val="00342BDE"/>
    <w:rsid w:val="00354D61"/>
    <w:rsid w:val="00363AF2"/>
    <w:rsid w:val="003A7E7A"/>
    <w:rsid w:val="003A7FA4"/>
    <w:rsid w:val="003B0B7F"/>
    <w:rsid w:val="003B341E"/>
    <w:rsid w:val="003D4450"/>
    <w:rsid w:val="003D7370"/>
    <w:rsid w:val="003F1F00"/>
    <w:rsid w:val="0040027E"/>
    <w:rsid w:val="0040360F"/>
    <w:rsid w:val="004072BB"/>
    <w:rsid w:val="00407A7E"/>
    <w:rsid w:val="00407B14"/>
    <w:rsid w:val="0041501A"/>
    <w:rsid w:val="00435A2A"/>
    <w:rsid w:val="00441A78"/>
    <w:rsid w:val="00454ED5"/>
    <w:rsid w:val="00471D52"/>
    <w:rsid w:val="004724A3"/>
    <w:rsid w:val="004741F1"/>
    <w:rsid w:val="004912EA"/>
    <w:rsid w:val="00493D5E"/>
    <w:rsid w:val="00494D66"/>
    <w:rsid w:val="004961A4"/>
    <w:rsid w:val="004A23B2"/>
    <w:rsid w:val="004A79B7"/>
    <w:rsid w:val="004B15AE"/>
    <w:rsid w:val="004C434A"/>
    <w:rsid w:val="004D2C5A"/>
    <w:rsid w:val="004D34CD"/>
    <w:rsid w:val="004E3A84"/>
    <w:rsid w:val="004F042D"/>
    <w:rsid w:val="004F7CD6"/>
    <w:rsid w:val="00504E50"/>
    <w:rsid w:val="00505444"/>
    <w:rsid w:val="00505D6D"/>
    <w:rsid w:val="00512557"/>
    <w:rsid w:val="00515C22"/>
    <w:rsid w:val="00543A22"/>
    <w:rsid w:val="00544FF9"/>
    <w:rsid w:val="005454EA"/>
    <w:rsid w:val="00547439"/>
    <w:rsid w:val="0055038D"/>
    <w:rsid w:val="005745CF"/>
    <w:rsid w:val="005827F2"/>
    <w:rsid w:val="00585701"/>
    <w:rsid w:val="0059643D"/>
    <w:rsid w:val="005A33E8"/>
    <w:rsid w:val="005B4B2A"/>
    <w:rsid w:val="005C412C"/>
    <w:rsid w:val="005D449F"/>
    <w:rsid w:val="005D7BDF"/>
    <w:rsid w:val="005D7C33"/>
    <w:rsid w:val="005E537F"/>
    <w:rsid w:val="005F1CD3"/>
    <w:rsid w:val="006017DF"/>
    <w:rsid w:val="006025DF"/>
    <w:rsid w:val="00603A21"/>
    <w:rsid w:val="006068A5"/>
    <w:rsid w:val="006148DE"/>
    <w:rsid w:val="006229CF"/>
    <w:rsid w:val="00624038"/>
    <w:rsid w:val="006439EF"/>
    <w:rsid w:val="00646279"/>
    <w:rsid w:val="00647B63"/>
    <w:rsid w:val="006516A3"/>
    <w:rsid w:val="00651EC8"/>
    <w:rsid w:val="006531C0"/>
    <w:rsid w:val="006644F3"/>
    <w:rsid w:val="006739CA"/>
    <w:rsid w:val="0068014F"/>
    <w:rsid w:val="00681ED5"/>
    <w:rsid w:val="006829EB"/>
    <w:rsid w:val="006A1ADB"/>
    <w:rsid w:val="006A3250"/>
    <w:rsid w:val="006A76CF"/>
    <w:rsid w:val="006A7FE8"/>
    <w:rsid w:val="006B1713"/>
    <w:rsid w:val="006B6B3F"/>
    <w:rsid w:val="006D547D"/>
    <w:rsid w:val="006E05A8"/>
    <w:rsid w:val="006E0FAD"/>
    <w:rsid w:val="006E7809"/>
    <w:rsid w:val="006F41C9"/>
    <w:rsid w:val="00706C47"/>
    <w:rsid w:val="00707202"/>
    <w:rsid w:val="007201F8"/>
    <w:rsid w:val="00721873"/>
    <w:rsid w:val="007277DA"/>
    <w:rsid w:val="00742F7A"/>
    <w:rsid w:val="007434A9"/>
    <w:rsid w:val="00745593"/>
    <w:rsid w:val="007471DC"/>
    <w:rsid w:val="00751441"/>
    <w:rsid w:val="00764831"/>
    <w:rsid w:val="00770A9D"/>
    <w:rsid w:val="007746FD"/>
    <w:rsid w:val="00790564"/>
    <w:rsid w:val="00795A86"/>
    <w:rsid w:val="00796F28"/>
    <w:rsid w:val="007A2A00"/>
    <w:rsid w:val="007B4139"/>
    <w:rsid w:val="007C1793"/>
    <w:rsid w:val="007D00B2"/>
    <w:rsid w:val="008033E3"/>
    <w:rsid w:val="00814CF0"/>
    <w:rsid w:val="00821B06"/>
    <w:rsid w:val="008570EC"/>
    <w:rsid w:val="008634DB"/>
    <w:rsid w:val="008A0D47"/>
    <w:rsid w:val="008A667F"/>
    <w:rsid w:val="008F79E2"/>
    <w:rsid w:val="009022B2"/>
    <w:rsid w:val="00913770"/>
    <w:rsid w:val="00916084"/>
    <w:rsid w:val="00917F50"/>
    <w:rsid w:val="0092382F"/>
    <w:rsid w:val="009245FA"/>
    <w:rsid w:val="0092543C"/>
    <w:rsid w:val="00933541"/>
    <w:rsid w:val="00934D82"/>
    <w:rsid w:val="00945C4A"/>
    <w:rsid w:val="00950B1E"/>
    <w:rsid w:val="00952366"/>
    <w:rsid w:val="009575BE"/>
    <w:rsid w:val="00962798"/>
    <w:rsid w:val="0096371D"/>
    <w:rsid w:val="00971AF6"/>
    <w:rsid w:val="00977B66"/>
    <w:rsid w:val="00981375"/>
    <w:rsid w:val="009835AD"/>
    <w:rsid w:val="00995C84"/>
    <w:rsid w:val="009A61D9"/>
    <w:rsid w:val="009B2A85"/>
    <w:rsid w:val="009C1277"/>
    <w:rsid w:val="009D4DA7"/>
    <w:rsid w:val="009F1243"/>
    <w:rsid w:val="009F2497"/>
    <w:rsid w:val="009F32CC"/>
    <w:rsid w:val="009F5920"/>
    <w:rsid w:val="00A10BE5"/>
    <w:rsid w:val="00A12BA2"/>
    <w:rsid w:val="00A34980"/>
    <w:rsid w:val="00A34DDD"/>
    <w:rsid w:val="00A36B2F"/>
    <w:rsid w:val="00A41497"/>
    <w:rsid w:val="00A43D05"/>
    <w:rsid w:val="00A446DA"/>
    <w:rsid w:val="00A4598A"/>
    <w:rsid w:val="00A53505"/>
    <w:rsid w:val="00A573F5"/>
    <w:rsid w:val="00A57788"/>
    <w:rsid w:val="00A648F9"/>
    <w:rsid w:val="00A73D2F"/>
    <w:rsid w:val="00A84DF9"/>
    <w:rsid w:val="00A9404E"/>
    <w:rsid w:val="00AA5E6D"/>
    <w:rsid w:val="00AA797E"/>
    <w:rsid w:val="00AB0264"/>
    <w:rsid w:val="00AB0270"/>
    <w:rsid w:val="00AC1261"/>
    <w:rsid w:val="00AF1C87"/>
    <w:rsid w:val="00AF2397"/>
    <w:rsid w:val="00AF40FA"/>
    <w:rsid w:val="00B10968"/>
    <w:rsid w:val="00B20360"/>
    <w:rsid w:val="00B34BF2"/>
    <w:rsid w:val="00B36DAD"/>
    <w:rsid w:val="00B42849"/>
    <w:rsid w:val="00B631F4"/>
    <w:rsid w:val="00B80E16"/>
    <w:rsid w:val="00B830E3"/>
    <w:rsid w:val="00B842B5"/>
    <w:rsid w:val="00BA6567"/>
    <w:rsid w:val="00BB0306"/>
    <w:rsid w:val="00BC16BD"/>
    <w:rsid w:val="00BC3DB4"/>
    <w:rsid w:val="00BC3FEC"/>
    <w:rsid w:val="00BC4472"/>
    <w:rsid w:val="00BC5837"/>
    <w:rsid w:val="00BD2E29"/>
    <w:rsid w:val="00BE43FF"/>
    <w:rsid w:val="00BE4A08"/>
    <w:rsid w:val="00BF2370"/>
    <w:rsid w:val="00BF3008"/>
    <w:rsid w:val="00C0523F"/>
    <w:rsid w:val="00C07009"/>
    <w:rsid w:val="00C12A07"/>
    <w:rsid w:val="00C22230"/>
    <w:rsid w:val="00C262E1"/>
    <w:rsid w:val="00C375B7"/>
    <w:rsid w:val="00C42082"/>
    <w:rsid w:val="00C50187"/>
    <w:rsid w:val="00C51307"/>
    <w:rsid w:val="00C56396"/>
    <w:rsid w:val="00C635BE"/>
    <w:rsid w:val="00C6526D"/>
    <w:rsid w:val="00C717A5"/>
    <w:rsid w:val="00C80E32"/>
    <w:rsid w:val="00C81FE0"/>
    <w:rsid w:val="00C82BD7"/>
    <w:rsid w:val="00C91650"/>
    <w:rsid w:val="00CA279B"/>
    <w:rsid w:val="00CA56BF"/>
    <w:rsid w:val="00CB0646"/>
    <w:rsid w:val="00CB6608"/>
    <w:rsid w:val="00CB7234"/>
    <w:rsid w:val="00CC142D"/>
    <w:rsid w:val="00CC490D"/>
    <w:rsid w:val="00CC56C5"/>
    <w:rsid w:val="00CC729F"/>
    <w:rsid w:val="00CE00AF"/>
    <w:rsid w:val="00CE538C"/>
    <w:rsid w:val="00CF5BEE"/>
    <w:rsid w:val="00CF6855"/>
    <w:rsid w:val="00D0008F"/>
    <w:rsid w:val="00D02B00"/>
    <w:rsid w:val="00D06DDD"/>
    <w:rsid w:val="00D07BC2"/>
    <w:rsid w:val="00D11F62"/>
    <w:rsid w:val="00D20341"/>
    <w:rsid w:val="00D256AB"/>
    <w:rsid w:val="00D32F29"/>
    <w:rsid w:val="00D35988"/>
    <w:rsid w:val="00D444C9"/>
    <w:rsid w:val="00D4618E"/>
    <w:rsid w:val="00D54358"/>
    <w:rsid w:val="00D57F78"/>
    <w:rsid w:val="00D6755A"/>
    <w:rsid w:val="00DA5513"/>
    <w:rsid w:val="00DB7997"/>
    <w:rsid w:val="00DC2689"/>
    <w:rsid w:val="00DC754F"/>
    <w:rsid w:val="00DE6AFD"/>
    <w:rsid w:val="00E01998"/>
    <w:rsid w:val="00E030CA"/>
    <w:rsid w:val="00E0497C"/>
    <w:rsid w:val="00E10526"/>
    <w:rsid w:val="00E11209"/>
    <w:rsid w:val="00E128C1"/>
    <w:rsid w:val="00E13254"/>
    <w:rsid w:val="00E16D60"/>
    <w:rsid w:val="00E230CA"/>
    <w:rsid w:val="00E257BF"/>
    <w:rsid w:val="00E35E8A"/>
    <w:rsid w:val="00E41C6F"/>
    <w:rsid w:val="00E47F0D"/>
    <w:rsid w:val="00E60799"/>
    <w:rsid w:val="00E62F59"/>
    <w:rsid w:val="00E65369"/>
    <w:rsid w:val="00E8238E"/>
    <w:rsid w:val="00E845AB"/>
    <w:rsid w:val="00E86B10"/>
    <w:rsid w:val="00E93536"/>
    <w:rsid w:val="00EC4056"/>
    <w:rsid w:val="00EE1D15"/>
    <w:rsid w:val="00EF0E21"/>
    <w:rsid w:val="00EF2E41"/>
    <w:rsid w:val="00EF595A"/>
    <w:rsid w:val="00EF7BD7"/>
    <w:rsid w:val="00F02581"/>
    <w:rsid w:val="00F0458D"/>
    <w:rsid w:val="00F05548"/>
    <w:rsid w:val="00F10414"/>
    <w:rsid w:val="00F128DC"/>
    <w:rsid w:val="00F14B39"/>
    <w:rsid w:val="00F2227A"/>
    <w:rsid w:val="00F266CD"/>
    <w:rsid w:val="00F32870"/>
    <w:rsid w:val="00F411D4"/>
    <w:rsid w:val="00F42DA1"/>
    <w:rsid w:val="00F432B1"/>
    <w:rsid w:val="00F571FC"/>
    <w:rsid w:val="00F635A0"/>
    <w:rsid w:val="00F80A7E"/>
    <w:rsid w:val="00F83883"/>
    <w:rsid w:val="00F85E5C"/>
    <w:rsid w:val="00F94658"/>
    <w:rsid w:val="00F95400"/>
    <w:rsid w:val="00FA3410"/>
    <w:rsid w:val="00FB349B"/>
    <w:rsid w:val="00FB37A2"/>
    <w:rsid w:val="00FC0485"/>
    <w:rsid w:val="00FC7E80"/>
    <w:rsid w:val="00FF61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link w:val="Heading4Char"/>
    <w:autoRedefine/>
    <w:qFormat/>
    <w:rsid w:val="000B538F"/>
    <w:pPr>
      <w:keepNext/>
      <w:spacing w:before="120" w:after="120"/>
      <w:outlineLvl w:val="3"/>
    </w:pPr>
    <w:rPr>
      <w:rFonts w:ascii="Arial" w:eastAsiaTheme="minorEastAsia" w:hAnsi="Arial" w:cstheme="minorBidi"/>
      <w:b/>
      <w:bCs/>
      <w:szCs w:val="28"/>
    </w:rPr>
  </w:style>
  <w:style w:type="paragraph" w:styleId="Heading5">
    <w:name w:val="heading 5"/>
    <w:basedOn w:val="Normal"/>
    <w:next w:val="Normal"/>
    <w:link w:val="Heading5Char"/>
    <w:autoRedefine/>
    <w:rsid w:val="000B538F"/>
    <w:pPr>
      <w:spacing w:before="120" w:after="120"/>
      <w:outlineLvl w:val="4"/>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basedOn w:val="DefaultParagraphFont"/>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pPr>
      <w:numPr>
        <w:numId w:val="4"/>
      </w:numPr>
    </w:pPr>
  </w:style>
  <w:style w:type="character" w:styleId="FootnoteReference">
    <w:name w:val="footnote reference"/>
    <w:basedOn w:val="DefaultParagraphFont"/>
    <w:rPr>
      <w:rFonts w:ascii="Times New Roman" w:hAnsi="Times New Roman"/>
      <w:sz w:val="18"/>
      <w:vertAlign w:val="superscript"/>
    </w:rPr>
  </w:style>
  <w:style w:type="paragraph" w:styleId="FootnoteText">
    <w:name w:val="footnote text"/>
    <w:basedOn w:val="Normal"/>
    <w:link w:val="FootnoteTextChar"/>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qFormat/>
    <w:rsid w:val="00A4598A"/>
    <w:pPr>
      <w:numPr>
        <w:numId w:val="1"/>
      </w:numPr>
      <w:tabs>
        <w:tab w:val="clear" w:pos="502"/>
        <w:tab w:val="num" w:pos="360"/>
      </w:tabs>
      <w:spacing w:before="120" w:after="120"/>
      <w:ind w:left="360"/>
    </w:pPr>
    <w:rPr>
      <w:rFonts w:ascii="Arial" w:hAnsi="Arial"/>
      <w:sz w:val="22"/>
      <w:szCs w:val="22"/>
    </w:rPr>
  </w:style>
  <w:style w:type="paragraph" w:styleId="ListParagraph">
    <w:name w:val="List Paragraph"/>
    <w:basedOn w:val="ListBullet"/>
    <w:uiPriority w:val="34"/>
    <w:qFormat/>
    <w:rsid w:val="00F80A7E"/>
    <w:pPr>
      <w:keepLines/>
      <w:spacing w:after="120"/>
    </w:pPr>
    <w:rPr>
      <w:rFonts w:ascii="Arial" w:hAnsi="Arial" w:cs="Arial"/>
      <w:sz w:val="22"/>
      <w:szCs w:val="22"/>
    </w:rPr>
  </w:style>
  <w:style w:type="character" w:customStyle="1" w:styleId="FooterChar">
    <w:name w:val="Footer Char"/>
    <w:basedOn w:val="DefaultParagraphFont"/>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rsid w:val="00981375"/>
    <w:pPr>
      <w:numPr>
        <w:numId w:val="6"/>
      </w:numPr>
      <w:spacing w:after="240"/>
    </w:pPr>
    <w:rPr>
      <w:rFonts w:ascii="Arial" w:hAnsi="Arial" w:cs="Arial"/>
      <w:sz w:val="22"/>
      <w:szCs w:val="22"/>
      <w:lang w:eastAsia="en-US"/>
    </w:rPr>
  </w:style>
  <w:style w:type="character" w:customStyle="1" w:styleId="FootnoteTextChar">
    <w:name w:val="Footnote Text Char"/>
    <w:link w:val="FootnoteText"/>
    <w:rsid w:val="00981375"/>
    <w:rPr>
      <w:szCs w:val="24"/>
    </w:rPr>
  </w:style>
  <w:style w:type="character" w:customStyle="1" w:styleId="NormalParagraphChar">
    <w:name w:val="Normal Paragraph Char"/>
    <w:link w:val="NormalParagraph"/>
    <w:rsid w:val="005C412C"/>
    <w:rPr>
      <w:rFonts w:ascii="Arial" w:hAnsi="Arial"/>
      <w:sz w:val="22"/>
      <w:szCs w:val="22"/>
    </w:rPr>
  </w:style>
  <w:style w:type="character" w:styleId="Hyperlink">
    <w:name w:val="Hyperlink"/>
    <w:rsid w:val="003D4450"/>
    <w:rPr>
      <w:color w:val="0000FF"/>
      <w:u w:val="single"/>
    </w:rPr>
  </w:style>
  <w:style w:type="paragraph" w:customStyle="1" w:styleId="Bulletpoint">
    <w:name w:val="Bullet point"/>
    <w:basedOn w:val="ListParagraph"/>
    <w:qFormat/>
    <w:rsid w:val="00354D61"/>
    <w:pPr>
      <w:ind w:left="720" w:firstLine="0"/>
    </w:pPr>
  </w:style>
  <w:style w:type="paragraph" w:styleId="NormalWeb">
    <w:name w:val="Normal (Web)"/>
    <w:basedOn w:val="Normal"/>
    <w:uiPriority w:val="99"/>
    <w:unhideWhenUsed/>
    <w:rsid w:val="00D6755A"/>
    <w:pPr>
      <w:spacing w:before="100" w:beforeAutospacing="1" w:after="100" w:afterAutospacing="1"/>
    </w:pPr>
  </w:style>
  <w:style w:type="character" w:customStyle="1" w:styleId="CommentTextChar">
    <w:name w:val="Comment Text Char"/>
    <w:link w:val="CommentText"/>
    <w:semiHidden/>
    <w:rsid w:val="006F41C9"/>
  </w:style>
  <w:style w:type="character" w:customStyle="1" w:styleId="Heading4Char">
    <w:name w:val="Heading 4 Char"/>
    <w:basedOn w:val="DefaultParagraphFont"/>
    <w:link w:val="Heading4"/>
    <w:rsid w:val="000B538F"/>
    <w:rPr>
      <w:rFonts w:ascii="Arial" w:eastAsiaTheme="minorEastAsia" w:hAnsi="Arial" w:cstheme="minorBidi"/>
      <w:b/>
      <w:bCs/>
      <w:sz w:val="24"/>
      <w:szCs w:val="28"/>
    </w:rPr>
  </w:style>
  <w:style w:type="paragraph" w:customStyle="1" w:styleId="Style1">
    <w:name w:val="Style1"/>
    <w:basedOn w:val="Heading5"/>
    <w:link w:val="Style1Char"/>
    <w:qFormat/>
    <w:rsid w:val="000B538F"/>
  </w:style>
  <w:style w:type="character" w:customStyle="1" w:styleId="Heading5Char">
    <w:name w:val="Heading 5 Char"/>
    <w:basedOn w:val="DefaultParagraphFont"/>
    <w:link w:val="Heading5"/>
    <w:rsid w:val="000B538F"/>
    <w:rPr>
      <w:rFonts w:ascii="Arial" w:hAnsi="Arial"/>
      <w:i/>
      <w:sz w:val="24"/>
      <w:szCs w:val="24"/>
    </w:rPr>
  </w:style>
  <w:style w:type="character" w:customStyle="1" w:styleId="Style1Char">
    <w:name w:val="Style1 Char"/>
    <w:basedOn w:val="Heading5Char"/>
    <w:link w:val="Style1"/>
    <w:rsid w:val="000B538F"/>
    <w:rPr>
      <w:rFonts w:ascii="Arial" w:hAnsi="Arial"/>
      <w: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172760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ccc.gov.au"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www.jva-fence.com.au/contac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F3F5EA86.dotm</Template>
  <TotalTime>0</TotalTime>
  <Pages>12</Pages>
  <Words>4738</Words>
  <Characters>26917</Characters>
  <Application>Microsoft Office Word</Application>
  <DocSecurity>0</DocSecurity>
  <Lines>224</Lines>
  <Paragraphs>63</Paragraphs>
  <ScaleCrop>false</ScaleCrop>
  <Company/>
  <LinksUpToDate>false</LinksUpToDate>
  <CharactersWithSpaces>31592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2014-07-14T04:53:00Z</dcterms:created>
  <dcterms:modified xsi:type="dcterms:W3CDTF">2014-07-14T04:53:00Z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8135195</vt:lpwstr>
  </property>
</Properties>
</file>