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01FE08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8177F">
            <w:t>APEM Group</w:t>
          </w:r>
          <w:r w:rsidR="008C09AC" w:rsidRPr="00D430AE">
            <w:t xml:space="preserve"> </w:t>
          </w:r>
          <w:r w:rsidR="005D1F96">
            <w:t>-</w:t>
          </w:r>
          <w:r w:rsidR="00A23FD3" w:rsidRPr="00D430AE">
            <w:t xml:space="preserve"> </w:t>
          </w:r>
          <w:r w:rsidR="0098177F">
            <w:t>Resource Strategies</w:t>
          </w:r>
        </w:p>
        <w:p w14:paraId="3B287C00" w14:textId="65F6A4B8" w:rsidR="00A23FD3" w:rsidRPr="004B7D1A" w:rsidRDefault="004B7D1A" w:rsidP="00A23FD3">
          <w:pPr>
            <w:pStyle w:val="Titlepagefilenumber"/>
            <w:jc w:val="left"/>
            <w:rPr>
              <w:rFonts w:asciiTheme="minorHAnsi" w:hAnsiTheme="minorHAnsi"/>
              <w:lang w:val="en-US"/>
            </w:rPr>
          </w:pPr>
          <w:r w:rsidRPr="004B7D1A">
            <w:rPr>
              <w:rFonts w:asciiTheme="minorHAnsi" w:hAnsiTheme="minorHAnsi"/>
            </w:rPr>
            <w:t>MN-85049</w:t>
          </w:r>
        </w:p>
        <w:p w14:paraId="51182443" w14:textId="2A4290A2" w:rsidR="00AC62DE" w:rsidRPr="00D430AE" w:rsidRDefault="0048658D" w:rsidP="00A23FD3">
          <w:pPr>
            <w:pStyle w:val="Heading2"/>
            <w:spacing w:before="240" w:after="240"/>
            <w:rPr>
              <w:highlight w:val="yellow"/>
            </w:rPr>
          </w:pPr>
          <w:r w:rsidRPr="00D430AE">
            <w:t>Deadline to respond:</w:t>
          </w:r>
          <w:r w:rsidR="000961FB">
            <w:t xml:space="preserve"> 1</w:t>
          </w:r>
          <w:r w:rsidR="002D37D5">
            <w:t>3</w:t>
          </w:r>
          <w:r w:rsidR="000961FB">
            <w:t xml:space="preserve"> October 2026</w:t>
          </w:r>
        </w:p>
        <w:p w14:paraId="04AEE6CD" w14:textId="5FBE6034" w:rsidR="00C23A8B"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2D56CB" w:rsidRPr="00D430AE">
            <w:rPr>
              <w:rFonts w:asciiTheme="minorHAnsi" w:hAnsiTheme="minorHAnsi"/>
              <w:bCs/>
              <w:highlight w:val="yellow"/>
            </w:rPr>
            <w:t xml:space="preserve"> </w:t>
          </w:r>
          <w:r w:rsidR="004B7D1A" w:rsidRPr="00941E44">
            <w:rPr>
              <w:rFonts w:asciiTheme="minorHAnsi" w:hAnsiTheme="minorHAnsi"/>
              <w:bCs/>
            </w:rPr>
            <w:t>APEM Group Pty Ltd’s (</w:t>
          </w:r>
          <w:r w:rsidR="004B7D1A" w:rsidRPr="00941E44">
            <w:rPr>
              <w:rFonts w:asciiTheme="minorHAnsi" w:hAnsiTheme="minorHAnsi"/>
              <w:b/>
            </w:rPr>
            <w:t>APEM</w:t>
          </w:r>
          <w:r w:rsidR="004B7D1A" w:rsidRPr="00941E44">
            <w:rPr>
              <w:rFonts w:asciiTheme="minorHAnsi" w:hAnsiTheme="minorHAnsi"/>
              <w:bCs/>
            </w:rPr>
            <w:t>) proposed acquisition of 100% of the issued share capital in Resource Strategies Pty. Ltd. (</w:t>
          </w:r>
          <w:r w:rsidR="004B7D1A" w:rsidRPr="00941E44">
            <w:rPr>
              <w:rFonts w:asciiTheme="minorHAnsi" w:hAnsiTheme="minorHAnsi"/>
              <w:b/>
            </w:rPr>
            <w:t>Resource Strategies</w:t>
          </w:r>
          <w:r w:rsidR="004B7D1A" w:rsidRPr="00941E44">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42FF74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961FB" w:rsidRPr="00C0122A">
            <w:rPr>
              <w:rFonts w:asciiTheme="minorHAnsi" w:hAnsiTheme="minorHAnsi"/>
              <w:b/>
              <w:bCs/>
            </w:rPr>
            <w:t>1</w:t>
          </w:r>
          <w:r w:rsidR="009B73DF">
            <w:rPr>
              <w:rFonts w:asciiTheme="minorHAnsi" w:hAnsiTheme="minorHAnsi"/>
              <w:b/>
              <w:bCs/>
            </w:rPr>
            <w:t>3</w:t>
          </w:r>
          <w:r w:rsidR="000961FB" w:rsidRPr="00C0122A">
            <w:rPr>
              <w:rFonts w:asciiTheme="minorHAnsi" w:hAnsiTheme="minorHAnsi"/>
              <w:b/>
              <w:bCs/>
            </w:rPr>
            <w:t xml:space="preserve">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41E44">
            <w:rPr>
              <w:rFonts w:asciiTheme="minorHAnsi" w:hAnsiTheme="minorHAnsi"/>
              <w:i/>
              <w:iCs/>
            </w:rPr>
            <w:t xml:space="preserve">APEM Group </w:t>
          </w:r>
          <w:r w:rsidR="00D437E4" w:rsidRPr="00D430AE">
            <w:rPr>
              <w:rFonts w:asciiTheme="minorHAnsi" w:hAnsiTheme="minorHAnsi"/>
              <w:i/>
              <w:iCs/>
            </w:rPr>
            <w:t xml:space="preserve">– </w:t>
          </w:r>
          <w:bookmarkEnd w:id="0"/>
          <w:r w:rsidR="00941E44">
            <w:rPr>
              <w:rFonts w:asciiTheme="minorHAnsi" w:hAnsiTheme="minorHAnsi"/>
              <w:i/>
              <w:iCs/>
            </w:rPr>
            <w:t>Resource Strategies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B8DD1B8"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41E44">
            <w:rPr>
              <w:rFonts w:asciiTheme="minorHAnsi" w:hAnsiTheme="minorHAnsi"/>
              <w:i/>
              <w:iCs/>
            </w:rPr>
            <w:t>APEM</w:t>
          </w:r>
          <w:r w:rsidR="006D1B76" w:rsidRPr="00D430AE">
            <w:rPr>
              <w:rFonts w:asciiTheme="minorHAnsi" w:hAnsiTheme="minorHAnsi"/>
              <w:i/>
              <w:iCs/>
            </w:rPr>
            <w:t xml:space="preserve"> </w:t>
          </w:r>
          <w:r w:rsidR="00941E44">
            <w:rPr>
              <w:rFonts w:asciiTheme="minorHAnsi" w:hAnsiTheme="minorHAnsi"/>
              <w:i/>
              <w:iCs/>
            </w:rPr>
            <w:t xml:space="preserve">Group </w:t>
          </w:r>
          <w:r w:rsidR="006D1B76" w:rsidRPr="00D430AE">
            <w:rPr>
              <w:rFonts w:asciiTheme="minorHAnsi" w:hAnsiTheme="minorHAnsi"/>
              <w:i/>
              <w:iCs/>
            </w:rPr>
            <w:t xml:space="preserve">– </w:t>
          </w:r>
          <w:r w:rsidR="00941E44">
            <w:rPr>
              <w:rFonts w:asciiTheme="minorHAnsi" w:hAnsiTheme="minorHAnsi"/>
              <w:i/>
              <w:iCs/>
            </w:rPr>
            <w:t>Resource Strategies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30284F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CB4BAF">
            <w:rPr>
              <w:rFonts w:asciiTheme="minorHAnsi" w:hAnsiTheme="minorHAnsi"/>
              <w:sz w:val="22"/>
              <w:szCs w:val="22"/>
              <w:lang w:val="en-AU"/>
            </w:rPr>
            <w:t>APEM</w:t>
          </w:r>
          <w:r w:rsidR="00600816">
            <w:rPr>
              <w:rFonts w:asciiTheme="minorHAnsi" w:hAnsiTheme="minorHAnsi"/>
              <w:sz w:val="22"/>
              <w:szCs w:val="22"/>
              <w:lang w:val="en-AU"/>
            </w:rPr>
            <w:t xml:space="preserve"> and</w:t>
          </w:r>
          <w:r w:rsidR="007273EE">
            <w:rPr>
              <w:rFonts w:asciiTheme="minorHAnsi" w:hAnsiTheme="minorHAnsi"/>
              <w:sz w:val="22"/>
              <w:szCs w:val="22"/>
              <w:lang w:val="en-AU"/>
            </w:rPr>
            <w:t xml:space="preserve"> </w:t>
          </w:r>
          <w:r w:rsidR="00CB4BAF">
            <w:rPr>
              <w:rFonts w:asciiTheme="minorHAnsi" w:hAnsiTheme="minorHAnsi"/>
              <w:sz w:val="22"/>
              <w:szCs w:val="22"/>
              <w:lang w:val="en-AU"/>
            </w:rPr>
            <w:t xml:space="preserve">its subsidiaries (AARC, Attexo and Biosis) </w:t>
          </w:r>
          <w:r w:rsidR="00941E44">
            <w:rPr>
              <w:rFonts w:asciiTheme="minorHAnsi" w:hAnsiTheme="minorHAnsi"/>
              <w:sz w:val="22"/>
              <w:szCs w:val="22"/>
              <w:lang w:val="en-AU"/>
            </w:rPr>
            <w:t>and Resource Strategies</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31F37A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B4BAF">
            <w:rPr>
              <w:rFonts w:asciiTheme="minorHAnsi" w:hAnsiTheme="minorHAnsi"/>
              <w:sz w:val="22"/>
              <w:szCs w:val="22"/>
              <w:lang w:val="en-AU"/>
            </w:rPr>
            <w:t>APEM</w:t>
          </w:r>
          <w:r w:rsidR="00E015A4">
            <w:rPr>
              <w:rFonts w:asciiTheme="minorHAnsi" w:hAnsiTheme="minorHAnsi"/>
              <w:sz w:val="22"/>
              <w:szCs w:val="22"/>
              <w:lang w:val="en-AU"/>
            </w:rPr>
            <w:t xml:space="preserve"> and</w:t>
          </w:r>
          <w:r w:rsidR="00CB4BAF">
            <w:rPr>
              <w:rFonts w:asciiTheme="minorHAnsi" w:hAnsiTheme="minorHAnsi"/>
              <w:sz w:val="22"/>
              <w:szCs w:val="22"/>
              <w:lang w:val="en-AU"/>
            </w:rPr>
            <w:t xml:space="preserve"> its subsidiaries (AARC, Attexo and Biosis)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941E44">
            <w:rPr>
              <w:rFonts w:asciiTheme="minorHAnsi" w:hAnsiTheme="minorHAnsi"/>
              <w:sz w:val="22"/>
              <w:szCs w:val="22"/>
              <w:lang w:val="en-AU"/>
            </w:rPr>
            <w:t>Resource Strategies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A69F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1AEC6" w14:textId="77777777" w:rsidR="007A69FA" w:rsidRDefault="007A69FA" w:rsidP="004B4412">
      <w:pPr>
        <w:spacing w:before="0"/>
      </w:pPr>
      <w:r>
        <w:separator/>
      </w:r>
    </w:p>
  </w:endnote>
  <w:endnote w:type="continuationSeparator" w:id="0">
    <w:p w14:paraId="0DC7494A" w14:textId="77777777" w:rsidR="007A69FA" w:rsidRDefault="007A69FA" w:rsidP="004B4412">
      <w:pPr>
        <w:spacing w:before="0"/>
      </w:pPr>
      <w:r>
        <w:continuationSeparator/>
      </w:r>
    </w:p>
  </w:endnote>
  <w:endnote w:type="continuationNotice" w:id="1">
    <w:p w14:paraId="64AAE77F" w14:textId="77777777" w:rsidR="007A69FA" w:rsidRDefault="007A69F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338DE" w14:textId="77777777" w:rsidR="007A69FA" w:rsidRDefault="007A69FA" w:rsidP="004B4412">
      <w:pPr>
        <w:spacing w:before="0"/>
      </w:pPr>
      <w:r>
        <w:separator/>
      </w:r>
    </w:p>
  </w:footnote>
  <w:footnote w:type="continuationSeparator" w:id="0">
    <w:p w14:paraId="6DD2D7FF" w14:textId="77777777" w:rsidR="007A69FA" w:rsidRDefault="007A69FA" w:rsidP="004B4412">
      <w:pPr>
        <w:spacing w:before="0"/>
      </w:pPr>
      <w:r>
        <w:continuationSeparator/>
      </w:r>
    </w:p>
  </w:footnote>
  <w:footnote w:type="continuationNotice" w:id="1">
    <w:p w14:paraId="6084F422" w14:textId="77777777" w:rsidR="007A69FA" w:rsidRDefault="007A69F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961FB"/>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4B50"/>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37D5"/>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59D"/>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B7D1A"/>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1F96"/>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0816"/>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3EE"/>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A69FA"/>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24"/>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1E44"/>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177F"/>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3DF"/>
    <w:rsid w:val="009B74B0"/>
    <w:rsid w:val="009B7C35"/>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2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122A"/>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3A8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4B02"/>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AF"/>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15A4"/>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5EC0"/>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3E6E"/>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5"/>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691"/>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669</Words>
  <Characters>3608</Characters>
  <Application>Microsoft Office Word</Application>
  <DocSecurity>0</DocSecurity>
  <Lines>66</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Phillip Ni</cp:lastModifiedBy>
  <cp:revision>19</cp:revision>
  <cp:lastPrinted>2022-05-27T10:23:00Z</cp:lastPrinted>
  <dcterms:created xsi:type="dcterms:W3CDTF">2026-09-15T06:16:00Z</dcterms:created>
  <dcterms:modified xsi:type="dcterms:W3CDTF">2026-10-05T00:02:00Z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