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E4279E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61D04">
            <w:t>bp – bp Gateway, Port Macquarie, NSW</w:t>
          </w:r>
          <w:r w:rsidR="00A23FD3" w:rsidRPr="00D430AE">
            <w:t xml:space="preserve"> </w:t>
          </w:r>
        </w:p>
        <w:p w14:paraId="3B287C00" w14:textId="1B411320" w:rsidR="00A23FD3" w:rsidRPr="00D430AE" w:rsidRDefault="00361D04" w:rsidP="00A23FD3">
          <w:pPr>
            <w:pStyle w:val="Titlepagefilenumber"/>
            <w:jc w:val="left"/>
            <w:rPr>
              <w:rFonts w:asciiTheme="minorHAnsi" w:hAnsiTheme="minorHAnsi"/>
            </w:rPr>
          </w:pPr>
          <w:r>
            <w:rPr>
              <w:rFonts w:asciiTheme="minorHAnsi" w:hAnsiTheme="minorHAnsi"/>
            </w:rPr>
            <w:t>MN-95033</w:t>
          </w:r>
        </w:p>
        <w:p w14:paraId="51182443" w14:textId="7140B3A7" w:rsidR="00AC62DE" w:rsidRPr="00DE501B" w:rsidRDefault="0048658D" w:rsidP="00A23FD3">
          <w:pPr>
            <w:pStyle w:val="Heading2"/>
            <w:spacing w:before="240" w:after="240"/>
          </w:pPr>
          <w:r w:rsidRPr="00D430AE">
            <w:t>Deadline to respond:</w:t>
          </w:r>
          <w:r w:rsidR="00A23FD3" w:rsidRPr="00D430AE">
            <w:t xml:space="preserve"> </w:t>
          </w:r>
          <w:r w:rsidR="00DE501B" w:rsidRPr="00DE501B">
            <w:t>12</w:t>
          </w:r>
          <w:r w:rsidR="00DE501B" w:rsidRPr="00DE501B">
            <w:t xml:space="preserve"> </w:t>
          </w:r>
          <w:r w:rsidR="00361D04" w:rsidRPr="00DE501B">
            <w:t>August 2026</w:t>
          </w:r>
        </w:p>
        <w:p w14:paraId="3F14D913" w14:textId="62EBEC1E" w:rsidR="00361D04" w:rsidRPr="00C07FC6" w:rsidRDefault="00361D04" w:rsidP="00361D04">
          <w:r w:rsidRPr="00361D04">
            <w:rPr>
              <w:rFonts w:asciiTheme="minorHAnsi" w:hAnsiTheme="minorHAnsi"/>
            </w:rPr>
            <w:t>The Australian Competition and Consumer Commission (</w:t>
          </w:r>
          <w:r w:rsidRPr="00361D04">
            <w:rPr>
              <w:rFonts w:asciiTheme="minorHAnsi" w:hAnsiTheme="minorHAnsi"/>
              <w:b/>
              <w:bCs/>
            </w:rPr>
            <w:t>ACCC</w:t>
          </w:r>
          <w:r w:rsidRPr="00361D04">
            <w:rPr>
              <w:rFonts w:asciiTheme="minorHAnsi" w:hAnsiTheme="minorHAnsi"/>
            </w:rPr>
            <w:t xml:space="preserve">) is currently assessing BP Australia Pty </w:t>
          </w:r>
          <w:proofErr w:type="spellStart"/>
          <w:r w:rsidRPr="00361D04">
            <w:rPr>
              <w:rFonts w:asciiTheme="minorHAnsi" w:hAnsiTheme="minorHAnsi"/>
            </w:rPr>
            <w:t>Ltd’s</w:t>
          </w:r>
          <w:proofErr w:type="spellEnd"/>
          <w:r w:rsidRPr="00361D04">
            <w:rPr>
              <w:rFonts w:asciiTheme="minorHAnsi" w:hAnsiTheme="minorHAnsi"/>
            </w:rPr>
            <w:t xml:space="preserve"> (</w:t>
          </w:r>
          <w:r w:rsidRPr="00361D04">
            <w:rPr>
              <w:rFonts w:asciiTheme="minorHAnsi" w:hAnsiTheme="minorHAnsi"/>
              <w:b/>
              <w:bCs/>
            </w:rPr>
            <w:t>bp</w:t>
          </w:r>
          <w:r w:rsidRPr="00361D04">
            <w:rPr>
              <w:rFonts w:asciiTheme="minorHAnsi" w:hAnsiTheme="minorHAnsi"/>
            </w:rPr>
            <w:t>) proposed acquisition of the assets (equipment, stock and goodwill) comprising the business of a service station located at The Gateway Services Centre, Corner of Pacific Highway and Oxley Highway, Port Macquarie (</w:t>
          </w:r>
          <w:r w:rsidRPr="00361D04">
            <w:rPr>
              <w:rFonts w:asciiTheme="minorHAnsi" w:hAnsiTheme="minorHAnsi"/>
              <w:b/>
              <w:bCs/>
            </w:rPr>
            <w:t>bp Gateway</w:t>
          </w:r>
          <w:r w:rsidRPr="00361D04">
            <w:rPr>
              <w:rFonts w:asciiTheme="minorHAnsi" w:hAnsiTheme="minorHAnsi"/>
            </w:rPr>
            <w:t>) from M. &amp; H.J. Webb Pty Ltd (</w:t>
          </w:r>
          <w:r w:rsidRPr="00DE501B">
            <w:rPr>
              <w:rFonts w:asciiTheme="minorHAnsi" w:hAnsiTheme="minorHAnsi"/>
              <w:b/>
              <w:bCs/>
            </w:rPr>
            <w:t>Webbs Petroleum</w:t>
          </w:r>
          <w:r w:rsidRPr="00361D04">
            <w:rPr>
              <w:rFonts w:asciiTheme="minorHAnsi" w:hAnsiTheme="minorHAnsi"/>
            </w:rPr>
            <w:t>) (</w:t>
          </w:r>
          <w:r w:rsidRPr="00361D04">
            <w:rPr>
              <w:rFonts w:asciiTheme="minorHAnsi" w:hAnsiTheme="minorHAnsi"/>
              <w:b/>
              <w:bCs/>
            </w:rPr>
            <w:t>the Acquisition</w:t>
          </w:r>
          <w:r w:rsidRPr="00361D04">
            <w:rPr>
              <w:rFonts w:asciiTheme="minorHAnsi" w:hAnsiTheme="minorHAnsi"/>
            </w:rPr>
            <w:t xml:space="preserve">). </w:t>
          </w:r>
          <w:r w:rsidR="00C07FC6" w:rsidRPr="00C07FC6">
            <w:rPr>
              <w:rFonts w:asciiTheme="minorHAnsi" w:hAnsiTheme="minorHAnsi"/>
            </w:rPr>
            <w:t>bp Gateway is currently operated as a dealer owned and operated bp-branded site. Following the Acquisition, bp Gateway is intended to be operated by bp as a company owned and operated site.</w:t>
          </w:r>
        </w:p>
        <w:p w14:paraId="0FE49913" w14:textId="77777777" w:rsidR="00361D04" w:rsidRDefault="00361D04" w:rsidP="00361D04">
          <w:pPr>
            <w:rPr>
              <w:rFonts w:asciiTheme="minorHAnsi" w:hAnsiTheme="minorHAnsi"/>
            </w:rPr>
          </w:pPr>
          <w:r w:rsidRPr="00361D04">
            <w:rPr>
              <w:rFonts w:asciiTheme="minorHAnsi" w:hAnsiTheme="minorHAnsi"/>
            </w:rPr>
            <w:t>The Acquisition also involves the assignment of the lease of bp Gateway from Webbs Petroleum, the current tenant, to bp. The land on which bp Gateway operates is, and will continue to be, owned by The Gateway (Port Macquarie) Pty Ltd.</w:t>
          </w:r>
        </w:p>
        <w:p w14:paraId="2CFCC2E1" w14:textId="17AE2C42" w:rsidR="002D56CB" w:rsidRPr="00D430AE" w:rsidRDefault="00CA5FBC" w:rsidP="00361D0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BF5949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E501B" w:rsidRPr="00DE501B">
            <w:rPr>
              <w:rFonts w:asciiTheme="minorHAnsi" w:hAnsiTheme="minorHAnsi"/>
              <w:b/>
              <w:bCs/>
            </w:rPr>
            <w:t>12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61D04">
            <w:rPr>
              <w:rFonts w:asciiTheme="minorHAnsi" w:hAnsiTheme="minorHAnsi"/>
              <w:i/>
              <w:iCs/>
            </w:rPr>
            <w:t>bp – bp Gateway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9B11EC6"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361D04">
            <w:rPr>
              <w:rFonts w:asciiTheme="minorHAnsi" w:hAnsiTheme="minorHAnsi"/>
              <w:i/>
              <w:iCs/>
            </w:rPr>
            <w:t>bp – bp Gateway</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B9C62D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C1A01C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E28E5">
            <w:rPr>
              <w:rFonts w:asciiTheme="minorHAnsi" w:hAnsiTheme="minorHAnsi"/>
              <w:sz w:val="22"/>
              <w:szCs w:val="22"/>
              <w:lang w:val="en-AU"/>
            </w:rPr>
            <w:t>bp or Webbs Petroleum</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B272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98D63" w14:textId="77777777" w:rsidR="009B2726" w:rsidRDefault="009B2726" w:rsidP="004B4412">
      <w:pPr>
        <w:spacing w:before="0"/>
      </w:pPr>
      <w:r>
        <w:separator/>
      </w:r>
    </w:p>
  </w:endnote>
  <w:endnote w:type="continuationSeparator" w:id="0">
    <w:p w14:paraId="74576EAD" w14:textId="77777777" w:rsidR="009B2726" w:rsidRDefault="009B2726" w:rsidP="004B4412">
      <w:pPr>
        <w:spacing w:before="0"/>
      </w:pPr>
      <w:r>
        <w:continuationSeparator/>
      </w:r>
    </w:p>
  </w:endnote>
  <w:endnote w:type="continuationNotice" w:id="1">
    <w:p w14:paraId="353F46DA" w14:textId="77777777" w:rsidR="009B2726" w:rsidRDefault="009B272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E6103" w14:textId="77777777" w:rsidR="009B2726" w:rsidRDefault="009B2726" w:rsidP="004B4412">
      <w:pPr>
        <w:spacing w:before="0"/>
      </w:pPr>
      <w:r>
        <w:separator/>
      </w:r>
    </w:p>
  </w:footnote>
  <w:footnote w:type="continuationSeparator" w:id="0">
    <w:p w14:paraId="64CAE093" w14:textId="77777777" w:rsidR="009B2726" w:rsidRDefault="009B2726" w:rsidP="004B4412">
      <w:pPr>
        <w:spacing w:before="0"/>
      </w:pPr>
      <w:r>
        <w:continuationSeparator/>
      </w:r>
    </w:p>
  </w:footnote>
  <w:footnote w:type="continuationNotice" w:id="1">
    <w:p w14:paraId="3058A79C" w14:textId="77777777" w:rsidR="009B2726" w:rsidRDefault="009B272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599"/>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1D04"/>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1EC5"/>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2E15"/>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62CA"/>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2726"/>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FC6"/>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28E5"/>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A7"/>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1B"/>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35B"/>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025"/>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714</Words>
  <Characters>3871</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Robinson</cp:lastModifiedBy>
  <cp:revision>33</cp:revision>
  <cp:lastPrinted>2022-05-27T10:23:00Z</cp:lastPrinted>
  <dcterms:created xsi:type="dcterms:W3CDTF">2026-01-14T00:35:00Z</dcterms:created>
  <dcterms:modified xsi:type="dcterms:W3CDTF">2026-08-05T01:27:00Z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