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FF623F1"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CC4755F" w:rsidR="0048658D" w:rsidRDefault="00B24A59" w:rsidP="00B24A59">
          <w:pPr>
            <w:pStyle w:val="Heading1"/>
          </w:pPr>
          <w:r>
            <w:rPr>
              <w:rFonts w:cs="Arial"/>
              <w:szCs w:val="26"/>
            </w:rPr>
            <w:t>Q</w:t>
          </w:r>
          <w:r w:rsidR="0048658D">
            <w:t>uestionnaire</w:t>
          </w:r>
          <w:r w:rsidR="00A23FD3">
            <w:t xml:space="preserve">: </w:t>
          </w:r>
          <w:r w:rsidR="00EB41FB">
            <w:t xml:space="preserve">Henkel – ATP </w:t>
          </w:r>
          <w:r w:rsidR="00956FB4">
            <w:t xml:space="preserve">Adhesives </w:t>
          </w:r>
          <w:r w:rsidR="00EB41FB">
            <w:t>Systems</w:t>
          </w:r>
        </w:p>
        <w:p w14:paraId="3B287C00" w14:textId="4991B2B2" w:rsidR="00A23FD3" w:rsidRDefault="000D097D" w:rsidP="00A23FD3">
          <w:pPr>
            <w:pStyle w:val="Titlepagefilenumber"/>
            <w:jc w:val="left"/>
          </w:pPr>
          <w:r>
            <w:t>MN</w:t>
          </w:r>
          <w:r w:rsidR="004A207B">
            <w:t>-</w:t>
          </w:r>
          <w:r>
            <w:t>40005</w:t>
          </w:r>
        </w:p>
        <w:p w14:paraId="51182443" w14:textId="5BC718A3" w:rsidR="00AC62DE" w:rsidRPr="00A23FD3" w:rsidRDefault="0048658D" w:rsidP="00A23FD3">
          <w:pPr>
            <w:pStyle w:val="Heading2"/>
            <w:spacing w:before="240" w:after="240"/>
            <w:rPr>
              <w:highlight w:val="yellow"/>
            </w:rPr>
          </w:pPr>
          <w:r w:rsidRPr="00945188">
            <w:t>Deadline to respond</w:t>
          </w:r>
          <w:r w:rsidRPr="0003035A">
            <w:t>:</w:t>
          </w:r>
          <w:r w:rsidR="00A23FD3" w:rsidRPr="0003035A">
            <w:t xml:space="preserve"> </w:t>
          </w:r>
          <w:r w:rsidR="00B93797" w:rsidRPr="0003035A">
            <w:t>26 February 2026</w:t>
          </w:r>
        </w:p>
        <w:p w14:paraId="03108491" w14:textId="238B9D25" w:rsidR="00E772B4" w:rsidRDefault="00E772B4" w:rsidP="00E772B4">
          <w:pPr>
            <w:rPr>
              <w:bCs/>
            </w:rPr>
          </w:pPr>
          <w:r w:rsidRPr="005834AB">
            <w:t xml:space="preserve">The </w:t>
          </w:r>
          <w:r w:rsidR="001A511B" w:rsidRPr="005834AB">
            <w:t xml:space="preserve">Australian Competition </w:t>
          </w:r>
          <w:r w:rsidR="002D56CB" w:rsidRPr="005834AB">
            <w:t>and Consumer Commission (</w:t>
          </w:r>
          <w:r w:rsidR="002D56CB" w:rsidRPr="005834AB">
            <w:rPr>
              <w:b/>
              <w:bCs/>
            </w:rPr>
            <w:t>ACCC</w:t>
          </w:r>
          <w:r w:rsidR="002D56CB" w:rsidRPr="005834AB">
            <w:t xml:space="preserve">) is currently assessing </w:t>
          </w:r>
          <w:r w:rsidR="00317340" w:rsidRPr="005834AB">
            <w:rPr>
              <w:bCs/>
            </w:rPr>
            <w:t>Henkel AG &amp; Co. KGaA (</w:t>
          </w:r>
          <w:r w:rsidR="00317340" w:rsidRPr="005834AB">
            <w:rPr>
              <w:b/>
              <w:bCs/>
            </w:rPr>
            <w:t>Henkel</w:t>
          </w:r>
          <w:r w:rsidR="00317340" w:rsidRPr="005834AB">
            <w:rPr>
              <w:bCs/>
            </w:rPr>
            <w:t>)</w:t>
          </w:r>
          <w:r w:rsidR="00DD68F2">
            <w:rPr>
              <w:bCs/>
            </w:rPr>
            <w:t>’s</w:t>
          </w:r>
          <w:r w:rsidR="00317340" w:rsidRPr="005834AB">
            <w:rPr>
              <w:bCs/>
            </w:rPr>
            <w:t xml:space="preserve"> </w:t>
          </w:r>
          <w:r w:rsidR="00E50F05" w:rsidRPr="005834AB">
            <w:rPr>
              <w:bCs/>
            </w:rPr>
            <w:t xml:space="preserve">proposed </w:t>
          </w:r>
          <w:r w:rsidR="002D56CB" w:rsidRPr="005834AB">
            <w:rPr>
              <w:bCs/>
            </w:rPr>
            <w:t xml:space="preserve">acquisition of 100% of the share capital in </w:t>
          </w:r>
          <w:r w:rsidR="005834AB" w:rsidRPr="005834AB">
            <w:rPr>
              <w:bCs/>
            </w:rPr>
            <w:t xml:space="preserve">ATP Adhesives Systems Group GmbH (together with subsidiaries, </w:t>
          </w:r>
          <w:r w:rsidR="005834AB" w:rsidRPr="005834AB">
            <w:rPr>
              <w:b/>
              <w:bCs/>
            </w:rPr>
            <w:t>ATP</w:t>
          </w:r>
          <w:r w:rsidR="005834AB" w:rsidRPr="005834AB">
            <w:rPr>
              <w:bCs/>
            </w:rPr>
            <w:t xml:space="preserve">) </w:t>
          </w:r>
          <w:r w:rsidR="002D56CB" w:rsidRPr="005834AB">
            <w:rPr>
              <w:bCs/>
            </w:rPr>
            <w:t xml:space="preserve">(the </w:t>
          </w:r>
          <w:r w:rsidR="002D56CB" w:rsidRPr="005834AB">
            <w:rPr>
              <w:b/>
              <w:bCs/>
            </w:rPr>
            <w:t>Acquisition</w:t>
          </w:r>
          <w:r w:rsidR="002D56CB" w:rsidRPr="005834AB">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6D79B6D2"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B93797" w:rsidRPr="0003035A">
            <w:t>26 February</w:t>
          </w:r>
          <w:r w:rsidR="00B93797">
            <w:t xml:space="preserve"> 2026 </w:t>
          </w:r>
          <w:r w:rsidR="00CB6FED">
            <w:t>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B93797">
            <w:rPr>
              <w:i/>
              <w:iCs/>
            </w:rPr>
            <w:t xml:space="preserve">Henkel </w:t>
          </w:r>
          <w:r w:rsidR="00D437E4">
            <w:rPr>
              <w:i/>
              <w:iCs/>
            </w:rPr>
            <w:t xml:space="preserve">– </w:t>
          </w:r>
          <w:bookmarkEnd w:id="0"/>
          <w:r w:rsidR="00B93797">
            <w:rPr>
              <w:i/>
              <w:iCs/>
            </w:rPr>
            <w:t>ATP Adhesive</w:t>
          </w:r>
          <w:r w:rsidR="00956FB4">
            <w:rPr>
              <w:i/>
              <w:iCs/>
            </w:rPr>
            <w:t>s</w:t>
          </w:r>
          <w:r w:rsidR="00B93797">
            <w:rPr>
              <w:i/>
              <w:iCs/>
            </w:rPr>
            <w:t xml:space="preserve"> Systems</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3EBCD665"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B93797" w:rsidRPr="00B93797">
            <w:rPr>
              <w:i/>
              <w:iCs/>
            </w:rPr>
            <w:t>Henkel – ATP Adhesive</w:t>
          </w:r>
          <w:r w:rsidR="00956FB4">
            <w:rPr>
              <w:i/>
              <w:iCs/>
            </w:rPr>
            <w:t>s</w:t>
          </w:r>
          <w:r w:rsidR="00B93797" w:rsidRPr="00B93797">
            <w:rPr>
              <w:i/>
              <w:iCs/>
            </w:rPr>
            <w:t xml:space="preserve"> Systems</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31EE93A1"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F50375">
            <w:rPr>
              <w:rFonts w:asciiTheme="minorHAnsi" w:hAnsiTheme="minorHAnsi"/>
              <w:sz w:val="22"/>
              <w:szCs w:val="22"/>
              <w:lang w:val="en-AU"/>
            </w:rPr>
            <w:t xml:space="preserve">. Are Henkel and ATP close competitors and what alternatives </w:t>
          </w:r>
          <w:proofErr w:type="gramStart"/>
          <w:r w:rsidR="00F50375">
            <w:rPr>
              <w:rFonts w:asciiTheme="minorHAnsi" w:hAnsiTheme="minorHAnsi"/>
              <w:sz w:val="22"/>
              <w:szCs w:val="22"/>
              <w:lang w:val="en-AU"/>
            </w:rPr>
            <w:t>are</w:t>
          </w:r>
          <w:proofErr w:type="gramEnd"/>
          <w:r w:rsidR="00F50375">
            <w:rPr>
              <w:rFonts w:asciiTheme="minorHAnsi" w:hAnsiTheme="minorHAnsi"/>
              <w:sz w:val="22"/>
              <w:szCs w:val="22"/>
              <w:lang w:val="en-AU"/>
            </w:rPr>
            <w:t xml:space="preserve"> available?</w:t>
          </w:r>
        </w:p>
        <w:p w14:paraId="39BB0691" w14:textId="77777777" w:rsidR="003A40C5" w:rsidRPr="001E3CB1" w:rsidRDefault="003A40C5" w:rsidP="003A40C5">
          <w:pPr>
            <w:pStyle w:val="BoxText"/>
            <w:rPr>
              <w:rFonts w:asciiTheme="minorHAnsi" w:hAnsiTheme="minorHAnsi"/>
              <w:sz w:val="22"/>
              <w:szCs w:val="22"/>
            </w:rPr>
          </w:pPr>
        </w:p>
        <w:p w14:paraId="71BAB56B" w14:textId="59605127" w:rsidR="0003035A" w:rsidRPr="001E3CB1" w:rsidRDefault="0003035A" w:rsidP="0003035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To what extent are non-water-based pressure-sensitive adhesive (</w:t>
          </w:r>
          <w:r w:rsidRPr="00A35833">
            <w:rPr>
              <w:rFonts w:asciiTheme="minorHAnsi" w:hAnsiTheme="minorHAnsi"/>
              <w:b/>
              <w:bCs/>
              <w:sz w:val="22"/>
              <w:szCs w:val="22"/>
              <w:lang w:val="en-AU"/>
            </w:rPr>
            <w:t>PSA</w:t>
          </w:r>
          <w:r>
            <w:rPr>
              <w:rFonts w:asciiTheme="minorHAnsi" w:hAnsiTheme="minorHAnsi"/>
              <w:sz w:val="22"/>
              <w:szCs w:val="22"/>
              <w:lang w:val="en-AU"/>
            </w:rPr>
            <w:t xml:space="preserve">) tapes substitutable with water-based PSA tapes? Are there uses </w:t>
          </w:r>
          <w:r w:rsidR="00F50375">
            <w:rPr>
              <w:rFonts w:asciiTheme="minorHAnsi" w:hAnsiTheme="minorHAnsi"/>
              <w:sz w:val="22"/>
              <w:szCs w:val="22"/>
              <w:lang w:val="en-AU"/>
            </w:rPr>
            <w:t xml:space="preserve">where they are not substitutable? </w:t>
          </w:r>
        </w:p>
        <w:p w14:paraId="22CED012" w14:textId="77777777" w:rsidR="0003035A" w:rsidRPr="001E3CB1" w:rsidRDefault="0003035A" w:rsidP="0003035A">
          <w:pPr>
            <w:pStyle w:val="BoxText"/>
            <w:rPr>
              <w:rFonts w:asciiTheme="minorHAnsi" w:hAnsiTheme="minorHAnsi"/>
              <w:sz w:val="22"/>
              <w:szCs w:val="22"/>
            </w:rPr>
          </w:pPr>
        </w:p>
        <w:p w14:paraId="0E87CDFB" w14:textId="6768865C" w:rsidR="002323EB" w:rsidRPr="001E3CB1" w:rsidRDefault="007521E3" w:rsidP="002323E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Outline any concerns regarding the impact of the Acquisition on Henkel’s </w:t>
          </w:r>
          <w:r w:rsidR="00DD68F2">
            <w:rPr>
              <w:rFonts w:asciiTheme="minorHAnsi" w:hAnsiTheme="minorHAnsi"/>
              <w:sz w:val="22"/>
              <w:szCs w:val="22"/>
              <w:lang w:val="en-AU"/>
            </w:rPr>
            <w:t xml:space="preserve">potential </w:t>
          </w:r>
          <w:r>
            <w:rPr>
              <w:rFonts w:asciiTheme="minorHAnsi" w:hAnsiTheme="minorHAnsi"/>
              <w:sz w:val="22"/>
              <w:szCs w:val="22"/>
              <w:lang w:val="en-AU"/>
            </w:rPr>
            <w:t xml:space="preserve">ability </w:t>
          </w:r>
          <w:r w:rsidR="00DD68F2">
            <w:rPr>
              <w:rFonts w:asciiTheme="minorHAnsi" w:hAnsiTheme="minorHAnsi"/>
              <w:sz w:val="22"/>
              <w:szCs w:val="22"/>
              <w:lang w:val="en-AU"/>
            </w:rPr>
            <w:t xml:space="preserve">and incentive </w:t>
          </w:r>
          <w:r>
            <w:rPr>
              <w:rFonts w:asciiTheme="minorHAnsi" w:hAnsiTheme="minorHAnsi"/>
              <w:sz w:val="22"/>
              <w:szCs w:val="22"/>
              <w:lang w:val="en-AU"/>
            </w:rPr>
            <w:t xml:space="preserve">to foreclose </w:t>
          </w:r>
          <w:r w:rsidR="00DD68F2">
            <w:rPr>
              <w:rFonts w:asciiTheme="minorHAnsi" w:hAnsiTheme="minorHAnsi"/>
              <w:sz w:val="22"/>
              <w:szCs w:val="22"/>
              <w:lang w:val="en-AU"/>
            </w:rPr>
            <w:t xml:space="preserve">rival </w:t>
          </w:r>
          <w:r>
            <w:rPr>
              <w:rFonts w:asciiTheme="minorHAnsi" w:hAnsiTheme="minorHAnsi"/>
              <w:sz w:val="22"/>
              <w:szCs w:val="22"/>
              <w:lang w:val="en-AU"/>
            </w:rPr>
            <w:t xml:space="preserve">PSA tape suppliers </w:t>
          </w:r>
          <w:r w:rsidR="00C515C6">
            <w:rPr>
              <w:rFonts w:asciiTheme="minorHAnsi" w:hAnsiTheme="minorHAnsi"/>
              <w:sz w:val="22"/>
              <w:szCs w:val="22"/>
              <w:lang w:val="en-AU"/>
            </w:rPr>
            <w:t>by limiting</w:t>
          </w:r>
          <w:r>
            <w:rPr>
              <w:rFonts w:asciiTheme="minorHAnsi" w:hAnsiTheme="minorHAnsi"/>
              <w:sz w:val="22"/>
              <w:szCs w:val="22"/>
              <w:lang w:val="en-AU"/>
            </w:rPr>
            <w:t xml:space="preserve"> access to </w:t>
          </w:r>
          <w:r w:rsidR="00C515C6">
            <w:rPr>
              <w:rFonts w:asciiTheme="minorHAnsi" w:hAnsiTheme="minorHAnsi"/>
              <w:sz w:val="22"/>
              <w:szCs w:val="22"/>
              <w:lang w:val="en-AU"/>
            </w:rPr>
            <w:t>its tapes and labels (</w:t>
          </w:r>
          <w:r w:rsidRPr="00C515C6">
            <w:rPr>
              <w:rFonts w:asciiTheme="minorHAnsi" w:hAnsiTheme="minorHAnsi"/>
              <w:b/>
              <w:bCs/>
              <w:sz w:val="22"/>
              <w:szCs w:val="22"/>
              <w:lang w:val="en-AU"/>
            </w:rPr>
            <w:t>T&amp;L</w:t>
          </w:r>
          <w:r w:rsidR="00C515C6">
            <w:rPr>
              <w:rFonts w:asciiTheme="minorHAnsi" w:hAnsiTheme="minorHAnsi"/>
              <w:sz w:val="22"/>
              <w:szCs w:val="22"/>
              <w:lang w:val="en-AU"/>
            </w:rPr>
            <w:t>)</w:t>
          </w:r>
          <w:r>
            <w:rPr>
              <w:rFonts w:asciiTheme="minorHAnsi" w:hAnsiTheme="minorHAnsi"/>
              <w:sz w:val="22"/>
              <w:szCs w:val="22"/>
              <w:lang w:val="en-AU"/>
            </w:rPr>
            <w:t xml:space="preserve"> adhesives</w:t>
          </w:r>
          <w:r w:rsidR="002323EB">
            <w:rPr>
              <w:rFonts w:asciiTheme="minorHAnsi" w:hAnsiTheme="minorHAnsi"/>
              <w:sz w:val="22"/>
              <w:szCs w:val="22"/>
              <w:lang w:val="en-AU"/>
            </w:rPr>
            <w:t xml:space="preserve">? </w:t>
          </w:r>
        </w:p>
        <w:p w14:paraId="0AF5C4CB" w14:textId="77777777" w:rsidR="002323EB" w:rsidRPr="001E3CB1" w:rsidRDefault="002323EB" w:rsidP="002323EB">
          <w:pPr>
            <w:pStyle w:val="BoxText"/>
            <w:rPr>
              <w:rFonts w:asciiTheme="minorHAnsi" w:hAnsiTheme="minorHAnsi"/>
              <w:sz w:val="22"/>
              <w:szCs w:val="22"/>
            </w:rPr>
          </w:pPr>
        </w:p>
        <w:p w14:paraId="4E7D6A84" w14:textId="246283A8"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28A25E1B"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ED588B" w:rsidRPr="00ED588B">
            <w:rPr>
              <w:rFonts w:asciiTheme="minorHAnsi" w:hAnsiTheme="minorHAnsi"/>
              <w:sz w:val="22"/>
              <w:szCs w:val="22"/>
              <w:lang w:val="en-AU"/>
            </w:rPr>
            <w:t>Henkel and</w:t>
          </w:r>
          <w:r w:rsidR="00ED588B">
            <w:rPr>
              <w:rFonts w:asciiTheme="minorHAnsi" w:hAnsiTheme="minorHAnsi"/>
              <w:sz w:val="22"/>
              <w:szCs w:val="22"/>
              <w:lang w:val="en-AU"/>
            </w:rPr>
            <w:t>/or</w:t>
          </w:r>
          <w:r w:rsidR="00ED588B" w:rsidRPr="00ED588B">
            <w:rPr>
              <w:rFonts w:asciiTheme="minorHAnsi" w:hAnsiTheme="minorHAnsi"/>
              <w:sz w:val="22"/>
              <w:szCs w:val="22"/>
              <w:lang w:val="en-AU"/>
            </w:rPr>
            <w:t xml:space="preserve"> ATP</w:t>
          </w:r>
          <w:r w:rsidR="00ED588B">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64CB5194" w:rsidR="008959DD" w:rsidRDefault="00956FB4"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E4B5" w14:textId="77777777" w:rsidR="00956FB4" w:rsidRDefault="00956F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6A22" w14:textId="77777777" w:rsidR="00956FB4" w:rsidRDefault="00956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7C99" w14:textId="77777777" w:rsidR="00956FB4" w:rsidRDefault="00956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B884" w14:textId="77777777" w:rsidR="00956FB4" w:rsidRDefault="00956F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35A"/>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44A9"/>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7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4A0"/>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3EB"/>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205C"/>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5E0F"/>
    <w:rsid w:val="0031652E"/>
    <w:rsid w:val="00317340"/>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CD5"/>
    <w:rsid w:val="00443F72"/>
    <w:rsid w:val="004459E8"/>
    <w:rsid w:val="00445EBE"/>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07B"/>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34A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0CB"/>
    <w:rsid w:val="005B1623"/>
    <w:rsid w:val="005B1E3C"/>
    <w:rsid w:val="005B2118"/>
    <w:rsid w:val="005B47BE"/>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6851"/>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21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C2F"/>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715"/>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5F44"/>
    <w:rsid w:val="008A70E9"/>
    <w:rsid w:val="008B0A87"/>
    <w:rsid w:val="008B5648"/>
    <w:rsid w:val="008B632D"/>
    <w:rsid w:val="008B6617"/>
    <w:rsid w:val="008B6DC6"/>
    <w:rsid w:val="008B6F19"/>
    <w:rsid w:val="008C011B"/>
    <w:rsid w:val="008C0658"/>
    <w:rsid w:val="008C09AC"/>
    <w:rsid w:val="008C100D"/>
    <w:rsid w:val="008C2B10"/>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DA2"/>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6FB4"/>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5833"/>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797"/>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15C6"/>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2962"/>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68F2"/>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6E9B"/>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41FB"/>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88B"/>
    <w:rsid w:val="00ED5A64"/>
    <w:rsid w:val="00ED68B9"/>
    <w:rsid w:val="00EE04CB"/>
    <w:rsid w:val="00EE28CF"/>
    <w:rsid w:val="00EE28F3"/>
    <w:rsid w:val="00EE3330"/>
    <w:rsid w:val="00EE721F"/>
    <w:rsid w:val="00EF0EA8"/>
    <w:rsid w:val="00EF223E"/>
    <w:rsid w:val="00EF3BE9"/>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277"/>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455E"/>
    <w:rsid w:val="00F468AB"/>
    <w:rsid w:val="00F46D51"/>
    <w:rsid w:val="00F47387"/>
    <w:rsid w:val="00F47559"/>
    <w:rsid w:val="00F502A3"/>
    <w:rsid w:val="00F50375"/>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605</Words>
  <Characters>3380</Characters>
  <Application>Microsoft Office Word</Application>
  <DocSecurity>0</DocSecurity>
  <Lines>64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2026-02-19T03:40:00Z</dcterms:created>
  <dcterms:modified xsi:type="dcterms:W3CDTF">2026-02-19T05:23:00Z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2026-02-19T03:42:25Z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f6127c09-9d5e-46b9-a433-4988a24542f4</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