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CC05FE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F0A28">
            <w:t>Wesfarmers</w:t>
          </w:r>
          <w:r w:rsidR="00513251">
            <w:t xml:space="preserve"> and </w:t>
          </w:r>
          <w:r w:rsidR="003F0A28">
            <w:t>Built Group</w:t>
          </w:r>
          <w:r w:rsidR="008C09AC" w:rsidRPr="00D430AE">
            <w:t xml:space="preserve"> </w:t>
          </w:r>
          <w:r w:rsidR="00A23FD3" w:rsidRPr="00D430AE">
            <w:t>–</w:t>
          </w:r>
          <w:r w:rsidR="003F0A28">
            <w:t xml:space="preserve"> Built Living Joint Venture</w:t>
          </w:r>
          <w:r w:rsidR="00A23FD3" w:rsidRPr="00D430AE">
            <w:t xml:space="preserve"> </w:t>
          </w:r>
        </w:p>
        <w:p w14:paraId="3B287C00" w14:textId="58D8E121" w:rsidR="00A23FD3" w:rsidRPr="00D430AE" w:rsidRDefault="003F0A28" w:rsidP="00A23FD3">
          <w:pPr>
            <w:pStyle w:val="Titlepagefilenumber"/>
            <w:jc w:val="left"/>
            <w:rPr>
              <w:rFonts w:asciiTheme="minorHAnsi" w:hAnsiTheme="minorHAnsi"/>
            </w:rPr>
          </w:pPr>
          <w:r w:rsidRPr="003F0A28">
            <w:rPr>
              <w:rFonts w:asciiTheme="minorHAnsi" w:hAnsiTheme="minorHAnsi"/>
            </w:rPr>
            <w:t>MN-65021</w:t>
          </w:r>
        </w:p>
        <w:p w14:paraId="51182443" w14:textId="152E86F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912D8">
            <w:t>14 August</w:t>
          </w:r>
          <w:r w:rsidR="003F0A28">
            <w:t xml:space="preserve"> 2026</w:t>
          </w:r>
        </w:p>
        <w:p w14:paraId="03108491" w14:textId="526A80B3" w:rsidR="00E772B4" w:rsidRPr="00D430AE" w:rsidRDefault="00E772B4" w:rsidP="00E772B4">
          <w:pPr>
            <w:rPr>
              <w:rFonts w:asciiTheme="minorHAnsi" w:hAnsiTheme="minorHAnsi"/>
              <w:bCs/>
            </w:rPr>
          </w:pPr>
          <w:r w:rsidRPr="00971E1F">
            <w:rPr>
              <w:rFonts w:asciiTheme="minorHAnsi" w:hAnsiTheme="minorHAnsi"/>
            </w:rPr>
            <w:t xml:space="preserve">The </w:t>
          </w:r>
          <w:r w:rsidR="001A511B" w:rsidRPr="00971E1F">
            <w:rPr>
              <w:rFonts w:asciiTheme="minorHAnsi" w:hAnsiTheme="minorHAnsi"/>
            </w:rPr>
            <w:t xml:space="preserve">Australian Competition </w:t>
          </w:r>
          <w:r w:rsidR="002D56CB" w:rsidRPr="00971E1F">
            <w:rPr>
              <w:rFonts w:asciiTheme="minorHAnsi" w:hAnsiTheme="minorHAnsi"/>
            </w:rPr>
            <w:t>and Consumer Commission (</w:t>
          </w:r>
          <w:r w:rsidR="002D56CB" w:rsidRPr="00971E1F">
            <w:rPr>
              <w:rFonts w:asciiTheme="minorHAnsi" w:hAnsiTheme="minorHAnsi"/>
              <w:b/>
              <w:bCs/>
            </w:rPr>
            <w:t>ACCC</w:t>
          </w:r>
          <w:r w:rsidR="002D56CB" w:rsidRPr="00971E1F">
            <w:rPr>
              <w:rFonts w:asciiTheme="minorHAnsi" w:hAnsiTheme="minorHAnsi"/>
            </w:rPr>
            <w:t>) is currently assessing</w:t>
          </w:r>
          <w:r w:rsidR="0052182D">
            <w:rPr>
              <w:rFonts w:asciiTheme="minorHAnsi" w:hAnsiTheme="minorHAnsi"/>
            </w:rPr>
            <w:t xml:space="preserve"> </w:t>
          </w:r>
          <w:r w:rsidR="00971E1F" w:rsidRPr="00971E1F">
            <w:rPr>
              <w:rFonts w:asciiTheme="minorHAnsi" w:hAnsiTheme="minorHAnsi"/>
              <w:bCs/>
            </w:rPr>
            <w:t>Wesfarmers Limited (</w:t>
          </w:r>
          <w:r w:rsidR="00971E1F" w:rsidRPr="00971E1F">
            <w:rPr>
              <w:rFonts w:asciiTheme="minorHAnsi" w:hAnsiTheme="minorHAnsi"/>
              <w:b/>
              <w:bCs/>
            </w:rPr>
            <w:t>Wesfarmers</w:t>
          </w:r>
          <w:r w:rsidR="00971E1F" w:rsidRPr="00971E1F">
            <w:rPr>
              <w:rFonts w:asciiTheme="minorHAnsi" w:hAnsiTheme="minorHAnsi"/>
              <w:bCs/>
            </w:rPr>
            <w:t>) and Built Group Holdings Limited (</w:t>
          </w:r>
          <w:r w:rsidR="00971E1F" w:rsidRPr="00971E1F">
            <w:rPr>
              <w:rFonts w:asciiTheme="minorHAnsi" w:hAnsiTheme="minorHAnsi"/>
              <w:b/>
              <w:bCs/>
            </w:rPr>
            <w:t>Built Group</w:t>
          </w:r>
          <w:r w:rsidR="00971E1F" w:rsidRPr="00971E1F">
            <w:rPr>
              <w:rFonts w:asciiTheme="minorHAnsi" w:hAnsiTheme="minorHAnsi"/>
              <w:bCs/>
            </w:rPr>
            <w:t>)’s proposal to establish an incorporated joint venture called Built Living Holdings Pty Limited (</w:t>
          </w:r>
          <w:r w:rsidR="00971E1F" w:rsidRPr="00971E1F">
            <w:rPr>
              <w:rFonts w:asciiTheme="minorHAnsi" w:hAnsiTheme="minorHAnsi"/>
              <w:b/>
              <w:bCs/>
            </w:rPr>
            <w:t>Built Living</w:t>
          </w:r>
          <w:r w:rsidR="00971E1F" w:rsidRPr="00971E1F">
            <w:rPr>
              <w:rFonts w:asciiTheme="minorHAnsi" w:hAnsiTheme="minorHAnsi"/>
              <w:bCs/>
            </w:rPr>
            <w:t xml:space="preserve">) </w:t>
          </w:r>
          <w:r w:rsidR="002D56CB" w:rsidRPr="00971E1F">
            <w:rPr>
              <w:rFonts w:asciiTheme="minorHAnsi" w:hAnsiTheme="minorHAnsi"/>
              <w:bCs/>
            </w:rPr>
            <w:t xml:space="preserve">(the </w:t>
          </w:r>
          <w:r w:rsidR="002D56CB" w:rsidRPr="00971E1F">
            <w:rPr>
              <w:rFonts w:asciiTheme="minorHAnsi" w:hAnsiTheme="minorHAnsi"/>
              <w:b/>
              <w:bCs/>
            </w:rPr>
            <w:t>Acquisition</w:t>
          </w:r>
          <w:r w:rsidR="002D56CB" w:rsidRPr="00971E1F">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B3D8BE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971E1F" w:rsidRPr="00971E1F">
            <w:rPr>
              <w:rFonts w:asciiTheme="minorHAnsi" w:hAnsiTheme="minorHAnsi"/>
              <w:b/>
              <w:bCs/>
            </w:rPr>
            <w:t xml:space="preserve"> </w:t>
          </w:r>
          <w:r w:rsidR="003912D8">
            <w:rPr>
              <w:rFonts w:asciiTheme="minorHAnsi" w:hAnsiTheme="minorHAnsi"/>
              <w:b/>
              <w:bCs/>
            </w:rPr>
            <w:t xml:space="preserve">14 August </w:t>
          </w:r>
          <w:r w:rsidR="00971E1F" w:rsidRPr="00971E1F">
            <w:rPr>
              <w:rFonts w:asciiTheme="minorHAnsi" w:hAnsiTheme="minorHAnsi"/>
              <w:b/>
              <w:bCs/>
            </w:rPr>
            <w:t>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71E1F">
            <w:rPr>
              <w:rFonts w:asciiTheme="minorHAnsi" w:hAnsiTheme="minorHAnsi"/>
              <w:i/>
              <w:iCs/>
            </w:rPr>
            <w:t>Wesfarmers</w:t>
          </w:r>
          <w:r w:rsidR="00513251">
            <w:rPr>
              <w:rFonts w:asciiTheme="minorHAnsi" w:hAnsiTheme="minorHAnsi"/>
              <w:i/>
              <w:iCs/>
            </w:rPr>
            <w:t xml:space="preserve"> and </w:t>
          </w:r>
          <w:r w:rsidR="00971E1F">
            <w:rPr>
              <w:rFonts w:asciiTheme="minorHAnsi" w:hAnsiTheme="minorHAnsi"/>
              <w:i/>
              <w:iCs/>
            </w:rPr>
            <w:t>Built Group</w:t>
          </w:r>
          <w:r w:rsidR="00513251">
            <w:rPr>
              <w:rFonts w:asciiTheme="minorHAnsi" w:hAnsiTheme="minorHAnsi"/>
              <w:i/>
              <w:iCs/>
            </w:rPr>
            <w:t xml:space="preserve"> </w:t>
          </w:r>
          <w:r w:rsidR="00D437E4" w:rsidRPr="00D430AE">
            <w:rPr>
              <w:rFonts w:asciiTheme="minorHAnsi" w:hAnsiTheme="minorHAnsi"/>
              <w:i/>
              <w:iCs/>
            </w:rPr>
            <w:t>–</w:t>
          </w:r>
          <w:bookmarkEnd w:id="0"/>
          <w:r w:rsidR="00513251">
            <w:rPr>
              <w:rFonts w:asciiTheme="minorHAnsi" w:hAnsiTheme="minorHAnsi"/>
              <w:i/>
              <w:iCs/>
            </w:rPr>
            <w:t xml:space="preserve"> </w:t>
          </w:r>
          <w:r w:rsidR="00971E1F">
            <w:rPr>
              <w:rFonts w:asciiTheme="minorHAnsi" w:hAnsiTheme="minorHAnsi"/>
              <w:i/>
              <w:iCs/>
            </w:rPr>
            <w:t>Built Living Joint Venture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3C6330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71E1F">
            <w:rPr>
              <w:rFonts w:asciiTheme="minorHAnsi" w:hAnsiTheme="minorHAnsi"/>
              <w:i/>
              <w:iCs/>
            </w:rPr>
            <w:t>Wesfarmers</w:t>
          </w:r>
          <w:r w:rsidR="00513251">
            <w:rPr>
              <w:rFonts w:asciiTheme="minorHAnsi" w:hAnsiTheme="minorHAnsi"/>
              <w:i/>
              <w:iCs/>
            </w:rPr>
            <w:t xml:space="preserve"> and </w:t>
          </w:r>
          <w:r w:rsidR="00971E1F">
            <w:rPr>
              <w:rFonts w:asciiTheme="minorHAnsi" w:hAnsiTheme="minorHAnsi"/>
              <w:i/>
              <w:iCs/>
            </w:rPr>
            <w:t>Built Group</w:t>
          </w:r>
          <w:r w:rsidR="00513251">
            <w:rPr>
              <w:rFonts w:asciiTheme="minorHAnsi" w:hAnsiTheme="minorHAnsi"/>
              <w:i/>
              <w:iCs/>
            </w:rPr>
            <w:t xml:space="preserve"> </w:t>
          </w:r>
          <w:r w:rsidR="00971E1F" w:rsidRPr="00D430AE">
            <w:rPr>
              <w:rFonts w:asciiTheme="minorHAnsi" w:hAnsiTheme="minorHAnsi"/>
              <w:i/>
              <w:iCs/>
            </w:rPr>
            <w:t>–</w:t>
          </w:r>
          <w:r w:rsidR="00513251">
            <w:rPr>
              <w:rFonts w:asciiTheme="minorHAnsi" w:hAnsiTheme="minorHAnsi"/>
              <w:i/>
              <w:iCs/>
            </w:rPr>
            <w:t xml:space="preserve"> </w:t>
          </w:r>
          <w:r w:rsidR="00971E1F">
            <w:rPr>
              <w:rFonts w:asciiTheme="minorHAnsi" w:hAnsiTheme="minorHAnsi"/>
              <w:i/>
              <w:iCs/>
            </w:rPr>
            <w:t>Built Living Joint Venture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DA35A0">
          <w:pPr>
            <w:pStyle w:val="Bulletpoint"/>
            <w:tabs>
              <w:tab w:val="clear" w:pos="340"/>
            </w:tabs>
            <w:ind w:left="567"/>
          </w:pPr>
          <w:r w:rsidRPr="00D430AE">
            <w:t xml:space="preserve">This </w:t>
          </w:r>
          <w:r w:rsidR="00E4734B" w:rsidRPr="00D430AE">
            <w:t>request</w:t>
          </w:r>
          <w:r w:rsidRPr="00D430AE">
            <w:t xml:space="preserve"> is made in accordance with </w:t>
          </w:r>
          <w:r w:rsidR="00A745B5" w:rsidRPr="00D430AE">
            <w:t xml:space="preserve">section 51ABZZD(2)(a) </w:t>
          </w:r>
          <w:r w:rsidR="00461A74" w:rsidRPr="00D430AE">
            <w:t xml:space="preserve">and (c) </w:t>
          </w:r>
          <w:r w:rsidR="00A745B5" w:rsidRPr="00D430AE">
            <w:t xml:space="preserve">of the </w:t>
          </w:r>
          <w:r w:rsidR="00A745B5" w:rsidRPr="00D430AE">
            <w:rPr>
              <w:i/>
              <w:iCs/>
            </w:rPr>
            <w:t xml:space="preserve">Competition and Consumer Act 2010 </w:t>
          </w:r>
          <w:r w:rsidR="00A745B5" w:rsidRPr="00D430AE">
            <w:t>(</w:t>
          </w:r>
          <w:proofErr w:type="spellStart"/>
          <w:r w:rsidR="00A745B5" w:rsidRPr="00D430AE">
            <w:t>Cth</w:t>
          </w:r>
          <w:proofErr w:type="spellEnd"/>
          <w:r w:rsidR="00A745B5" w:rsidRPr="00D430AE">
            <w:t xml:space="preserve">) (the </w:t>
          </w:r>
          <w:r w:rsidR="00A745B5" w:rsidRPr="00D430AE">
            <w:rPr>
              <w:b/>
              <w:bCs/>
            </w:rPr>
            <w:t>Act</w:t>
          </w:r>
          <w:r w:rsidR="00A745B5" w:rsidRPr="00D430AE">
            <w:t>)</w:t>
          </w:r>
          <w:r w:rsidR="00C55F9D" w:rsidRPr="00D430AE">
            <w:t>. This means that while</w:t>
          </w:r>
          <w:r w:rsidR="00A745B5" w:rsidRPr="00D430AE">
            <w:t xml:space="preserve"> </w:t>
          </w:r>
          <w:r w:rsidR="002F29A8" w:rsidRPr="00D430AE">
            <w:t xml:space="preserve">the ACCC may take into account </w:t>
          </w:r>
          <w:r w:rsidR="006E7392" w:rsidRPr="00D430AE">
            <w:t>submissions</w:t>
          </w:r>
          <w:r w:rsidR="00C114BC" w:rsidRPr="00D430AE">
            <w:t xml:space="preserve"> or information</w:t>
          </w:r>
          <w:r w:rsidR="006E7392" w:rsidRPr="00D430AE">
            <w:t xml:space="preserve"> </w:t>
          </w:r>
          <w:r w:rsidR="002F29A8" w:rsidRPr="00D430AE">
            <w:t>received after</w:t>
          </w:r>
          <w:r w:rsidR="00D909CE" w:rsidRPr="00D430AE">
            <w:t xml:space="preserve"> the due date</w:t>
          </w:r>
          <w:r w:rsidRPr="00D430AE">
            <w:t>,</w:t>
          </w:r>
          <w:r w:rsidR="00782E63" w:rsidRPr="00D430AE">
            <w:t xml:space="preserve"> it is not required to do so</w:t>
          </w:r>
          <w:r w:rsidR="0052696F" w:rsidRPr="00D430AE">
            <w:t>.</w:t>
          </w:r>
        </w:p>
        <w:p w14:paraId="07A6F642" w14:textId="4F01C8BE" w:rsidR="00DA14AB" w:rsidRPr="00D430AE" w:rsidRDefault="00DA14AB" w:rsidP="00DA35A0">
          <w:pPr>
            <w:pStyle w:val="Bulletpoint"/>
            <w:tabs>
              <w:tab w:val="clear" w:pos="340"/>
            </w:tabs>
            <w:ind w:left="567"/>
          </w:pPr>
          <w:r w:rsidRPr="00D430AE">
            <w:t>In responding to the questions below</w:t>
          </w:r>
          <w:r w:rsidR="00BF3EFB" w:rsidRPr="00D430AE">
            <w:t xml:space="preserve"> or when providing a submission</w:t>
          </w:r>
          <w:r w:rsidRPr="00D430AE">
            <w:t xml:space="preserve">, </w:t>
          </w:r>
          <w:r w:rsidR="00E5661A" w:rsidRPr="00D430AE">
            <w:t>please highlight and/or mark any confidential information</w:t>
          </w:r>
          <w:r w:rsidR="00DA08BC" w:rsidRPr="00D430AE">
            <w:t xml:space="preserve"> and </w:t>
          </w:r>
          <w:r w:rsidR="00793C70" w:rsidRPr="00D430AE">
            <w:t xml:space="preserve">indicate </w:t>
          </w:r>
          <w:r w:rsidR="00DA08BC" w:rsidRPr="00D430AE">
            <w:t>why the information is confidential (</w:t>
          </w:r>
          <w:r w:rsidR="00793C70" w:rsidRPr="00D430AE">
            <w:t xml:space="preserve">as brief reasons </w:t>
          </w:r>
          <w:r w:rsidR="00DA08BC" w:rsidRPr="00D430AE">
            <w:t xml:space="preserve">in </w:t>
          </w:r>
          <w:r w:rsidR="00793C70" w:rsidRPr="00D430AE">
            <w:t>footnotes in</w:t>
          </w:r>
          <w:r w:rsidR="00E62E03" w:rsidRPr="00D430AE">
            <w:t xml:space="preserve"> your</w:t>
          </w:r>
          <w:r w:rsidR="00DA08BC" w:rsidRPr="00D430AE">
            <w:t xml:space="preserve"> response or submission, or in a separate document such as the </w:t>
          </w:r>
          <w:r w:rsidR="00760DD0" w:rsidRPr="00D430AE">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t>)</w:t>
          </w:r>
          <w:r w:rsidRPr="00D430AE">
            <w:t>. The</w:t>
          </w:r>
          <w:r w:rsidR="008723D7" w:rsidRPr="00D430AE">
            <w:t xml:space="preserve"> standard</w:t>
          </w:r>
          <w:r w:rsidRPr="00D430AE">
            <w:t xml:space="preserve"> terms on which the ACCC accepts confidential information </w:t>
          </w:r>
          <w:r w:rsidR="006A7FAE" w:rsidRPr="00D430AE">
            <w:t>are</w:t>
          </w:r>
          <w:r w:rsidRPr="00D430AE">
            <w:t xml:space="preserve"> outline</w:t>
          </w:r>
          <w:r w:rsidR="005D35D7" w:rsidRPr="00D430AE">
            <w:t>d</w:t>
          </w:r>
          <w:r w:rsidRPr="00D430AE">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7D7DB5EF" w:rsidR="003A40C5" w:rsidRPr="00DA35A0" w:rsidRDefault="003A40C5" w:rsidP="00DA35A0">
          <w:pPr>
            <w:pStyle w:val="ListParagraph"/>
          </w:pPr>
          <w:r w:rsidRPr="00DA35A0">
            <w:t xml:space="preserve">Outline any concerns </w:t>
          </w:r>
          <w:r w:rsidR="00DC2AA0" w:rsidRPr="00DA35A0">
            <w:t>regarding</w:t>
          </w:r>
          <w:r w:rsidR="00440FDE" w:rsidRPr="00DA35A0">
            <w:t xml:space="preserve"> the impact of the Acquisition on competition,</w:t>
          </w:r>
          <w:r w:rsidRPr="00DA35A0">
            <w:t xml:space="preserve"> including </w:t>
          </w:r>
          <w:r w:rsidR="009579F5" w:rsidRPr="00DA35A0">
            <w:t xml:space="preserve">if there are not many alternatives </w:t>
          </w:r>
          <w:r w:rsidR="007D1CC8" w:rsidRPr="00DA35A0">
            <w:t xml:space="preserve">to Wesfarmers </w:t>
          </w:r>
          <w:r w:rsidR="008D4109" w:rsidRPr="00DA35A0">
            <w:t>(</w:t>
          </w:r>
          <w:r w:rsidR="0031116D" w:rsidRPr="00DA35A0">
            <w:t>including</w:t>
          </w:r>
          <w:r w:rsidR="008D4109" w:rsidRPr="00DA35A0">
            <w:t xml:space="preserve"> Bunnings Warehouse) </w:t>
          </w:r>
          <w:r w:rsidR="007D1CC8" w:rsidRPr="00DA35A0">
            <w:t>and/or Built Group</w:t>
          </w:r>
          <w:r w:rsidR="0031116D" w:rsidRPr="00DA35A0">
            <w:t>,</w:t>
          </w:r>
          <w:r w:rsidR="007D1CC8" w:rsidRPr="00DA35A0">
            <w:t xml:space="preserve"> </w:t>
          </w:r>
          <w:r w:rsidR="009579F5" w:rsidRPr="00DA35A0">
            <w:t>or if one is a major supplier to competitors of the other</w:t>
          </w:r>
          <w:r w:rsidRPr="00DA35A0">
            <w:t>.</w:t>
          </w:r>
        </w:p>
        <w:p w14:paraId="39BB0691" w14:textId="77777777" w:rsidR="003A40C5" w:rsidRPr="00D430AE" w:rsidRDefault="003A40C5" w:rsidP="003A40C5">
          <w:pPr>
            <w:pStyle w:val="BoxText"/>
            <w:rPr>
              <w:rFonts w:asciiTheme="minorHAnsi" w:hAnsiTheme="minorHAnsi"/>
              <w:sz w:val="22"/>
              <w:szCs w:val="22"/>
            </w:rPr>
          </w:pPr>
        </w:p>
        <w:p w14:paraId="51156F1B" w14:textId="4F880911" w:rsidR="008D4109" w:rsidRPr="008D4109" w:rsidRDefault="000C08D3" w:rsidP="00DA35A0">
          <w:pPr>
            <w:pStyle w:val="ListParagraph"/>
          </w:pPr>
          <w:r>
            <w:t xml:space="preserve">If Wesfarmers supplies Built Group and/or Built Living </w:t>
          </w:r>
          <w:r w:rsidR="00277213">
            <w:t xml:space="preserve">with most or all of </w:t>
          </w:r>
          <w:r w:rsidR="009126CB">
            <w:t>their</w:t>
          </w:r>
          <w:r w:rsidR="00277213">
            <w:t xml:space="preserve"> construction inputs </w:t>
          </w:r>
          <w:r>
            <w:t xml:space="preserve">as a result of the Acquisition, will there remain sufficient alternative customers for </w:t>
          </w:r>
          <w:r w:rsidR="00277213">
            <w:t xml:space="preserve">competing </w:t>
          </w:r>
          <w:r>
            <w:t xml:space="preserve">suppliers of construction inputs?  </w:t>
          </w:r>
        </w:p>
        <w:p w14:paraId="3E544C94" w14:textId="77777777" w:rsidR="008D4109" w:rsidRPr="00D430AE" w:rsidRDefault="008D4109" w:rsidP="008D4109">
          <w:pPr>
            <w:pStyle w:val="BoxText"/>
            <w:rPr>
              <w:rFonts w:asciiTheme="minorHAnsi" w:hAnsiTheme="minorHAnsi"/>
              <w:sz w:val="22"/>
              <w:szCs w:val="22"/>
            </w:rPr>
          </w:pPr>
        </w:p>
        <w:p w14:paraId="4E7D6A84" w14:textId="3D2D945D" w:rsidR="00CD1C13" w:rsidRPr="00D430AE" w:rsidRDefault="00CD1C13" w:rsidP="00DA35A0">
          <w:pPr>
            <w:pStyle w:val="ListParagraph"/>
          </w:pPr>
          <w:r w:rsidRPr="00D430AE">
            <w:t xml:space="preserve">Provide any </w:t>
          </w:r>
          <w:r w:rsidRPr="00DA35A0">
            <w:t>additional</w:t>
          </w:r>
          <w:r w:rsidRPr="00D430AE">
            <w:t xml:space="preserve">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6AA6502" w:rsidR="00255A56" w:rsidRPr="00D430AE" w:rsidRDefault="003E633F" w:rsidP="00DA35A0">
          <w:pPr>
            <w:pStyle w:val="ListParagraph"/>
          </w:pPr>
          <w:bookmarkStart w:id="2" w:name="_Hlk205823490"/>
          <w:r w:rsidRPr="00D430AE">
            <w:t xml:space="preserve">Provide a brief description of your business or organisation, including </w:t>
          </w:r>
          <w:r w:rsidR="00EC46E6" w:rsidRPr="00D430AE">
            <w:t>any commercial relationships with</w:t>
          </w:r>
          <w:r w:rsidRPr="00D430AE">
            <w:t xml:space="preserve"> </w:t>
          </w:r>
          <w:r w:rsidR="008D5673">
            <w:t>Wesfarmers</w:t>
          </w:r>
          <w:r w:rsidRPr="00D430AE">
            <w:t xml:space="preserve"> and</w:t>
          </w:r>
          <w:r w:rsidR="00EC46E6" w:rsidRPr="00D430AE">
            <w:t>/</w:t>
          </w:r>
          <w:r w:rsidRPr="00D430AE">
            <w:t xml:space="preserve">or </w:t>
          </w:r>
          <w:r w:rsidR="008D5673">
            <w:t>Built Group</w:t>
          </w:r>
          <w:r w:rsidR="004C4854" w:rsidRPr="00D430AE">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47EF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A35A0" w:rsidRDefault="00E006B5" w:rsidP="00E006B5">
            <w:pPr>
              <w:pStyle w:val="Numberedparagraph11"/>
              <w:numPr>
                <w:ilvl w:val="0"/>
                <w:numId w:val="0"/>
              </w:numPr>
              <w:jc w:val="center"/>
              <w:rPr>
                <w:rStyle w:val="Strong"/>
                <w:rFonts w:asciiTheme="minorHAnsi" w:hAnsiTheme="minorHAnsi"/>
                <w:sz w:val="20"/>
                <w:szCs w:val="20"/>
              </w:rPr>
            </w:pPr>
            <w:r w:rsidRPr="00DA35A0">
              <w:rPr>
                <w:rStyle w:val="Strong"/>
                <w:rFonts w:asciiTheme="minorHAnsi" w:eastAsiaTheme="minorHAnsi" w:hAnsiTheme="minorHAnsi"/>
                <w:sz w:val="20"/>
                <w:szCs w:val="20"/>
              </w:rPr>
              <w:t>C</w:t>
            </w:r>
            <w:r w:rsidRPr="00DA35A0">
              <w:rPr>
                <w:rStyle w:val="Strong"/>
                <w:rFonts w:asciiTheme="minorHAnsi" w:hAnsiTheme="minorHAnsi"/>
                <w:sz w:val="20"/>
                <w:szCs w:val="20"/>
              </w:rPr>
              <w:t>onfidentiality of responses</w:t>
            </w:r>
          </w:p>
          <w:p w14:paraId="59B72B2F" w14:textId="2FDEDCAE" w:rsidR="002756D7" w:rsidRPr="00DA35A0" w:rsidRDefault="00961072" w:rsidP="00961072">
            <w:pPr>
              <w:rPr>
                <w:rFonts w:asciiTheme="minorHAnsi" w:hAnsiTheme="minorHAnsi"/>
                <w:b w:val="0"/>
                <w:bCs/>
                <w:szCs w:val="20"/>
              </w:rPr>
            </w:pPr>
            <w:r w:rsidRPr="00DA35A0">
              <w:rPr>
                <w:rFonts w:asciiTheme="minorHAnsi" w:hAnsiTheme="minorHAnsi"/>
                <w:b w:val="0"/>
                <w:bCs/>
                <w:szCs w:val="20"/>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A35A0" w:rsidRDefault="008723D7" w:rsidP="008723D7">
            <w:pPr>
              <w:rPr>
                <w:rFonts w:asciiTheme="minorHAnsi" w:hAnsiTheme="minorHAnsi"/>
                <w:b w:val="0"/>
                <w:bCs/>
                <w:szCs w:val="20"/>
              </w:rPr>
            </w:pPr>
            <w:bookmarkStart w:id="3" w:name="_Hlk205823965"/>
            <w:r w:rsidRPr="00DA35A0">
              <w:rPr>
                <w:rFonts w:asciiTheme="minorHAnsi" w:hAnsiTheme="minorHAnsi"/>
                <w:b w:val="0"/>
                <w:bCs/>
                <w:szCs w:val="20"/>
              </w:rPr>
              <w:t xml:space="preserve">The standard terms on which the ACCC accepts confidential information </w:t>
            </w:r>
            <w:r w:rsidR="00EC3A55" w:rsidRPr="00DA35A0">
              <w:rPr>
                <w:rFonts w:asciiTheme="minorHAnsi" w:hAnsiTheme="minorHAnsi"/>
                <w:b w:val="0"/>
                <w:bCs/>
                <w:szCs w:val="20"/>
              </w:rPr>
              <w:t>are</w:t>
            </w:r>
            <w:r w:rsidRPr="00DA35A0">
              <w:rPr>
                <w:rFonts w:asciiTheme="minorHAnsi" w:hAnsiTheme="minorHAnsi"/>
                <w:b w:val="0"/>
                <w:bCs/>
                <w:szCs w:val="20"/>
              </w:rPr>
              <w:t xml:space="preserve">: </w:t>
            </w:r>
          </w:p>
          <w:p w14:paraId="20D957AC" w14:textId="028F3A9A" w:rsidR="008723D7" w:rsidRPr="00DA35A0" w:rsidRDefault="008723D7" w:rsidP="00DA35A0">
            <w:pPr>
              <w:pStyle w:val="ListParagraph"/>
              <w:numPr>
                <w:ilvl w:val="0"/>
                <w:numId w:val="25"/>
              </w:numPr>
              <w:spacing w:before="120" w:after="120"/>
              <w:ind w:left="357" w:hanging="357"/>
              <w:rPr>
                <w:b w:val="0"/>
                <w:bCs/>
                <w:sz w:val="20"/>
                <w:szCs w:val="20"/>
              </w:rPr>
            </w:pPr>
            <w:r w:rsidRPr="00DA35A0">
              <w:rPr>
                <w:b w:val="0"/>
                <w:bCs/>
                <w:sz w:val="20"/>
                <w:szCs w:val="20"/>
              </w:rPr>
              <w:t>there is no restriction on the internal use, including future use, that the ACCC may make of the confidential information consistent with the ACCC's statutory functions</w:t>
            </w:r>
          </w:p>
          <w:p w14:paraId="5891EDDA" w14:textId="77777777" w:rsidR="00192973" w:rsidRPr="00DA35A0" w:rsidRDefault="008723D7" w:rsidP="00DA35A0">
            <w:pPr>
              <w:pStyle w:val="ListParagraph"/>
              <w:numPr>
                <w:ilvl w:val="0"/>
                <w:numId w:val="25"/>
              </w:numPr>
              <w:spacing w:before="120" w:after="120"/>
              <w:ind w:left="357" w:hanging="357"/>
              <w:rPr>
                <w:b w:val="0"/>
                <w:bCs/>
                <w:sz w:val="20"/>
                <w:szCs w:val="20"/>
              </w:rPr>
            </w:pPr>
            <w:r w:rsidRPr="00DA35A0">
              <w:rPr>
                <w:b w:val="0"/>
                <w:bCs/>
                <w:sz w:val="20"/>
                <w:szCs w:val="20"/>
              </w:rPr>
              <w:t>confidential information may be disclosed to the ACCC's external advisors and consultants on condition that each such advisor or consultant will be informed of the obligation to treat the information as confidential</w:t>
            </w:r>
            <w:r w:rsidR="007D1ABB" w:rsidRPr="00DA35A0">
              <w:rPr>
                <w:b w:val="0"/>
                <w:bCs/>
                <w:sz w:val="20"/>
                <w:szCs w:val="20"/>
              </w:rPr>
              <w:t>,</w:t>
            </w:r>
            <w:r w:rsidRPr="00DA35A0">
              <w:rPr>
                <w:b w:val="0"/>
                <w:bCs/>
                <w:sz w:val="20"/>
                <w:szCs w:val="20"/>
              </w:rPr>
              <w:t xml:space="preserve"> and</w:t>
            </w:r>
          </w:p>
          <w:p w14:paraId="5B59BD36" w14:textId="4CD7EB97" w:rsidR="00E006B5" w:rsidRPr="00DA35A0" w:rsidRDefault="00760DD0" w:rsidP="00DA35A0">
            <w:pPr>
              <w:pStyle w:val="ListParagraph"/>
              <w:numPr>
                <w:ilvl w:val="0"/>
                <w:numId w:val="25"/>
              </w:numPr>
              <w:spacing w:before="120" w:after="120"/>
              <w:ind w:left="357" w:hanging="357"/>
              <w:rPr>
                <w:b w:val="0"/>
                <w:bCs/>
                <w:sz w:val="20"/>
                <w:szCs w:val="20"/>
              </w:rPr>
            </w:pPr>
            <w:r w:rsidRPr="00DA35A0">
              <w:rPr>
                <w:b w:val="0"/>
                <w:bCs/>
                <w:sz w:val="20"/>
                <w:szCs w:val="20"/>
              </w:rPr>
              <w:t xml:space="preserve">the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A35A0">
              <w:rPr>
                <w:rStyle w:val="Strong"/>
                <w:rFonts w:asciiTheme="minorHAnsi" w:hAnsiTheme="minorHAnsi"/>
                <w:color w:val="000000" w:themeColor="text1"/>
                <w:szCs w:val="20"/>
              </w:rPr>
              <w:t xml:space="preserve">For further information on confidentiality, see the ACCC’s </w:t>
            </w:r>
            <w:hyperlink r:id="rId16" w:history="1">
              <w:r w:rsidRPr="00DA35A0">
                <w:rPr>
                  <w:rStyle w:val="Hyperlink"/>
                  <w:rFonts w:asciiTheme="minorHAnsi" w:hAnsiTheme="minorHAnsi"/>
                  <w:b w:val="0"/>
                  <w:bCs/>
                  <w:sz w:val="20"/>
                  <w:szCs w:val="20"/>
                </w:rPr>
                <w:t>interim merger process guidelines</w:t>
              </w:r>
            </w:hyperlink>
            <w:r w:rsidR="0045354E" w:rsidRPr="00DA35A0">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513251">
      <w:pPr>
        <w:pStyle w:val="Numberedparagraph11"/>
        <w:numPr>
          <w:ilvl w:val="0"/>
          <w:numId w:val="0"/>
        </w:numPr>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BF97" w14:textId="77777777" w:rsidR="00447EF1" w:rsidRDefault="00447EF1" w:rsidP="004B4412">
      <w:pPr>
        <w:spacing w:before="0"/>
      </w:pPr>
      <w:r>
        <w:separator/>
      </w:r>
    </w:p>
  </w:endnote>
  <w:endnote w:type="continuationSeparator" w:id="0">
    <w:p w14:paraId="6997A428" w14:textId="77777777" w:rsidR="00447EF1" w:rsidRDefault="00447EF1" w:rsidP="004B4412">
      <w:pPr>
        <w:spacing w:before="0"/>
      </w:pPr>
      <w:r>
        <w:continuationSeparator/>
      </w:r>
    </w:p>
  </w:endnote>
  <w:endnote w:type="continuationNotice" w:id="1">
    <w:p w14:paraId="7993D73A" w14:textId="77777777" w:rsidR="00447EF1" w:rsidRDefault="00447EF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31930" w14:textId="77777777" w:rsidR="00BA63DE" w:rsidRDefault="00BA63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00D5" w14:textId="77777777" w:rsidR="00BA63DE" w:rsidRDefault="00BA6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3E11" w14:textId="77777777" w:rsidR="00447EF1" w:rsidRDefault="00447EF1" w:rsidP="004B4412">
      <w:pPr>
        <w:spacing w:before="0"/>
      </w:pPr>
      <w:r>
        <w:separator/>
      </w:r>
    </w:p>
  </w:footnote>
  <w:footnote w:type="continuationSeparator" w:id="0">
    <w:p w14:paraId="5C27359C" w14:textId="77777777" w:rsidR="00447EF1" w:rsidRDefault="00447EF1" w:rsidP="004B4412">
      <w:pPr>
        <w:spacing w:before="0"/>
      </w:pPr>
      <w:r>
        <w:continuationSeparator/>
      </w:r>
    </w:p>
  </w:footnote>
  <w:footnote w:type="continuationNotice" w:id="1">
    <w:p w14:paraId="2FF1A0B6" w14:textId="77777777" w:rsidR="00447EF1" w:rsidRDefault="00447EF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03EB" w14:textId="77777777" w:rsidR="00BA63DE" w:rsidRDefault="00BA63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AE71" w14:textId="77777777" w:rsidR="00BA63DE" w:rsidRDefault="00BA63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1317399285"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DA44E7B0"/>
    <w:lvl w:ilvl="0" w:tplc="067E918A">
      <w:start w:val="1"/>
      <w:numFmt w:val="decimal"/>
      <w:pStyle w:val="ListParagraph"/>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375BC"/>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8D3"/>
    <w:rsid w:val="000C3293"/>
    <w:rsid w:val="000C353E"/>
    <w:rsid w:val="000C3EEB"/>
    <w:rsid w:val="000C4C87"/>
    <w:rsid w:val="000C740E"/>
    <w:rsid w:val="000D032D"/>
    <w:rsid w:val="000D09F0"/>
    <w:rsid w:val="000D122C"/>
    <w:rsid w:val="000D1E33"/>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092"/>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5F07"/>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167"/>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9B1"/>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1D31"/>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41FA"/>
    <w:rsid w:val="002756D7"/>
    <w:rsid w:val="00277213"/>
    <w:rsid w:val="0028103B"/>
    <w:rsid w:val="0028677E"/>
    <w:rsid w:val="00286874"/>
    <w:rsid w:val="00286D71"/>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B7723"/>
    <w:rsid w:val="002C0BB6"/>
    <w:rsid w:val="002C1185"/>
    <w:rsid w:val="002C2092"/>
    <w:rsid w:val="002C2595"/>
    <w:rsid w:val="002C272E"/>
    <w:rsid w:val="002C2D86"/>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4D2D"/>
    <w:rsid w:val="00305F7C"/>
    <w:rsid w:val="003062CC"/>
    <w:rsid w:val="00307F6D"/>
    <w:rsid w:val="0031116D"/>
    <w:rsid w:val="00311377"/>
    <w:rsid w:val="003126AF"/>
    <w:rsid w:val="00312766"/>
    <w:rsid w:val="003129FF"/>
    <w:rsid w:val="0031652E"/>
    <w:rsid w:val="003177A2"/>
    <w:rsid w:val="00317A11"/>
    <w:rsid w:val="003216D5"/>
    <w:rsid w:val="00321D02"/>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612"/>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A91"/>
    <w:rsid w:val="00374C60"/>
    <w:rsid w:val="00375256"/>
    <w:rsid w:val="0038172F"/>
    <w:rsid w:val="00382D17"/>
    <w:rsid w:val="003835EF"/>
    <w:rsid w:val="003846F1"/>
    <w:rsid w:val="00387013"/>
    <w:rsid w:val="0039029E"/>
    <w:rsid w:val="003905FC"/>
    <w:rsid w:val="003912D8"/>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6F1"/>
    <w:rsid w:val="003A4A54"/>
    <w:rsid w:val="003A5B19"/>
    <w:rsid w:val="003A671F"/>
    <w:rsid w:val="003A673F"/>
    <w:rsid w:val="003A7818"/>
    <w:rsid w:val="003B3F9D"/>
    <w:rsid w:val="003B5A70"/>
    <w:rsid w:val="003B641E"/>
    <w:rsid w:val="003B78D7"/>
    <w:rsid w:val="003B7A6B"/>
    <w:rsid w:val="003C0016"/>
    <w:rsid w:val="003C192F"/>
    <w:rsid w:val="003C318A"/>
    <w:rsid w:val="003C65A6"/>
    <w:rsid w:val="003C6B26"/>
    <w:rsid w:val="003C6F80"/>
    <w:rsid w:val="003C75FB"/>
    <w:rsid w:val="003C7A6C"/>
    <w:rsid w:val="003C7F2A"/>
    <w:rsid w:val="003D0D33"/>
    <w:rsid w:val="003D2144"/>
    <w:rsid w:val="003D2F9E"/>
    <w:rsid w:val="003D4A29"/>
    <w:rsid w:val="003D5061"/>
    <w:rsid w:val="003D5791"/>
    <w:rsid w:val="003E1C03"/>
    <w:rsid w:val="003E223C"/>
    <w:rsid w:val="003E2F5F"/>
    <w:rsid w:val="003E4AF7"/>
    <w:rsid w:val="003E4FA5"/>
    <w:rsid w:val="003E5E42"/>
    <w:rsid w:val="003E633F"/>
    <w:rsid w:val="003E6586"/>
    <w:rsid w:val="003E6B8B"/>
    <w:rsid w:val="003E6E6B"/>
    <w:rsid w:val="003E7120"/>
    <w:rsid w:val="003F0073"/>
    <w:rsid w:val="003F013E"/>
    <w:rsid w:val="003F0A28"/>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47EF1"/>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184D"/>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3251"/>
    <w:rsid w:val="0051489F"/>
    <w:rsid w:val="0051584A"/>
    <w:rsid w:val="00517C69"/>
    <w:rsid w:val="00517E2B"/>
    <w:rsid w:val="0052126E"/>
    <w:rsid w:val="005217ED"/>
    <w:rsid w:val="0052182D"/>
    <w:rsid w:val="005254CC"/>
    <w:rsid w:val="00525837"/>
    <w:rsid w:val="0052696F"/>
    <w:rsid w:val="005273B8"/>
    <w:rsid w:val="0052781A"/>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6117"/>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5CE5"/>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2F93"/>
    <w:rsid w:val="006D1B76"/>
    <w:rsid w:val="006D30FB"/>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0BD"/>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1CC8"/>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449"/>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4109"/>
    <w:rsid w:val="008D5673"/>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0276"/>
    <w:rsid w:val="009014D7"/>
    <w:rsid w:val="00901D31"/>
    <w:rsid w:val="009022A6"/>
    <w:rsid w:val="00902AEF"/>
    <w:rsid w:val="00902B37"/>
    <w:rsid w:val="009032EF"/>
    <w:rsid w:val="00903C9A"/>
    <w:rsid w:val="009040FA"/>
    <w:rsid w:val="009066FB"/>
    <w:rsid w:val="0090715A"/>
    <w:rsid w:val="00907FFE"/>
    <w:rsid w:val="009126CB"/>
    <w:rsid w:val="009134C6"/>
    <w:rsid w:val="00913F3A"/>
    <w:rsid w:val="0091426E"/>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26202"/>
    <w:rsid w:val="00930410"/>
    <w:rsid w:val="009319D4"/>
    <w:rsid w:val="0093301E"/>
    <w:rsid w:val="009330FA"/>
    <w:rsid w:val="00935F0A"/>
    <w:rsid w:val="009371D2"/>
    <w:rsid w:val="00937EF6"/>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1E1F"/>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83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47B49"/>
    <w:rsid w:val="00A50C27"/>
    <w:rsid w:val="00A5504F"/>
    <w:rsid w:val="00A55236"/>
    <w:rsid w:val="00A557AC"/>
    <w:rsid w:val="00A5627F"/>
    <w:rsid w:val="00A57D04"/>
    <w:rsid w:val="00A60A26"/>
    <w:rsid w:val="00A61598"/>
    <w:rsid w:val="00A62A4D"/>
    <w:rsid w:val="00A64A5B"/>
    <w:rsid w:val="00A67441"/>
    <w:rsid w:val="00A7027E"/>
    <w:rsid w:val="00A7064D"/>
    <w:rsid w:val="00A7198D"/>
    <w:rsid w:val="00A72626"/>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141C"/>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5B2C"/>
    <w:rsid w:val="00BA63DE"/>
    <w:rsid w:val="00BA6C58"/>
    <w:rsid w:val="00BA7559"/>
    <w:rsid w:val="00BB275E"/>
    <w:rsid w:val="00BB2927"/>
    <w:rsid w:val="00BB2FB2"/>
    <w:rsid w:val="00BB3304"/>
    <w:rsid w:val="00BB73FF"/>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891"/>
    <w:rsid w:val="00C334AE"/>
    <w:rsid w:val="00C3434B"/>
    <w:rsid w:val="00C36EF5"/>
    <w:rsid w:val="00C37C0B"/>
    <w:rsid w:val="00C41521"/>
    <w:rsid w:val="00C41642"/>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4C51"/>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29B"/>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29AA"/>
    <w:rsid w:val="00DA3210"/>
    <w:rsid w:val="00DA35A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359A"/>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346E"/>
    <w:rsid w:val="00E541F8"/>
    <w:rsid w:val="00E545A6"/>
    <w:rsid w:val="00E5661A"/>
    <w:rsid w:val="00E56C0E"/>
    <w:rsid w:val="00E5754B"/>
    <w:rsid w:val="00E614B2"/>
    <w:rsid w:val="00E618AC"/>
    <w:rsid w:val="00E62E03"/>
    <w:rsid w:val="00E63639"/>
    <w:rsid w:val="00E63D4A"/>
    <w:rsid w:val="00E6545A"/>
    <w:rsid w:val="00E65C85"/>
    <w:rsid w:val="00E66199"/>
    <w:rsid w:val="00E700ED"/>
    <w:rsid w:val="00E742CF"/>
    <w:rsid w:val="00E746B3"/>
    <w:rsid w:val="00E755EC"/>
    <w:rsid w:val="00E75B10"/>
    <w:rsid w:val="00E7624D"/>
    <w:rsid w:val="00E76A09"/>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3FFD"/>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5A3A"/>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298"/>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2F2C"/>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BodyText"/>
    <w:link w:val="ListParagraphChar"/>
    <w:uiPriority w:val="34"/>
    <w:qFormat/>
    <w:rsid w:val="00DA35A0"/>
    <w:pPr>
      <w:keepNext/>
      <w:numPr>
        <w:numId w:val="30"/>
      </w:numPr>
      <w:spacing w:before="240"/>
    </w:pPr>
    <w:rPr>
      <w:rFonts w:asciiTheme="minorHAnsi" w:hAnsiTheme="minorHAnsi"/>
      <w:sz w:val="22"/>
      <w:szCs w:val="22"/>
      <w:lang w:val="en-AU"/>
    </w:r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A35A0"/>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3</Pages>
  <Words>686</Words>
  <Characters>3833</Characters>
  <Application>Microsoft Office Word</Application>
  <DocSecurity>0</DocSecurity>
  <Lines>72</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32</cp:revision>
  <cp:lastPrinted>2022-05-27T10:23:00Z</cp:lastPrinted>
  <dcterms:created xsi:type="dcterms:W3CDTF">2026-06-10T04:52:00Z</dcterms:created>
  <dcterms:modified xsi:type="dcterms:W3CDTF">2026-08-06T22:30:00Z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