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C029E19" w:rsidR="0048658D" w:rsidRDefault="00B24A59" w:rsidP="00B24A59">
          <w:pPr>
            <w:pStyle w:val="Heading1"/>
          </w:pPr>
          <w:r>
            <w:rPr>
              <w:rFonts w:cs="Arial"/>
              <w:szCs w:val="26"/>
            </w:rPr>
            <w:t>Q</w:t>
          </w:r>
          <w:r w:rsidR="0048658D">
            <w:t>uestionnaire</w:t>
          </w:r>
          <w:r w:rsidR="00A23FD3">
            <w:t xml:space="preserve">: </w:t>
          </w:r>
          <w:r w:rsidR="00793A8C">
            <w:t>IOR</w:t>
          </w:r>
          <w:r w:rsidR="008C09AC">
            <w:t xml:space="preserve"> </w:t>
          </w:r>
          <w:r w:rsidR="00A23FD3">
            <w:t xml:space="preserve">– </w:t>
          </w:r>
          <w:r w:rsidR="00793A8C">
            <w:t>Delta Specialised Energy</w:t>
          </w:r>
          <w:r w:rsidR="00A23FD3">
            <w:t xml:space="preserve"> </w:t>
          </w:r>
        </w:p>
        <w:p w14:paraId="3B287C00" w14:textId="0535CA54" w:rsidR="00A23FD3" w:rsidRDefault="00793A8C" w:rsidP="00A23FD3">
          <w:pPr>
            <w:pStyle w:val="Titlepagefilenumber"/>
            <w:jc w:val="left"/>
          </w:pPr>
          <w:r>
            <w:t>MN-60004</w:t>
          </w:r>
        </w:p>
        <w:p w14:paraId="51182443" w14:textId="1A3CEA6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FC5317">
            <w:t>Friday 6</w:t>
          </w:r>
          <w:r w:rsidR="001F546E">
            <w:t xml:space="preserve"> March 2026</w:t>
          </w:r>
        </w:p>
        <w:p w14:paraId="03108491" w14:textId="35D41948"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793A8C">
            <w:rPr>
              <w:bCs/>
            </w:rPr>
            <w:t>IOR Pty Ltd</w:t>
          </w:r>
          <w:r w:rsidR="00D305A5">
            <w:rPr>
              <w:bCs/>
            </w:rPr>
            <w:t>’s</w:t>
          </w:r>
          <w:r w:rsidR="00793A8C">
            <w:rPr>
              <w:bCs/>
            </w:rPr>
            <w:t xml:space="preserve"> (</w:t>
          </w:r>
          <w:r w:rsidR="00793A8C" w:rsidRPr="00D305A5">
            <w:rPr>
              <w:b/>
              <w:bCs/>
            </w:rPr>
            <w:t>IOR</w:t>
          </w:r>
          <w:r w:rsidR="00793A8C">
            <w:rPr>
              <w:bCs/>
            </w:rPr>
            <w:t>) proposes to acquire the diesel, renewable fuels and Adblue distribution assets of Delta Specialised Energy Pty Ltd (</w:t>
          </w:r>
          <w:r w:rsidR="00793A8C" w:rsidRPr="00D305A5">
            <w:rPr>
              <w:b/>
              <w:bCs/>
            </w:rPr>
            <w:t>Delta</w:t>
          </w:r>
          <w:r w:rsidR="00793A8C">
            <w:rPr>
              <w:bCs/>
            </w:rPr>
            <w:t xml:space="preserve">) (together, the </w:t>
          </w:r>
          <w:r w:rsidR="00793A8C" w:rsidRPr="00D305A5">
            <w:rPr>
              <w:b/>
              <w:bCs/>
            </w:rPr>
            <w:t>Parties</w:t>
          </w:r>
          <w:r w:rsidR="00793A8C">
            <w:rPr>
              <w:bCs/>
            </w:rPr>
            <w:t xml:space="preserve">) through a business sale agreement (the </w:t>
          </w:r>
          <w:r w:rsidR="00793A8C" w:rsidRPr="00D305A5">
            <w:rPr>
              <w:b/>
              <w:bCs/>
            </w:rPr>
            <w:t>Acquisition</w:t>
          </w:r>
          <w:r w:rsidR="00793A8C">
            <w:rPr>
              <w:bCs/>
            </w:rPr>
            <w:t xml:space="preserve">). </w:t>
          </w:r>
          <w:r w:rsidR="00793A8C">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D0E4133"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FC5317">
            <w:rPr>
              <w:b/>
              <w:bCs/>
            </w:rPr>
            <w:t>Friday 6</w:t>
          </w:r>
          <w:r w:rsidR="001F546E">
            <w:rPr>
              <w:b/>
              <w:bCs/>
            </w:rPr>
            <w:t xml:space="preserve">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D305A5">
            <w:rPr>
              <w:i/>
              <w:iCs/>
            </w:rPr>
            <w:t>IOR – Delta Specialised Energy</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F906E54"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D305A5">
            <w:rPr>
              <w:i/>
              <w:iCs/>
            </w:rPr>
            <w:t>:</w:t>
          </w:r>
          <w:r w:rsidR="00D305A5" w:rsidRPr="00D305A5">
            <w:rPr>
              <w:i/>
              <w:iCs/>
            </w:rPr>
            <w:t xml:space="preserve"> </w:t>
          </w:r>
          <w:r w:rsidR="00D305A5">
            <w:rPr>
              <w:i/>
              <w:iCs/>
            </w:rPr>
            <w:t>IOR – Delta Specialised Energy</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C329486" w14:textId="77777777" w:rsidR="00A549B8" w:rsidRDefault="00A549B8" w:rsidP="00E006B5">
          <w:pPr>
            <w:pStyle w:val="Heading2"/>
            <w:sectPr w:rsidR="00A549B8" w:rsidSect="005C2005">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pPr>
        </w:p>
        <w:p w14:paraId="57FED917" w14:textId="549B8B6B" w:rsidR="00E006B5" w:rsidRDefault="00617DC8" w:rsidP="00E006B5">
          <w:pPr>
            <w:pStyle w:val="Heading2"/>
          </w:pPr>
          <w:r>
            <w:lastRenderedPageBreak/>
            <w:t xml:space="preserve">Questions </w:t>
          </w:r>
        </w:p>
        <w:p w14:paraId="41E64392" w14:textId="151A08B8"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D305A5">
            <w:rPr>
              <w:rFonts w:asciiTheme="minorHAnsi" w:hAnsiTheme="minorHAnsi"/>
              <w:sz w:val="22"/>
              <w:szCs w:val="22"/>
              <w:lang w:val="en-AU"/>
            </w:rPr>
            <w:t>IOR</w:t>
          </w:r>
          <w:r w:rsidR="009579F5" w:rsidRPr="009579F5">
            <w:rPr>
              <w:rFonts w:asciiTheme="minorHAnsi" w:hAnsiTheme="minorHAnsi"/>
              <w:sz w:val="22"/>
              <w:szCs w:val="22"/>
              <w:lang w:val="en-AU"/>
            </w:rPr>
            <w:t xml:space="preserve"> and </w:t>
          </w:r>
          <w:r w:rsidR="00D305A5">
            <w:rPr>
              <w:rFonts w:asciiTheme="minorHAnsi" w:hAnsiTheme="minorHAnsi"/>
              <w:sz w:val="22"/>
              <w:szCs w:val="22"/>
              <w:lang w:val="en-AU"/>
            </w:rPr>
            <w:t>Delta</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54B11D92"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D305A5">
            <w:rPr>
              <w:rFonts w:asciiTheme="minorHAnsi" w:hAnsiTheme="minorHAnsi"/>
              <w:sz w:val="22"/>
              <w:szCs w:val="22"/>
              <w:lang w:val="en-AU"/>
            </w:rPr>
            <w:t>IOR</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D305A5">
            <w:rPr>
              <w:rFonts w:asciiTheme="minorHAnsi" w:hAnsiTheme="minorHAnsi"/>
              <w:sz w:val="22"/>
              <w:szCs w:val="22"/>
              <w:lang w:val="en-AU"/>
            </w:rPr>
            <w:t>Delta</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FC5317"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2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1351630880"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46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383"/>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3E12"/>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A8C"/>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49B8"/>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6C90"/>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5A5"/>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5317"/>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hyperlink" Target="https://www.accc.gov.au/about-us/publications/merger-process-guideline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Kathryn Wood</cp:lastModifiedBy>
  <cp:revision>4</cp:revision>
  <cp:lastPrinted>2022-05-27T10:23:00Z</cp:lastPrinted>
  <dcterms:created xsi:type="dcterms:W3CDTF">2026-01-29T03:03:00Z</dcterms:created>
  <dcterms:modified xsi:type="dcterms:W3CDTF">2026-02-26T22:46:00Z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