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47AFEA5C"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3CA2C3DA"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0D5EB0">
            <w:t xml:space="preserve">Stonepeak </w:t>
          </w:r>
          <w:r w:rsidR="00A23FD3" w:rsidRPr="00D430AE">
            <w:t xml:space="preserve">– </w:t>
          </w:r>
          <w:r w:rsidR="000D5EB0">
            <w:t>Castrol</w:t>
          </w:r>
          <w:r w:rsidR="00A23FD3" w:rsidRPr="00D430AE">
            <w:t xml:space="preserve"> </w:t>
          </w:r>
        </w:p>
        <w:p w14:paraId="3B287C00" w14:textId="3702946D" w:rsidR="00A23FD3" w:rsidRPr="00D430AE" w:rsidRDefault="00632E85" w:rsidP="00A23FD3">
          <w:pPr>
            <w:pStyle w:val="Titlepagefilenumber"/>
            <w:jc w:val="left"/>
            <w:rPr>
              <w:rFonts w:asciiTheme="minorHAnsi" w:hAnsiTheme="minorHAnsi"/>
            </w:rPr>
          </w:pPr>
          <w:r>
            <w:rPr>
              <w:rFonts w:asciiTheme="minorHAnsi" w:hAnsiTheme="minorHAnsi"/>
            </w:rPr>
            <w:t>MN-60015</w:t>
          </w:r>
        </w:p>
        <w:p w14:paraId="51182443" w14:textId="4DEB2D2D"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EE311A">
            <w:t>Monday 1 June 2026</w:t>
          </w:r>
        </w:p>
        <w:p w14:paraId="03108491" w14:textId="30BBFE97" w:rsidR="00E772B4" w:rsidRPr="00FE43BC" w:rsidRDefault="00E772B4" w:rsidP="00E772B4">
          <w:pPr>
            <w:rPr>
              <w:lang w:val="en-U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is currently assessing</w:t>
          </w:r>
          <w:r w:rsidR="001F4635">
            <w:rPr>
              <w:rFonts w:asciiTheme="minorHAnsi" w:hAnsiTheme="minorHAnsi"/>
            </w:rPr>
            <w:t xml:space="preserve"> the</w:t>
          </w:r>
          <w:r w:rsidR="002D56CB" w:rsidRPr="00D430AE">
            <w:rPr>
              <w:rFonts w:asciiTheme="minorHAnsi" w:hAnsiTheme="minorHAnsi"/>
            </w:rPr>
            <w:t xml:space="preserve"> </w:t>
          </w:r>
          <w:r w:rsidR="001F4635">
            <w:rPr>
              <w:rFonts w:asciiTheme="minorHAnsi" w:hAnsiTheme="minorHAnsi"/>
            </w:rPr>
            <w:t>proposed acquisition of 100% of the shares in Castrol Group Holdings Limited (</w:t>
          </w:r>
          <w:r w:rsidR="001F4635">
            <w:rPr>
              <w:rFonts w:asciiTheme="minorHAnsi" w:hAnsiTheme="minorHAnsi"/>
              <w:b/>
              <w:bCs/>
            </w:rPr>
            <w:t>Castrol</w:t>
          </w:r>
          <w:r w:rsidR="001F4635">
            <w:rPr>
              <w:rFonts w:asciiTheme="minorHAnsi" w:hAnsiTheme="minorHAnsi"/>
            </w:rPr>
            <w:t xml:space="preserve">) by global investment fund </w:t>
          </w:r>
          <w:r w:rsidR="0022623D">
            <w:rPr>
              <w:rFonts w:asciiTheme="minorHAnsi" w:hAnsiTheme="minorHAnsi"/>
            </w:rPr>
            <w:t>Stonepea</w:t>
          </w:r>
          <w:r w:rsidR="004D1072">
            <w:rPr>
              <w:rFonts w:asciiTheme="minorHAnsi" w:hAnsiTheme="minorHAnsi"/>
            </w:rPr>
            <w:t>k Partners LP (</w:t>
          </w:r>
          <w:r w:rsidR="004D1072">
            <w:rPr>
              <w:rFonts w:asciiTheme="minorHAnsi" w:hAnsiTheme="minorHAnsi"/>
              <w:b/>
              <w:bCs/>
            </w:rPr>
            <w:t>Stonepeak</w:t>
          </w:r>
          <w:r w:rsidR="004D1072">
            <w:rPr>
              <w:rFonts w:asciiTheme="minorHAnsi" w:hAnsiTheme="minorHAnsi"/>
            </w:rPr>
            <w:t>)</w:t>
          </w:r>
          <w:r w:rsidR="00FE43BC">
            <w:rPr>
              <w:rFonts w:asciiTheme="minorHAnsi" w:hAnsiTheme="minorHAnsi"/>
            </w:rPr>
            <w:t>,</w:t>
          </w:r>
          <w:r w:rsidR="001F4635">
            <w:rPr>
              <w:rFonts w:asciiTheme="minorHAnsi" w:hAnsiTheme="minorHAnsi"/>
            </w:rPr>
            <w:t xml:space="preserve"> </w:t>
          </w:r>
          <w:r w:rsidR="001F4635">
            <w:rPr>
              <w:lang w:val="en-US"/>
            </w:rPr>
            <w:t>Canada Pension Plan Investment Board (</w:t>
          </w:r>
          <w:r w:rsidR="001F4635">
            <w:rPr>
              <w:b/>
              <w:bCs/>
              <w:lang w:val="en-US"/>
            </w:rPr>
            <w:t>CPPIB</w:t>
          </w:r>
          <w:r w:rsidR="001F4635">
            <w:rPr>
              <w:lang w:val="en-US"/>
            </w:rPr>
            <w:t>)</w:t>
          </w:r>
          <w:r w:rsidR="00FE43BC">
            <w:rPr>
              <w:lang w:val="en-US"/>
            </w:rPr>
            <w:t xml:space="preserve"> (which is expected to make an indirect investment) and Castrol’s current owner, BP</w:t>
          </w:r>
          <w:r w:rsidR="001F4635" w:rsidRPr="001F4635">
            <w:rPr>
              <w:rFonts w:asciiTheme="minorHAnsi" w:hAnsiTheme="minorHAnsi"/>
            </w:rPr>
            <w:t xml:space="preserve"> </w:t>
          </w:r>
          <w:r w:rsidR="00FE43BC">
            <w:rPr>
              <w:rFonts w:asciiTheme="minorHAnsi" w:hAnsiTheme="minorHAnsi"/>
            </w:rPr>
            <w:t xml:space="preserve">(which will </w:t>
          </w:r>
          <w:r w:rsidR="00F2518D">
            <w:rPr>
              <w:rFonts w:asciiTheme="minorHAnsi" w:hAnsiTheme="minorHAnsi"/>
            </w:rPr>
            <w:t xml:space="preserve">reinvest in </w:t>
          </w:r>
          <w:r w:rsidR="00FE43BC">
            <w:rPr>
              <w:rFonts w:asciiTheme="minorHAnsi" w:hAnsiTheme="minorHAnsi"/>
            </w:rPr>
            <w:t xml:space="preserve">35% </w:t>
          </w:r>
          <w:r w:rsidR="00F2518D">
            <w:rPr>
              <w:rFonts w:asciiTheme="minorHAnsi" w:hAnsiTheme="minorHAnsi"/>
            </w:rPr>
            <w:t>of the shares in Castrol</w:t>
          </w:r>
          <w:r w:rsidR="00FE43BC">
            <w:rPr>
              <w:rFonts w:asciiTheme="minorHAnsi" w:hAnsiTheme="minorHAnsi"/>
            </w:rPr>
            <w:t xml:space="preserve">) </w:t>
          </w:r>
          <w:r w:rsidR="001F4635">
            <w:rPr>
              <w:rFonts w:asciiTheme="minorHAnsi" w:hAnsiTheme="minorHAnsi"/>
            </w:rPr>
            <w:t xml:space="preserve">(the </w:t>
          </w:r>
          <w:r w:rsidR="001F4635">
            <w:rPr>
              <w:rFonts w:asciiTheme="minorHAnsi" w:hAnsiTheme="minorHAnsi"/>
              <w:b/>
              <w:bCs/>
            </w:rPr>
            <w:t>Acquisition</w:t>
          </w:r>
          <w:r w:rsidR="001F4635">
            <w:rPr>
              <w:rFonts w:asciiTheme="minorHAnsi" w:hAnsiTheme="minorHAnsi"/>
            </w:rPr>
            <w:t>)</w:t>
          </w:r>
          <w:r w:rsidR="0000699B">
            <w:rPr>
              <w:rFonts w:asciiTheme="minorHAnsi" w:hAnsiTheme="minorHAnsi"/>
            </w:rPr>
            <w:t>.</w:t>
          </w:r>
          <w:r w:rsidR="004D1072">
            <w:rPr>
              <w:rFonts w:asciiTheme="minorHAnsi" w:hAnsiTheme="minorHAnsi"/>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0DE8DF80"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EE311A">
            <w:rPr>
              <w:rFonts w:asciiTheme="minorHAnsi" w:hAnsiTheme="minorHAnsi"/>
            </w:rPr>
            <w:t>Monday 1 June</w:t>
          </w:r>
          <w:r w:rsidR="00EE311A">
            <w:rPr>
              <w:rFonts w:asciiTheme="minorHAnsi" w:hAnsiTheme="minorHAnsi"/>
              <w:b/>
              <w:bCs/>
            </w:rPr>
            <w:t xml:space="preserve"> </w:t>
          </w:r>
          <w:r w:rsidR="00CB6FED" w:rsidRPr="00D430AE">
            <w:rPr>
              <w:rFonts w:asciiTheme="minorHAnsi" w:hAnsiTheme="minorHAnsi"/>
            </w:rPr>
            <w:t>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00699B">
            <w:rPr>
              <w:rFonts w:asciiTheme="minorHAnsi" w:hAnsiTheme="minorHAnsi"/>
              <w:i/>
              <w:iCs/>
            </w:rPr>
            <w:t>Stonepeak</w:t>
          </w:r>
          <w:r w:rsidR="00D437E4" w:rsidRPr="00D430AE">
            <w:rPr>
              <w:rFonts w:asciiTheme="minorHAnsi" w:hAnsiTheme="minorHAnsi"/>
              <w:i/>
              <w:iCs/>
            </w:rPr>
            <w:t xml:space="preserve"> – </w:t>
          </w:r>
          <w:bookmarkEnd w:id="0"/>
          <w:r w:rsidR="0000699B">
            <w:rPr>
              <w:rFonts w:asciiTheme="minorHAnsi" w:hAnsiTheme="minorHAnsi"/>
              <w:i/>
              <w:iCs/>
            </w:rPr>
            <w:t>Castrol</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240AEFAD"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00699B">
            <w:rPr>
              <w:rFonts w:asciiTheme="minorHAnsi" w:hAnsiTheme="minorHAnsi"/>
              <w:i/>
              <w:iCs/>
            </w:rPr>
            <w:t>Stonepeak</w:t>
          </w:r>
          <w:r w:rsidR="0000699B" w:rsidRPr="00D430AE">
            <w:rPr>
              <w:rFonts w:asciiTheme="minorHAnsi" w:hAnsiTheme="minorHAnsi"/>
              <w:i/>
              <w:iCs/>
            </w:rPr>
            <w:t xml:space="preserve"> – </w:t>
          </w:r>
          <w:r w:rsidR="0000699B">
            <w:rPr>
              <w:rFonts w:asciiTheme="minorHAnsi" w:hAnsiTheme="minorHAnsi"/>
              <w:i/>
              <w:iCs/>
            </w:rPr>
            <w:t>Castro</w:t>
          </w:r>
          <w:r w:rsidR="00451D62">
            <w:rPr>
              <w:rFonts w:asciiTheme="minorHAnsi" w:hAnsiTheme="minorHAnsi"/>
              <w:i/>
              <w:iCs/>
            </w:rPr>
            <w:t>l</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2017674A"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00699B">
            <w:rPr>
              <w:rFonts w:asciiTheme="minorHAnsi" w:hAnsiTheme="minorHAnsi"/>
              <w:sz w:val="22"/>
              <w:szCs w:val="22"/>
              <w:lang w:val="en-AU"/>
            </w:rPr>
            <w:t>Stonepeak</w:t>
          </w:r>
          <w:r w:rsidR="00B1404F">
            <w:rPr>
              <w:rFonts w:asciiTheme="minorHAnsi" w:hAnsiTheme="minorHAnsi"/>
              <w:sz w:val="22"/>
              <w:szCs w:val="22"/>
              <w:lang w:val="en-AU"/>
            </w:rPr>
            <w:t>, CPPIB</w:t>
          </w:r>
          <w:r w:rsidR="009579F5" w:rsidRPr="00D430AE">
            <w:rPr>
              <w:rFonts w:asciiTheme="minorHAnsi" w:hAnsiTheme="minorHAnsi"/>
              <w:sz w:val="22"/>
              <w:szCs w:val="22"/>
              <w:lang w:val="en-AU"/>
            </w:rPr>
            <w:t xml:space="preserve"> and</w:t>
          </w:r>
          <w:r w:rsidR="0000699B">
            <w:rPr>
              <w:rFonts w:asciiTheme="minorHAnsi" w:hAnsiTheme="minorHAnsi"/>
              <w:sz w:val="22"/>
              <w:szCs w:val="22"/>
              <w:lang w:val="en-AU"/>
            </w:rPr>
            <w:t xml:space="preserve"> Castrol</w:t>
          </w:r>
          <w:r w:rsidR="009579F5" w:rsidRPr="00D430AE">
            <w:rPr>
              <w:rFonts w:asciiTheme="minorHAnsi" w:hAnsiTheme="minorHAnsi"/>
              <w:sz w:val="22"/>
              <w:szCs w:val="22"/>
              <w:lang w:val="en-AU"/>
            </w:rPr>
            <w:t xml:space="preserve"> </w:t>
          </w:r>
          <w:r w:rsidR="00B1404F">
            <w:rPr>
              <w:rFonts w:asciiTheme="minorHAnsi" w:hAnsiTheme="minorHAnsi"/>
              <w:sz w:val="22"/>
              <w:szCs w:val="22"/>
              <w:lang w:val="en-AU"/>
            </w:rPr>
            <w:t xml:space="preserve">(or their connected entities) </w:t>
          </w:r>
          <w:r w:rsidR="009579F5" w:rsidRPr="00D430AE">
            <w:rPr>
              <w:rFonts w:asciiTheme="minorHAnsi" w:hAnsiTheme="minorHAnsi"/>
              <w:sz w:val="22"/>
              <w:szCs w:val="22"/>
              <w:lang w:val="en-AU"/>
            </w:rPr>
            <w:t xml:space="preserve">are close competitors and </w:t>
          </w:r>
          <w:r w:rsidR="002B6F07">
            <w:rPr>
              <w:rFonts w:asciiTheme="minorHAnsi" w:hAnsiTheme="minorHAnsi"/>
              <w:sz w:val="22"/>
              <w:szCs w:val="22"/>
              <w:lang w:val="en-AU"/>
            </w:rPr>
            <w:t xml:space="preserve">if </w:t>
          </w:r>
          <w:r w:rsidR="009579F5" w:rsidRPr="00D430AE">
            <w:rPr>
              <w:rFonts w:asciiTheme="minorHAnsi" w:hAnsiTheme="minorHAnsi"/>
              <w:sz w:val="22"/>
              <w:szCs w:val="22"/>
              <w:lang w:val="en-AU"/>
            </w:rPr>
            <w:t>there are not many alternatives</w:t>
          </w:r>
          <w:r w:rsidR="00874D28">
            <w:rPr>
              <w:rFonts w:asciiTheme="minorHAnsi" w:hAnsiTheme="minorHAnsi"/>
              <w:sz w:val="22"/>
              <w:szCs w:val="22"/>
              <w:lang w:val="en-AU"/>
            </w:rPr>
            <w:t>,</w:t>
          </w:r>
          <w:r w:rsidR="009579F5" w:rsidRPr="00D430AE">
            <w:rPr>
              <w:rFonts w:asciiTheme="minorHAnsi" w:hAnsiTheme="minorHAnsi"/>
              <w:sz w:val="22"/>
              <w:szCs w:val="22"/>
              <w:lang w:val="en-AU"/>
            </w:rPr>
            <w:t xml:space="preserve">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5CFCD26E"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B1404F">
            <w:rPr>
              <w:rFonts w:asciiTheme="minorHAnsi" w:hAnsiTheme="minorHAnsi"/>
              <w:sz w:val="22"/>
              <w:szCs w:val="22"/>
              <w:lang w:val="en-AU"/>
            </w:rPr>
            <w:t xml:space="preserve">the parties to the Acquisition. </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793F99"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304108">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E000B" w14:textId="77777777" w:rsidR="00793F99" w:rsidRDefault="00793F99" w:rsidP="004B4412">
      <w:pPr>
        <w:spacing w:before="0"/>
      </w:pPr>
      <w:r>
        <w:separator/>
      </w:r>
    </w:p>
  </w:endnote>
  <w:endnote w:type="continuationSeparator" w:id="0">
    <w:p w14:paraId="20A660DC" w14:textId="77777777" w:rsidR="00793F99" w:rsidRDefault="00793F99" w:rsidP="004B4412">
      <w:pPr>
        <w:spacing w:before="0"/>
      </w:pPr>
      <w:r>
        <w:continuationSeparator/>
      </w:r>
    </w:p>
  </w:endnote>
  <w:endnote w:type="continuationNotice" w:id="1">
    <w:p w14:paraId="5C2E9BDA" w14:textId="77777777" w:rsidR="00793F99" w:rsidRDefault="00793F99">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28436" w14:textId="77777777" w:rsidR="00C45BE5" w:rsidRDefault="00C45B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826B4" w14:textId="77777777" w:rsidR="00C45BE5" w:rsidRDefault="00C45B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7B5A8" w14:textId="77777777" w:rsidR="00793F99" w:rsidRDefault="00793F99" w:rsidP="004B4412">
      <w:pPr>
        <w:spacing w:before="0"/>
      </w:pPr>
      <w:r>
        <w:separator/>
      </w:r>
    </w:p>
  </w:footnote>
  <w:footnote w:type="continuationSeparator" w:id="0">
    <w:p w14:paraId="471238E2" w14:textId="77777777" w:rsidR="00793F99" w:rsidRDefault="00793F99" w:rsidP="004B4412">
      <w:pPr>
        <w:spacing w:before="0"/>
      </w:pPr>
      <w:r>
        <w:continuationSeparator/>
      </w:r>
    </w:p>
  </w:footnote>
  <w:footnote w:type="continuationNotice" w:id="1">
    <w:p w14:paraId="748EAFFC" w14:textId="77777777" w:rsidR="00793F99" w:rsidRDefault="00793F99">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8AA2C" w14:textId="77777777" w:rsidR="00C45BE5" w:rsidRDefault="00C45B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9AA7B" w14:textId="77777777" w:rsidR="00C45BE5" w:rsidRDefault="00C45B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trackRevisions/>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699B"/>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54"/>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5EB0"/>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635"/>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2623D"/>
    <w:rsid w:val="00232194"/>
    <w:rsid w:val="00232AD1"/>
    <w:rsid w:val="0023448E"/>
    <w:rsid w:val="0024410E"/>
    <w:rsid w:val="00246021"/>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B6F07"/>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4108"/>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5E4"/>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1D62"/>
    <w:rsid w:val="0045282D"/>
    <w:rsid w:val="004530D4"/>
    <w:rsid w:val="004531A5"/>
    <w:rsid w:val="0045354E"/>
    <w:rsid w:val="004536FD"/>
    <w:rsid w:val="00454048"/>
    <w:rsid w:val="00454A57"/>
    <w:rsid w:val="00455C71"/>
    <w:rsid w:val="004575F8"/>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35A"/>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072"/>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58E4"/>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07AD"/>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2E85"/>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3F99"/>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650"/>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44A8"/>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1C"/>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4D28"/>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66E14"/>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4D6E"/>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0A1"/>
    <w:rsid w:val="00B13CDB"/>
    <w:rsid w:val="00B13DC7"/>
    <w:rsid w:val="00B1404F"/>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096"/>
    <w:rsid w:val="00B51F5C"/>
    <w:rsid w:val="00B5461F"/>
    <w:rsid w:val="00B549E8"/>
    <w:rsid w:val="00B5505C"/>
    <w:rsid w:val="00B55A8E"/>
    <w:rsid w:val="00B56669"/>
    <w:rsid w:val="00B56E03"/>
    <w:rsid w:val="00B570ED"/>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5BE5"/>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4CC"/>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11A"/>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16BF3"/>
    <w:rsid w:val="00F20BD3"/>
    <w:rsid w:val="00F22D05"/>
    <w:rsid w:val="00F233AC"/>
    <w:rsid w:val="00F23868"/>
    <w:rsid w:val="00F2518D"/>
    <w:rsid w:val="00F25597"/>
    <w:rsid w:val="00F26F56"/>
    <w:rsid w:val="00F277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392"/>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43BC"/>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665</Words>
  <Characters>3686</Characters>
  <Application>Microsoft Office Word</Application>
  <DocSecurity>0</DocSecurity>
  <Lines>67</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George Ankers</cp:lastModifiedBy>
  <cp:revision>10</cp:revision>
  <cp:lastPrinted>2022-05-27T10:23:00Z</cp:lastPrinted>
  <dcterms:created xsi:type="dcterms:W3CDTF">2026-05-19T03:44:00Z</dcterms:created>
  <dcterms:modified xsi:type="dcterms:W3CDTF">2026-05-25T04:38:00Z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