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2EBE59F7" w:rsidR="0048658D" w:rsidRDefault="00B24A59" w:rsidP="00B24A59">
          <w:pPr>
            <w:pStyle w:val="Heading1"/>
          </w:pPr>
          <w:r>
            <w:rPr>
              <w:rFonts w:cs="Arial"/>
              <w:szCs w:val="26"/>
            </w:rPr>
            <w:t>Q</w:t>
          </w:r>
          <w:r w:rsidR="0048658D">
            <w:t>uestionnaire</w:t>
          </w:r>
          <w:r w:rsidR="00A23FD3">
            <w:t xml:space="preserve">: </w:t>
          </w:r>
          <w:r w:rsidR="00A06DC4">
            <w:t xml:space="preserve">Carlyle </w:t>
          </w:r>
          <w:r w:rsidR="00A23FD3">
            <w:t xml:space="preserve">– </w:t>
          </w:r>
          <w:r w:rsidR="00A06DC4">
            <w:t>BASF Coatings</w:t>
          </w:r>
          <w:r w:rsidR="00A23FD3">
            <w:t xml:space="preserve"> </w:t>
          </w:r>
        </w:p>
        <w:p w14:paraId="3B287C00" w14:textId="7130F1A7" w:rsidR="00A23FD3" w:rsidRDefault="00A06DC4" w:rsidP="00A23FD3">
          <w:pPr>
            <w:pStyle w:val="Titlepagefilenumber"/>
            <w:jc w:val="left"/>
          </w:pPr>
          <w:r>
            <w:t>MN-01064</w:t>
          </w:r>
        </w:p>
        <w:p w14:paraId="51182443" w14:textId="1AA288DF" w:rsidR="00AC62DE" w:rsidRPr="00A23FD3" w:rsidRDefault="0048658D" w:rsidP="00A23FD3">
          <w:pPr>
            <w:pStyle w:val="Heading2"/>
            <w:spacing w:before="240" w:after="240"/>
            <w:rPr>
              <w:highlight w:val="yellow"/>
            </w:rPr>
          </w:pPr>
          <w:r w:rsidRPr="00945188">
            <w:t>Deadline to respond:</w:t>
          </w:r>
          <w:r w:rsidR="00A23FD3" w:rsidRPr="00945188">
            <w:t xml:space="preserve"> </w:t>
          </w:r>
          <w:r w:rsidR="00A06DC4">
            <w:t>4 December 2025</w:t>
          </w:r>
        </w:p>
        <w:p w14:paraId="03108491" w14:textId="22751133" w:rsidR="00E772B4" w:rsidRPr="00A06DC4" w:rsidRDefault="00E772B4" w:rsidP="00E772B4">
          <w:r>
            <w:t xml:space="preserve">The </w:t>
          </w:r>
          <w:r w:rsidR="001A511B">
            <w:t xml:space="preserve">Australian Competition </w:t>
          </w:r>
          <w:r w:rsidR="002D56CB">
            <w:t>and Consumer Commission (</w:t>
          </w:r>
          <w:r w:rsidR="002D56CB">
            <w:rPr>
              <w:b/>
              <w:bCs/>
            </w:rPr>
            <w:t>ACCC</w:t>
          </w:r>
          <w:r w:rsidR="002D56CB">
            <w:t>) is currently assessing</w:t>
          </w:r>
          <w:r w:rsidR="00A06DC4">
            <w:t xml:space="preserve"> the acquisition by the Carlyle Group Inc. (</w:t>
          </w:r>
          <w:r w:rsidR="00A06DC4" w:rsidRPr="00A06DC4">
            <w:rPr>
              <w:b/>
              <w:bCs/>
            </w:rPr>
            <w:t>Carly</w:t>
          </w:r>
          <w:r w:rsidR="0081568D">
            <w:rPr>
              <w:b/>
              <w:bCs/>
            </w:rPr>
            <w:t>l</w:t>
          </w:r>
          <w:r w:rsidR="00A06DC4" w:rsidRPr="00A06DC4">
            <w:rPr>
              <w:b/>
              <w:bCs/>
            </w:rPr>
            <w:t>e</w:t>
          </w:r>
          <w:r w:rsidR="00A06DC4">
            <w:t>)</w:t>
          </w:r>
          <w:r w:rsidR="002D56CB">
            <w:t xml:space="preserve"> </w:t>
          </w:r>
          <w:r w:rsidR="00A06DC4">
            <w:t xml:space="preserve">of BASF </w:t>
          </w:r>
          <w:r w:rsidR="00900921">
            <w:t>SE’s coatings division (</w:t>
          </w:r>
          <w:r w:rsidR="00900921" w:rsidRPr="00900921">
            <w:rPr>
              <w:b/>
              <w:bCs/>
            </w:rPr>
            <w:t>BASF Coatings</w:t>
          </w:r>
          <w:r w:rsidR="00765633" w:rsidRPr="00765633">
            <w:t>)</w:t>
          </w:r>
          <w:r w:rsidR="00900921">
            <w:t xml:space="preserve"> (the </w:t>
          </w:r>
          <w:r w:rsidR="00900921" w:rsidRPr="00900921">
            <w:rPr>
              <w:b/>
              <w:bCs/>
            </w:rPr>
            <w:t>Acquisition</w:t>
          </w:r>
          <w:r w:rsidR="00900921">
            <w:t>).</w:t>
          </w:r>
          <w:r w:rsidR="002D56CB">
            <w:rPr>
              <w:bCs/>
            </w:rPr>
            <w:t xml:space="preserve"> </w:t>
          </w:r>
        </w:p>
        <w:p w14:paraId="2CFCC2E1" w14:textId="7915456B"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12" w:history="1">
            <w:r w:rsidR="00631F19" w:rsidRPr="007A2972">
              <w:rPr>
                <w:rStyle w:val="Hyperlink"/>
              </w:rPr>
              <w:t>Acquisitions Register</w:t>
            </w:r>
          </w:hyperlink>
          <w:r w:rsidR="00631F19">
            <w:t>.</w:t>
          </w:r>
        </w:p>
        <w:p w14:paraId="393554F4" w14:textId="0BD4EA77"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by </w:t>
          </w:r>
          <w:r w:rsidR="00900921">
            <w:t xml:space="preserve">4 December 2025 </w:t>
          </w:r>
          <w:r w:rsidR="00CB6FED">
            <w:t>via email to</w:t>
          </w:r>
          <w:r w:rsidR="008A70E9">
            <w:t xml:space="preserve"> </w:t>
          </w:r>
          <w:hyperlink r:id="rId13" w:history="1">
            <w:r w:rsidR="00136F75" w:rsidRPr="00CB1D7C">
              <w:rPr>
                <w:rStyle w:val="Hyperlink"/>
              </w:rPr>
              <w:t>mergers@accc.gov.au</w:t>
            </w:r>
          </w:hyperlink>
          <w:r w:rsidR="00136F75">
            <w:t xml:space="preserve"> with the title </w:t>
          </w:r>
          <w:r w:rsidR="00136F75">
            <w:rPr>
              <w:i/>
              <w:iCs/>
            </w:rPr>
            <w:t>Submission re:</w:t>
          </w:r>
          <w:r w:rsidR="00D437E4">
            <w:rPr>
              <w:i/>
              <w:iCs/>
            </w:rPr>
            <w:t xml:space="preserve"> </w:t>
          </w:r>
          <w:bookmarkStart w:id="0" w:name="_Hlk206001287"/>
          <w:r w:rsidR="00900921">
            <w:rPr>
              <w:i/>
              <w:iCs/>
            </w:rPr>
            <w:t>Carlyle – BASF Coatings.</w:t>
          </w:r>
          <w:bookmarkEnd w:id="0"/>
          <w:r>
            <w:t xml:space="preserve"> </w:t>
          </w:r>
        </w:p>
        <w:p w14:paraId="48CF3A2E" w14:textId="4A93CE2A" w:rsidR="009D220E" w:rsidRPr="004A5E24" w:rsidRDefault="009D220E" w:rsidP="00E772B4">
          <w:pPr>
            <w:rPr>
              <w:i/>
              <w:iCs/>
            </w:rPr>
          </w:pPr>
          <w:bookmarkStart w:id="1" w:name="_Hlk206001294"/>
          <w:r>
            <w:t xml:space="preserve">If you would prefer to </w:t>
          </w:r>
          <w:r w:rsidR="006D1B76">
            <w:t xml:space="preserve">speak to a member of the ACCC case team, </w:t>
          </w:r>
          <w:r>
            <w:t>please</w:t>
          </w:r>
          <w:r w:rsidR="00B244CE">
            <w:t xml:space="preserve"> email </w:t>
          </w:r>
          <w:hyperlink r:id="rId14" w:history="1">
            <w:r w:rsidR="00B244CE" w:rsidRPr="00CB1D7C">
              <w:rPr>
                <w:rStyle w:val="Hyperlink"/>
              </w:rPr>
              <w:t>mergers@accc.gov.au</w:t>
            </w:r>
          </w:hyperlink>
          <w:r w:rsidR="00B244CE">
            <w:t xml:space="preserve"> </w:t>
          </w:r>
          <w:r w:rsidR="006D1B76">
            <w:t xml:space="preserve">with the title </w:t>
          </w:r>
          <w:r w:rsidR="006D1B76">
            <w:rPr>
              <w:i/>
              <w:iCs/>
            </w:rPr>
            <w:t xml:space="preserve">Request for call re: </w:t>
          </w:r>
          <w:r w:rsidR="00900921">
            <w:rPr>
              <w:i/>
              <w:iCs/>
            </w:rPr>
            <w:t>Carlyle – BASF Coatings</w:t>
          </w:r>
          <w:r w:rsidR="006D1B76">
            <w:t>.</w:t>
          </w:r>
          <w:bookmarkEnd w:id="1"/>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w:t>
          </w:r>
          <w:proofErr w:type="spellStart"/>
          <w:r w:rsidR="00A745B5">
            <w:t>Cth</w:t>
          </w:r>
          <w:proofErr w:type="spellEnd"/>
          <w:r w:rsidR="00A745B5">
            <w:t xml:space="preserve">) (the </w:t>
          </w:r>
          <w:r w:rsidR="00A745B5" w:rsidRPr="00A47287">
            <w:rPr>
              <w:b/>
              <w:bCs/>
            </w:rPr>
            <w:t>Act</w:t>
          </w:r>
          <w:r w:rsidR="00A745B5">
            <w:t>)</w:t>
          </w:r>
          <w:r w:rsidR="00C55F9D">
            <w:t>. This means that while</w:t>
          </w:r>
          <w:r w:rsidR="00A745B5">
            <w:t xml:space="preserve"> </w:t>
          </w:r>
          <w:r w:rsidR="002F29A8">
            <w:t xml:space="preserve">the ACCC may </w:t>
          </w:r>
          <w:proofErr w:type="gramStart"/>
          <w:r w:rsidR="002F29A8">
            <w:t>take into account</w:t>
          </w:r>
          <w:proofErr w:type="gramEnd"/>
          <w:r w:rsidR="002F29A8">
            <w:t xml:space="preserve">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5"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57FED917" w14:textId="549B8B6B" w:rsidR="00E006B5" w:rsidRDefault="00617DC8" w:rsidP="00E006B5">
          <w:pPr>
            <w:pStyle w:val="Heading2"/>
          </w:pPr>
          <w:r>
            <w:t xml:space="preserve">Questions </w:t>
          </w:r>
        </w:p>
        <w:p w14:paraId="41E64392" w14:textId="42BC88BC" w:rsidR="003A40C5" w:rsidRPr="001E3CB1" w:rsidRDefault="003A40C5" w:rsidP="003A40C5">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Outline any concerns </w:t>
          </w:r>
          <w:r w:rsidR="00DC2AA0">
            <w:rPr>
              <w:rFonts w:asciiTheme="minorHAnsi" w:hAnsiTheme="minorHAnsi"/>
              <w:sz w:val="22"/>
              <w:szCs w:val="22"/>
              <w:lang w:val="en-AU"/>
            </w:rPr>
            <w:t>regarding</w:t>
          </w:r>
          <w:r w:rsidR="00440FDE">
            <w:rPr>
              <w:rFonts w:asciiTheme="minorHAnsi" w:hAnsiTheme="minorHAnsi"/>
              <w:sz w:val="22"/>
              <w:szCs w:val="22"/>
              <w:lang w:val="en-AU"/>
            </w:rPr>
            <w:t xml:space="preserve"> the impact of the Acquisition on competition,</w:t>
          </w:r>
          <w:r w:rsidRPr="001E3CB1">
            <w:rPr>
              <w:rFonts w:asciiTheme="minorHAnsi" w:hAnsiTheme="minorHAnsi"/>
              <w:sz w:val="22"/>
              <w:szCs w:val="22"/>
              <w:lang w:val="en-AU"/>
            </w:rPr>
            <w:t xml:space="preserve"> including </w:t>
          </w:r>
          <w:r w:rsidR="009579F5" w:rsidRPr="009579F5">
            <w:rPr>
              <w:rFonts w:asciiTheme="minorHAnsi" w:hAnsiTheme="minorHAnsi"/>
              <w:sz w:val="22"/>
              <w:szCs w:val="22"/>
              <w:lang w:val="en-AU"/>
            </w:rPr>
            <w:t>if</w:t>
          </w:r>
          <w:r w:rsidR="00900921">
            <w:rPr>
              <w:rFonts w:asciiTheme="minorHAnsi" w:hAnsiTheme="minorHAnsi"/>
              <w:sz w:val="22"/>
              <w:szCs w:val="22"/>
              <w:lang w:val="en-AU"/>
            </w:rPr>
            <w:t xml:space="preserve"> Carlyle and BASF Coatings</w:t>
          </w:r>
          <w:r w:rsidR="009579F5" w:rsidRPr="009579F5">
            <w:rPr>
              <w:rFonts w:asciiTheme="minorHAnsi" w:hAnsiTheme="minorHAnsi"/>
              <w:sz w:val="22"/>
              <w:szCs w:val="22"/>
              <w:lang w:val="en-AU"/>
            </w:rPr>
            <w:t xml:space="preserve"> are close competitors and there are not many alternatives or if one is a major supplier to competitors of the othe</w:t>
          </w:r>
          <w:r w:rsidR="009579F5">
            <w:rPr>
              <w:rFonts w:asciiTheme="minorHAnsi" w:hAnsiTheme="minorHAnsi"/>
              <w:sz w:val="22"/>
              <w:szCs w:val="22"/>
              <w:lang w:val="en-AU"/>
            </w:rPr>
            <w:t>r</w:t>
          </w:r>
          <w:r w:rsidRPr="001E3CB1">
            <w:rPr>
              <w:rFonts w:asciiTheme="minorHAnsi" w:hAnsiTheme="minorHAnsi"/>
              <w:sz w:val="22"/>
              <w:szCs w:val="22"/>
              <w:lang w:val="en-AU"/>
            </w:rPr>
            <w:t>.</w:t>
          </w:r>
        </w:p>
        <w:p w14:paraId="39BB0691" w14:textId="77777777" w:rsidR="003A40C5" w:rsidRPr="001E3CB1" w:rsidRDefault="003A40C5" w:rsidP="003A40C5">
          <w:pPr>
            <w:pStyle w:val="BoxText"/>
            <w:rPr>
              <w:rFonts w:asciiTheme="minorHAnsi" w:hAnsiTheme="minorHAnsi"/>
              <w:sz w:val="22"/>
              <w:szCs w:val="22"/>
            </w:rPr>
          </w:pPr>
        </w:p>
        <w:p w14:paraId="4E7D6A84" w14:textId="05F62619" w:rsidR="00CD1C13" w:rsidRPr="001E3CB1" w:rsidRDefault="00CD1C13" w:rsidP="00CD1C13">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1E3CB1" w:rsidRDefault="00CD1C13" w:rsidP="00CD1C13">
          <w:pPr>
            <w:pStyle w:val="BoxText"/>
            <w:rPr>
              <w:rFonts w:asciiTheme="minorHAnsi" w:hAnsiTheme="minorHAnsi"/>
              <w:sz w:val="22"/>
              <w:szCs w:val="22"/>
            </w:rPr>
          </w:pPr>
        </w:p>
        <w:p w14:paraId="2DFE6B2E" w14:textId="34991331" w:rsidR="00255A56" w:rsidRPr="001E3CB1"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1E3CB1">
            <w:rPr>
              <w:rFonts w:asciiTheme="minorHAnsi" w:hAnsiTheme="minorHAnsi"/>
              <w:sz w:val="22"/>
              <w:szCs w:val="22"/>
              <w:lang w:val="en-AU"/>
            </w:rPr>
            <w:t xml:space="preserve">Provide a brief description of your business or organisation, including </w:t>
          </w:r>
          <w:r w:rsidR="00EC46E6" w:rsidRPr="001E3CB1">
            <w:rPr>
              <w:rFonts w:asciiTheme="minorHAnsi" w:hAnsiTheme="minorHAnsi"/>
              <w:sz w:val="22"/>
              <w:szCs w:val="22"/>
              <w:lang w:val="en-AU"/>
            </w:rPr>
            <w:t>any commercial relationships with</w:t>
          </w:r>
          <w:r w:rsidRPr="001E3CB1">
            <w:rPr>
              <w:rFonts w:asciiTheme="minorHAnsi" w:hAnsiTheme="minorHAnsi"/>
              <w:sz w:val="22"/>
              <w:szCs w:val="22"/>
              <w:lang w:val="en-AU"/>
            </w:rPr>
            <w:t xml:space="preserve"> </w:t>
          </w:r>
          <w:r w:rsidR="00900921">
            <w:rPr>
              <w:rFonts w:asciiTheme="minorHAnsi" w:hAnsiTheme="minorHAnsi"/>
              <w:sz w:val="22"/>
              <w:szCs w:val="22"/>
              <w:lang w:val="en-AU"/>
            </w:rPr>
            <w:t xml:space="preserve">Carlyle </w:t>
          </w:r>
          <w:r w:rsidRPr="001E3CB1">
            <w:rPr>
              <w:rFonts w:asciiTheme="minorHAnsi" w:hAnsiTheme="minorHAnsi"/>
              <w:sz w:val="22"/>
              <w:szCs w:val="22"/>
              <w:lang w:val="en-AU"/>
            </w:rPr>
            <w:t>and</w:t>
          </w:r>
          <w:r w:rsidR="00EC46E6" w:rsidRPr="001E3CB1">
            <w:rPr>
              <w:rFonts w:asciiTheme="minorHAnsi" w:hAnsiTheme="minorHAnsi"/>
              <w:sz w:val="22"/>
              <w:szCs w:val="22"/>
              <w:lang w:val="en-AU"/>
            </w:rPr>
            <w:t>/</w:t>
          </w:r>
          <w:r w:rsidRPr="001E3CB1">
            <w:rPr>
              <w:rFonts w:asciiTheme="minorHAnsi" w:hAnsiTheme="minorHAnsi"/>
              <w:sz w:val="22"/>
              <w:szCs w:val="22"/>
              <w:lang w:val="en-AU"/>
            </w:rPr>
            <w:t>or</w:t>
          </w:r>
          <w:r w:rsidR="00900921">
            <w:rPr>
              <w:rFonts w:asciiTheme="minorHAnsi" w:hAnsiTheme="minorHAnsi"/>
              <w:sz w:val="22"/>
              <w:szCs w:val="22"/>
              <w:lang w:val="en-AU"/>
            </w:rPr>
            <w:t xml:space="preserve"> BASF Coatings</w:t>
          </w:r>
          <w:r w:rsidR="004C4854" w:rsidRPr="001E3CB1">
            <w:rPr>
              <w:rFonts w:asciiTheme="minorHAnsi" w:hAnsiTheme="minorHAnsi"/>
              <w:sz w:val="22"/>
              <w:szCs w:val="22"/>
              <w:lang w:val="en-AU"/>
            </w:rPr>
            <w:t>.</w:t>
          </w:r>
        </w:p>
        <w:bookmarkEnd w:id="2"/>
        <w:p w14:paraId="3B6FEA7E" w14:textId="0C593323" w:rsidR="00BA6C58" w:rsidRPr="001E3CB1" w:rsidRDefault="00BA6C58" w:rsidP="00255A56">
          <w:pPr>
            <w:pStyle w:val="BoxText"/>
            <w:rPr>
              <w:rFonts w:asciiTheme="minorHAnsi" w:hAnsiTheme="minorHAnsi"/>
              <w:sz w:val="22"/>
              <w:szCs w:val="22"/>
            </w:rPr>
          </w:pPr>
        </w:p>
        <w:p w14:paraId="3F8F2794" w14:textId="47848112" w:rsidR="008959DD" w:rsidRDefault="001706FC"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3"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2C9A91AD"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6" w:history="1">
              <w:r w:rsidRPr="00760DD0">
                <w:rPr>
                  <w:rStyle w:val="Hyperlink"/>
                  <w:rFonts w:asciiTheme="minorHAnsi" w:hAnsiTheme="minorHAnsi"/>
                  <w:b w:val="0"/>
                  <w:sz w:val="20"/>
                  <w:szCs w:val="20"/>
                </w:rPr>
                <w:t>interim merger process guidelines</w:t>
              </w:r>
            </w:hyperlink>
            <w:r w:rsidRPr="00760DD0">
              <w:rPr>
                <w:rStyle w:val="Strong"/>
                <w:rFonts w:asciiTheme="minorHAnsi" w:hAnsiTheme="minorHAnsi"/>
                <w:color w:val="000000" w:themeColor="text1"/>
                <w:szCs w:val="20"/>
              </w:rPr>
              <w:t>.</w:t>
            </w:r>
            <w:bookmarkEnd w:id="3"/>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62422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A4247" w14:textId="77777777" w:rsidR="00461A74" w:rsidRDefault="00461A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324F" w14:textId="77777777" w:rsidR="00461A74" w:rsidRDefault="00461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69B6D" w14:textId="77777777" w:rsidR="00461A74" w:rsidRDefault="00461A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CD459" w14:textId="77777777" w:rsidR="00461A74" w:rsidRDefault="00461A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trackRevisions/>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2B12"/>
    <w:rsid w:val="00103182"/>
    <w:rsid w:val="001033D9"/>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06FC"/>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D90"/>
    <w:rsid w:val="00367D84"/>
    <w:rsid w:val="00367E3B"/>
    <w:rsid w:val="003709E7"/>
    <w:rsid w:val="00371CB0"/>
    <w:rsid w:val="00372E11"/>
    <w:rsid w:val="00373FAC"/>
    <w:rsid w:val="003749B9"/>
    <w:rsid w:val="00374C60"/>
    <w:rsid w:val="00375256"/>
    <w:rsid w:val="00375930"/>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4F7DC3"/>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44"/>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320"/>
    <w:rsid w:val="005C26CC"/>
    <w:rsid w:val="005C3085"/>
    <w:rsid w:val="005C3AF2"/>
    <w:rsid w:val="005C4112"/>
    <w:rsid w:val="005C4D5E"/>
    <w:rsid w:val="005C5E22"/>
    <w:rsid w:val="005D00F2"/>
    <w:rsid w:val="005D0DF6"/>
    <w:rsid w:val="005D1056"/>
    <w:rsid w:val="005D1401"/>
    <w:rsid w:val="005D1D9B"/>
    <w:rsid w:val="005D1E37"/>
    <w:rsid w:val="005D35D7"/>
    <w:rsid w:val="005D39F3"/>
    <w:rsid w:val="005D5515"/>
    <w:rsid w:val="005D5A94"/>
    <w:rsid w:val="005D5DB5"/>
    <w:rsid w:val="005D7A50"/>
    <w:rsid w:val="005D7DD2"/>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8CB"/>
    <w:rsid w:val="006A3C09"/>
    <w:rsid w:val="006A3FD2"/>
    <w:rsid w:val="006A47D3"/>
    <w:rsid w:val="006A5493"/>
    <w:rsid w:val="006A7517"/>
    <w:rsid w:val="006A7FAE"/>
    <w:rsid w:val="006B1EA5"/>
    <w:rsid w:val="006B1F08"/>
    <w:rsid w:val="006B229D"/>
    <w:rsid w:val="006B3A12"/>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5633"/>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4126"/>
    <w:rsid w:val="00814614"/>
    <w:rsid w:val="0081522D"/>
    <w:rsid w:val="0081568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0921"/>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AB4"/>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06DC4"/>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3B63"/>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791F"/>
    <w:rsid w:val="00AD7E68"/>
    <w:rsid w:val="00AE0FE2"/>
    <w:rsid w:val="00AE1BF1"/>
    <w:rsid w:val="00AE1E0A"/>
    <w:rsid w:val="00AE2476"/>
    <w:rsid w:val="00AE2638"/>
    <w:rsid w:val="00AE4CBA"/>
    <w:rsid w:val="00AE5DED"/>
    <w:rsid w:val="00AF0DD2"/>
    <w:rsid w:val="00AF1692"/>
    <w:rsid w:val="00AF1AC2"/>
    <w:rsid w:val="00AF248F"/>
    <w:rsid w:val="00AF268C"/>
    <w:rsid w:val="00AF5B2D"/>
    <w:rsid w:val="00B01E50"/>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E03"/>
    <w:rsid w:val="00B60BB0"/>
    <w:rsid w:val="00B60D3B"/>
    <w:rsid w:val="00B60F5D"/>
    <w:rsid w:val="00B620A9"/>
    <w:rsid w:val="00B63023"/>
    <w:rsid w:val="00B67834"/>
    <w:rsid w:val="00B67E91"/>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E25"/>
    <w:rsid w:val="00C011F3"/>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7AFA"/>
    <w:rsid w:val="00D40D94"/>
    <w:rsid w:val="00D40DC3"/>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3615"/>
    <w:rsid w:val="00EB3A1C"/>
    <w:rsid w:val="00EB6361"/>
    <w:rsid w:val="00EB6BAD"/>
    <w:rsid w:val="00EC0053"/>
    <w:rsid w:val="00EC0A05"/>
    <w:rsid w:val="00EC0DA1"/>
    <w:rsid w:val="00EC2824"/>
    <w:rsid w:val="00EC2F4B"/>
    <w:rsid w:val="00EC3A55"/>
    <w:rsid w:val="00EC46E6"/>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1B24"/>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Pages>
  <Words>590</Words>
  <Characters>3368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Charlotte van Beek</cp:lastModifiedBy>
  <cp:revision>4</cp:revision>
  <cp:lastPrinted>2022-05-27T10:23:00Z</cp:lastPrinted>
  <dcterms:created xsi:type="dcterms:W3CDTF">2025-11-27T03:04:00Z</dcterms:created>
  <dcterms:modified xsi:type="dcterms:W3CDTF">2025-11-27T04:07:00Z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