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60A38F77"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2D3187">
            <w:t>OCTA</w:t>
          </w:r>
          <w:r w:rsidR="008C09AC" w:rsidRPr="00D430AE">
            <w:t xml:space="preserve"> </w:t>
          </w:r>
          <w:r w:rsidR="00A23FD3" w:rsidRPr="00D430AE">
            <w:t xml:space="preserve">– </w:t>
          </w:r>
          <w:r w:rsidR="002D3187">
            <w:t>Woodside-EDL LNG JV</w:t>
          </w:r>
          <w:r w:rsidR="00A23FD3" w:rsidRPr="00D430AE">
            <w:t xml:space="preserve"> </w:t>
          </w:r>
        </w:p>
        <w:p w14:paraId="3B287C00" w14:textId="022C60A8" w:rsidR="00A23FD3" w:rsidRPr="00D430AE" w:rsidRDefault="00FB4ED5" w:rsidP="00A23FD3">
          <w:pPr>
            <w:pStyle w:val="Titlepagefilenumber"/>
            <w:jc w:val="left"/>
            <w:rPr>
              <w:rFonts w:asciiTheme="minorHAnsi" w:hAnsiTheme="minorHAnsi"/>
            </w:rPr>
          </w:pPr>
          <w:r w:rsidRPr="00FB4ED5">
            <w:rPr>
              <w:rFonts w:asciiTheme="minorHAnsi" w:hAnsiTheme="minorHAnsi"/>
            </w:rPr>
            <w:t>MN-10044</w:t>
          </w:r>
        </w:p>
        <w:p w14:paraId="51182443" w14:textId="536F6AC0"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FA6592">
            <w:t>5 November 2026</w:t>
          </w:r>
        </w:p>
        <w:p w14:paraId="03108491" w14:textId="5073144C" w:rsidR="00E772B4" w:rsidRDefault="00E772B4" w:rsidP="00E772B4">
          <w:pPr>
            <w:rPr>
              <w:rFonts w:asciiTheme="minorHAnsi" w:hAnsiTheme="minorHAnsi"/>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9D4948" w:rsidRPr="009D4948">
            <w:rPr>
              <w:rFonts w:asciiTheme="minorHAnsi" w:hAnsiTheme="minorHAnsi"/>
            </w:rPr>
            <w:t xml:space="preserve">Mid-West LNG Equipment Pty </w:t>
          </w:r>
          <w:proofErr w:type="spellStart"/>
          <w:r w:rsidR="009D4948" w:rsidRPr="009D4948">
            <w:rPr>
              <w:rFonts w:asciiTheme="minorHAnsi" w:hAnsiTheme="minorHAnsi"/>
            </w:rPr>
            <w:t>Ltd</w:t>
          </w:r>
          <w:r w:rsidR="009D4948">
            <w:rPr>
              <w:rFonts w:asciiTheme="minorHAnsi" w:hAnsiTheme="minorHAnsi"/>
            </w:rPr>
            <w:t>’s</w:t>
          </w:r>
          <w:proofErr w:type="spellEnd"/>
          <w:r w:rsidR="009D4948" w:rsidRPr="009D4948">
            <w:rPr>
              <w:rFonts w:asciiTheme="minorHAnsi" w:hAnsiTheme="minorHAnsi"/>
            </w:rPr>
            <w:t xml:space="preserve"> (</w:t>
          </w:r>
          <w:r w:rsidR="009D4948" w:rsidRPr="009D4948">
            <w:rPr>
              <w:rFonts w:asciiTheme="minorHAnsi" w:hAnsiTheme="minorHAnsi"/>
              <w:b/>
              <w:bCs/>
            </w:rPr>
            <w:t>OCTA</w:t>
          </w:r>
          <w:r w:rsidR="009D4948" w:rsidRPr="009D4948">
            <w:rPr>
              <w:rFonts w:asciiTheme="minorHAnsi" w:hAnsiTheme="minorHAnsi"/>
            </w:rPr>
            <w:t>) propose</w:t>
          </w:r>
          <w:r w:rsidR="009441DF">
            <w:rPr>
              <w:rFonts w:asciiTheme="minorHAnsi" w:hAnsiTheme="minorHAnsi"/>
            </w:rPr>
            <w:t xml:space="preserve">d acquisition of </w:t>
          </w:r>
          <w:r w:rsidR="009D4948" w:rsidRPr="009D4948">
            <w:rPr>
              <w:rFonts w:asciiTheme="minorHAnsi" w:hAnsiTheme="minorHAnsi"/>
            </w:rPr>
            <w:t>the assets of the EDL LNG Fuel to Power Pty Ltd and Woodside Energy (LNG Fuels and Power) Pty Ltd joint venture (</w:t>
          </w:r>
          <w:r w:rsidR="009D4948" w:rsidRPr="009D4948">
            <w:rPr>
              <w:rFonts w:asciiTheme="minorHAnsi" w:hAnsiTheme="minorHAnsi"/>
              <w:b/>
              <w:bCs/>
            </w:rPr>
            <w:t>WEJV</w:t>
          </w:r>
          <w:r w:rsidR="009D4948" w:rsidRPr="009D4948">
            <w:rPr>
              <w:rFonts w:asciiTheme="minorHAnsi" w:hAnsiTheme="minorHAnsi"/>
            </w:rPr>
            <w:t xml:space="preserve">) (the </w:t>
          </w:r>
          <w:r w:rsidR="009D4948" w:rsidRPr="00DC2A19">
            <w:rPr>
              <w:rFonts w:asciiTheme="minorHAnsi" w:hAnsiTheme="minorHAnsi"/>
              <w:b/>
              <w:bCs/>
            </w:rPr>
            <w:t>Acquisition</w:t>
          </w:r>
          <w:r w:rsidR="009D4948" w:rsidRPr="009D4948">
            <w:rPr>
              <w:rFonts w:asciiTheme="minorHAnsi" w:hAnsiTheme="minorHAnsi"/>
            </w:rPr>
            <w:t xml:space="preserve">). </w:t>
          </w:r>
          <w:r w:rsidR="00DC2A19" w:rsidRPr="00DC2A19">
            <w:rPr>
              <w:rFonts w:asciiTheme="minorHAnsi" w:hAnsiTheme="minorHAnsi"/>
            </w:rPr>
            <w:t>The Acquisition involves OCTA acquiring three contracts for the supply of trucked liquefied natural gas (</w:t>
          </w:r>
          <w:r w:rsidR="00DC2A19" w:rsidRPr="00DC2A19">
            <w:rPr>
              <w:rFonts w:asciiTheme="minorHAnsi" w:hAnsiTheme="minorHAnsi"/>
              <w:b/>
              <w:bCs/>
            </w:rPr>
            <w:t>LNG</w:t>
          </w:r>
          <w:r w:rsidR="00DC2A19" w:rsidRPr="00DC2A19">
            <w:rPr>
              <w:rFonts w:asciiTheme="minorHAnsi" w:hAnsiTheme="minorHAnsi"/>
            </w:rPr>
            <w:t xml:space="preserve">) to mining sites in Western Australia, LNG inventory and associated plant and equipment. These assets constitute substantially all the assets of the WEJV business. </w:t>
          </w:r>
        </w:p>
        <w:p w14:paraId="691D8A01" w14:textId="3053713B" w:rsidR="002B3687" w:rsidRPr="00D430AE" w:rsidRDefault="00E02089" w:rsidP="00E772B4">
          <w:pPr>
            <w:rPr>
              <w:rFonts w:asciiTheme="minorHAnsi" w:hAnsiTheme="minorHAnsi"/>
              <w:bCs/>
            </w:rPr>
          </w:pPr>
          <w:r>
            <w:rPr>
              <w:rFonts w:asciiTheme="minorHAnsi" w:hAnsiTheme="minorHAnsi"/>
              <w:bCs/>
            </w:rPr>
            <w:t xml:space="preserve">Relevant to the Acquisition, </w:t>
          </w:r>
          <w:r w:rsidR="002B3687" w:rsidRPr="002B3687">
            <w:rPr>
              <w:rFonts w:asciiTheme="minorHAnsi" w:hAnsiTheme="minorHAnsi"/>
              <w:bCs/>
            </w:rPr>
            <w:t>OCTA, through</w:t>
          </w:r>
          <w:r w:rsidR="00F63A4D">
            <w:rPr>
              <w:rFonts w:asciiTheme="minorHAnsi" w:hAnsiTheme="minorHAnsi"/>
              <w:bCs/>
            </w:rPr>
            <w:t xml:space="preserve"> its subsidiaries</w:t>
          </w:r>
          <w:r w:rsidR="002B3687" w:rsidRPr="002B3687">
            <w:rPr>
              <w:rFonts w:asciiTheme="minorHAnsi" w:hAnsiTheme="minorHAnsi"/>
              <w:bCs/>
            </w:rPr>
            <w:t xml:space="preserve"> Clean Energy Fuels Australia (</w:t>
          </w:r>
          <w:r w:rsidR="002B3687" w:rsidRPr="002B3687">
            <w:rPr>
              <w:rFonts w:asciiTheme="minorHAnsi" w:hAnsiTheme="minorHAnsi"/>
              <w:b/>
            </w:rPr>
            <w:t>CEFA</w:t>
          </w:r>
          <w:r w:rsidR="002B3687" w:rsidRPr="002B3687">
            <w:rPr>
              <w:rFonts w:asciiTheme="minorHAnsi" w:hAnsiTheme="minorHAnsi"/>
              <w:bCs/>
            </w:rPr>
            <w:t>) and EVOL LNG, delivers LNG via road tanker to satellite facilities at mines and remote communities across Western Australia.</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9" w:history="1">
            <w:r w:rsidR="00631F19" w:rsidRPr="00D430AE">
              <w:rPr>
                <w:rStyle w:val="Hyperlink"/>
                <w:rFonts w:asciiTheme="minorHAnsi" w:hAnsiTheme="minorHAnsi"/>
              </w:rPr>
              <w:t>Acquis</w:t>
            </w:r>
            <w:r w:rsidR="00631F19" w:rsidRPr="00D430AE">
              <w:rPr>
                <w:rStyle w:val="Hyperlink"/>
                <w:rFonts w:asciiTheme="minorHAnsi" w:hAnsiTheme="minorHAnsi"/>
              </w:rPr>
              <w:t>i</w:t>
            </w:r>
            <w:r w:rsidR="00631F19" w:rsidRPr="00D430AE">
              <w:rPr>
                <w:rStyle w:val="Hyperlink"/>
                <w:rFonts w:asciiTheme="minorHAnsi" w:hAnsiTheme="minorHAnsi"/>
              </w:rPr>
              <w:t>tions Register</w:t>
            </w:r>
          </w:hyperlink>
          <w:r w:rsidR="00631F19" w:rsidRPr="00D430AE">
            <w:rPr>
              <w:rFonts w:asciiTheme="minorHAnsi" w:hAnsiTheme="minorHAnsi"/>
            </w:rPr>
            <w:t>.</w:t>
          </w:r>
        </w:p>
        <w:p w14:paraId="393554F4" w14:textId="5264F37A"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FA6592" w:rsidRPr="00FA6592">
            <w:rPr>
              <w:rFonts w:asciiTheme="minorHAnsi" w:hAnsiTheme="minorHAnsi"/>
              <w:b/>
              <w:bCs/>
            </w:rPr>
            <w:t>5 November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0"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C2A19">
            <w:rPr>
              <w:rFonts w:asciiTheme="minorHAnsi" w:hAnsiTheme="minorHAnsi"/>
              <w:i/>
              <w:iCs/>
            </w:rPr>
            <w:t xml:space="preserve"> OCTA – Woodside-EDL LNG JV</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0CD50191"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1"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Request for call re:</w:t>
          </w:r>
          <w:r w:rsidR="00C85B23" w:rsidRPr="00C85B23">
            <w:rPr>
              <w:rFonts w:asciiTheme="minorHAnsi" w:hAnsiTheme="minorHAnsi"/>
              <w:i/>
              <w:iCs/>
            </w:rPr>
            <w:t xml:space="preserve"> </w:t>
          </w:r>
          <w:r w:rsidR="00C85B23">
            <w:rPr>
              <w:rFonts w:asciiTheme="minorHAnsi" w:hAnsiTheme="minorHAnsi"/>
              <w:i/>
              <w:iCs/>
            </w:rPr>
            <w:t>OCTA – Woodside-EDL LNG JV</w:t>
          </w:r>
          <w:r w:rsidR="006D1B76" w:rsidRPr="00D430AE">
            <w:rPr>
              <w:rFonts w:asciiTheme="minorHAnsi" w:hAnsiTheme="minorHAnsi"/>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2" w:history="1">
            <w:r w:rsidR="00553AD0">
              <w:rPr>
                <w:rStyle w:val="Hyperlink"/>
              </w:rPr>
              <w:t>general confidential</w:t>
            </w:r>
            <w:r w:rsidR="00553AD0">
              <w:rPr>
                <w:rStyle w:val="Hyperlink"/>
              </w:rPr>
              <w:t>i</w:t>
            </w:r>
            <w:r w:rsidR="00553AD0">
              <w:rPr>
                <w:rStyle w:val="Hyperlink"/>
              </w:rPr>
              <w:t>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1B2EEF06" w14:textId="77777777" w:rsidR="00FA6592" w:rsidRDefault="00FA6592">
          <w:pPr>
            <w:rPr>
              <w:rFonts w:asciiTheme="minorHAnsi" w:eastAsiaTheme="majorEastAsia" w:hAnsiTheme="minorHAnsi" w:cstheme="majorBidi"/>
              <w:b/>
              <w:bCs/>
              <w:sz w:val="28"/>
              <w:szCs w:val="26"/>
            </w:rPr>
          </w:pPr>
          <w:r>
            <w:br w:type="page"/>
          </w:r>
        </w:p>
        <w:p w14:paraId="57FED917" w14:textId="05DD706E" w:rsidR="00E006B5" w:rsidRPr="00D430AE" w:rsidRDefault="00617DC8" w:rsidP="00E006B5">
          <w:pPr>
            <w:pStyle w:val="Heading2"/>
          </w:pPr>
          <w:r w:rsidRPr="00D430AE">
            <w:lastRenderedPageBreak/>
            <w:t xml:space="preserve">Questions </w:t>
          </w:r>
        </w:p>
        <w:p w14:paraId="41E64392" w14:textId="728D93C5" w:rsidR="003A40C5"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BC1C32">
            <w:rPr>
              <w:rFonts w:asciiTheme="minorHAnsi" w:hAnsiTheme="minorHAnsi"/>
              <w:sz w:val="22"/>
              <w:szCs w:val="22"/>
              <w:lang w:val="en-AU"/>
            </w:rPr>
            <w:t>OCTA</w:t>
          </w:r>
          <w:r w:rsidR="00F63A4D">
            <w:rPr>
              <w:rFonts w:asciiTheme="minorHAnsi" w:hAnsiTheme="minorHAnsi"/>
              <w:sz w:val="22"/>
              <w:szCs w:val="22"/>
              <w:lang w:val="en-AU"/>
            </w:rPr>
            <w:t xml:space="preserve"> (</w:t>
          </w:r>
          <w:r w:rsidR="0040734C">
            <w:rPr>
              <w:rFonts w:asciiTheme="minorHAnsi" w:hAnsiTheme="minorHAnsi"/>
              <w:sz w:val="22"/>
              <w:szCs w:val="22"/>
              <w:lang w:val="en-AU"/>
            </w:rPr>
            <w:t>either directly or through</w:t>
          </w:r>
          <w:r w:rsidR="00F63A4D">
            <w:rPr>
              <w:rFonts w:asciiTheme="minorHAnsi" w:hAnsiTheme="minorHAnsi"/>
              <w:sz w:val="22"/>
              <w:szCs w:val="22"/>
              <w:lang w:val="en-AU"/>
            </w:rPr>
            <w:t xml:space="preserve"> its subsidiaries CEFA and EVOL LNG)</w:t>
          </w:r>
          <w:r w:rsidR="009579F5" w:rsidRPr="00D430AE">
            <w:rPr>
              <w:rFonts w:asciiTheme="minorHAnsi" w:hAnsiTheme="minorHAnsi"/>
              <w:sz w:val="22"/>
              <w:szCs w:val="22"/>
              <w:lang w:val="en-AU"/>
            </w:rPr>
            <w:t xml:space="preserve"> and </w:t>
          </w:r>
          <w:r w:rsidR="00BC1C32">
            <w:rPr>
              <w:rFonts w:asciiTheme="minorHAnsi" w:hAnsiTheme="minorHAnsi"/>
              <w:sz w:val="22"/>
              <w:szCs w:val="22"/>
              <w:lang w:val="en-AU"/>
            </w:rPr>
            <w:t>WEJV</w:t>
          </w:r>
          <w:r w:rsidR="009579F5" w:rsidRPr="00D430AE">
            <w:rPr>
              <w:rFonts w:asciiTheme="minorHAnsi" w:hAnsiTheme="minorHAnsi"/>
              <w:sz w:val="22"/>
              <w:szCs w:val="22"/>
              <w:lang w:val="en-AU"/>
            </w:rPr>
            <w:t xml:space="preserve"> are close competitors and there are not many alternatives</w:t>
          </w:r>
          <w:r w:rsidR="00EC1F8F">
            <w:rPr>
              <w:rFonts w:asciiTheme="minorHAnsi" w:hAnsiTheme="minorHAnsi"/>
              <w:sz w:val="22"/>
              <w:szCs w:val="22"/>
              <w:lang w:val="en-AU"/>
            </w:rPr>
            <w:t xml:space="preserve"> in any </w:t>
          </w:r>
          <w:proofErr w:type="gramStart"/>
          <w:r w:rsidR="00EC1F8F">
            <w:rPr>
              <w:rFonts w:asciiTheme="minorHAnsi" w:hAnsiTheme="minorHAnsi"/>
              <w:sz w:val="22"/>
              <w:szCs w:val="22"/>
              <w:lang w:val="en-AU"/>
            </w:rPr>
            <w:t>particular geographic</w:t>
          </w:r>
          <w:proofErr w:type="gramEnd"/>
          <w:r w:rsidR="00EC1F8F">
            <w:rPr>
              <w:rFonts w:asciiTheme="minorHAnsi" w:hAnsiTheme="minorHAnsi"/>
              <w:sz w:val="22"/>
              <w:szCs w:val="22"/>
              <w:lang w:val="en-AU"/>
            </w:rPr>
            <w:t xml:space="preserve"> region</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2C1259DC" w14:textId="472E8D73" w:rsidR="00614DE4" w:rsidRDefault="00614DE4" w:rsidP="00614DE4">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Explain the extent to which</w:t>
          </w:r>
          <w:r w:rsidR="00EB3655">
            <w:rPr>
              <w:rFonts w:asciiTheme="minorHAnsi" w:hAnsiTheme="minorHAnsi"/>
              <w:sz w:val="22"/>
              <w:szCs w:val="22"/>
              <w:lang w:val="en-AU"/>
            </w:rPr>
            <w:t xml:space="preserve"> alternative hydrocarbons</w:t>
          </w:r>
          <w:r w:rsidR="00EC1F8F">
            <w:rPr>
              <w:rFonts w:asciiTheme="minorHAnsi" w:hAnsiTheme="minorHAnsi"/>
              <w:sz w:val="22"/>
              <w:szCs w:val="22"/>
              <w:lang w:val="en-AU"/>
            </w:rPr>
            <w:t xml:space="preserve"> (such as diesel)</w:t>
          </w:r>
          <w:r w:rsidR="00EB3655">
            <w:rPr>
              <w:rFonts w:asciiTheme="minorHAnsi" w:hAnsiTheme="minorHAnsi"/>
              <w:sz w:val="22"/>
              <w:szCs w:val="22"/>
              <w:lang w:val="en-AU"/>
            </w:rPr>
            <w:t xml:space="preserve"> or</w:t>
          </w:r>
          <w:r>
            <w:rPr>
              <w:rFonts w:asciiTheme="minorHAnsi" w:hAnsiTheme="minorHAnsi"/>
              <w:sz w:val="22"/>
              <w:szCs w:val="22"/>
              <w:lang w:val="en-AU"/>
            </w:rPr>
            <w:t xml:space="preserve"> renewable energy sources can be used as an alternative to </w:t>
          </w:r>
          <w:r w:rsidR="00EB3655">
            <w:rPr>
              <w:rFonts w:asciiTheme="minorHAnsi" w:hAnsiTheme="minorHAnsi"/>
              <w:sz w:val="22"/>
              <w:szCs w:val="22"/>
              <w:lang w:val="en-AU"/>
            </w:rPr>
            <w:t>trucked LNG</w:t>
          </w:r>
          <w:r>
            <w:rPr>
              <w:rFonts w:asciiTheme="minorHAnsi" w:hAnsiTheme="minorHAnsi"/>
              <w:sz w:val="22"/>
              <w:szCs w:val="22"/>
              <w:lang w:val="en-AU"/>
            </w:rPr>
            <w:t xml:space="preserve"> for remote energy generation</w:t>
          </w:r>
          <w:r w:rsidR="00070911">
            <w:rPr>
              <w:rFonts w:asciiTheme="minorHAnsi" w:hAnsiTheme="minorHAnsi"/>
              <w:sz w:val="22"/>
              <w:szCs w:val="22"/>
              <w:lang w:val="en-AU"/>
            </w:rPr>
            <w:t>, including in relation to primary generation or for firming capacity</w:t>
          </w:r>
          <w:r w:rsidRPr="00D430AE">
            <w:rPr>
              <w:rFonts w:asciiTheme="minorHAnsi" w:hAnsiTheme="minorHAnsi"/>
              <w:sz w:val="22"/>
              <w:szCs w:val="22"/>
              <w:lang w:val="en-AU"/>
            </w:rPr>
            <w:t>.</w:t>
          </w:r>
        </w:p>
        <w:p w14:paraId="570E2A95" w14:textId="77777777" w:rsidR="00614DE4" w:rsidRPr="00D430AE" w:rsidRDefault="00614DE4" w:rsidP="00614DE4">
          <w:pPr>
            <w:pStyle w:val="BoxText"/>
            <w:rPr>
              <w:rFonts w:asciiTheme="minorHAnsi" w:hAnsiTheme="minorHAnsi"/>
              <w:sz w:val="22"/>
              <w:szCs w:val="22"/>
            </w:rPr>
          </w:pPr>
        </w:p>
        <w:p w14:paraId="08784CDA" w14:textId="5C2BEB43" w:rsidR="00614DE4" w:rsidRDefault="00EC1F8F" w:rsidP="00614DE4">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Describe the ability of remote energy generation customers to </w:t>
          </w:r>
          <w:r w:rsidRPr="00EC1F8F">
            <w:rPr>
              <w:rFonts w:asciiTheme="minorHAnsi" w:hAnsiTheme="minorHAnsi"/>
              <w:sz w:val="22"/>
              <w:szCs w:val="22"/>
              <w:lang w:val="en-AU"/>
            </w:rPr>
            <w:t xml:space="preserve">switch </w:t>
          </w:r>
          <w:r w:rsidR="0040734C">
            <w:rPr>
              <w:rFonts w:asciiTheme="minorHAnsi" w:hAnsiTheme="minorHAnsi"/>
              <w:sz w:val="22"/>
              <w:szCs w:val="22"/>
              <w:lang w:val="en-AU"/>
            </w:rPr>
            <w:t>fuel sources</w:t>
          </w:r>
          <w:r w:rsidRPr="00EC1F8F">
            <w:rPr>
              <w:rFonts w:asciiTheme="minorHAnsi" w:hAnsiTheme="minorHAnsi"/>
              <w:sz w:val="22"/>
              <w:szCs w:val="22"/>
              <w:lang w:val="en-AU"/>
            </w:rPr>
            <w:t xml:space="preserve"> for remote energy generation,</w:t>
          </w:r>
          <w:r w:rsidR="0040734C">
            <w:rPr>
              <w:rFonts w:asciiTheme="minorHAnsi" w:hAnsiTheme="minorHAnsi"/>
              <w:sz w:val="22"/>
              <w:szCs w:val="22"/>
              <w:lang w:val="en-AU"/>
            </w:rPr>
            <w:t xml:space="preserve"> either to an alternative hydrocarbon or to renewable energy sources,</w:t>
          </w:r>
          <w:r w:rsidRPr="00EC1F8F">
            <w:rPr>
              <w:rFonts w:asciiTheme="minorHAnsi" w:hAnsiTheme="minorHAnsi"/>
              <w:sz w:val="22"/>
              <w:szCs w:val="22"/>
              <w:lang w:val="en-AU"/>
            </w:rPr>
            <w:t xml:space="preserve"> including any ability to switch during the life of a project</w:t>
          </w:r>
          <w:r>
            <w:rPr>
              <w:rFonts w:asciiTheme="minorHAnsi" w:hAnsiTheme="minorHAnsi"/>
              <w:sz w:val="22"/>
              <w:szCs w:val="22"/>
              <w:lang w:val="en-AU"/>
            </w:rPr>
            <w:t>.</w:t>
          </w:r>
        </w:p>
        <w:p w14:paraId="0A290743" w14:textId="77777777" w:rsidR="00614DE4" w:rsidRPr="00D430AE" w:rsidRDefault="00614DE4" w:rsidP="00614DE4">
          <w:pPr>
            <w:pStyle w:val="BoxText"/>
            <w:rPr>
              <w:rFonts w:asciiTheme="minorHAnsi" w:hAnsiTheme="minorHAnsi"/>
              <w:sz w:val="22"/>
              <w:szCs w:val="22"/>
            </w:rPr>
          </w:pPr>
        </w:p>
        <w:p w14:paraId="4E7D6A84" w14:textId="272E98BE"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792AC36C"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EC1F8F">
            <w:rPr>
              <w:rFonts w:asciiTheme="minorHAnsi" w:hAnsiTheme="minorHAnsi"/>
              <w:sz w:val="22"/>
              <w:szCs w:val="22"/>
              <w:lang w:val="en-AU"/>
            </w:rPr>
            <w:t>OCTA</w:t>
          </w:r>
          <w:r w:rsidR="00EC1F8F" w:rsidRPr="00D430AE">
            <w:rPr>
              <w:rFonts w:asciiTheme="minorHAnsi" w:hAnsiTheme="minorHAnsi"/>
              <w:sz w:val="22"/>
              <w:szCs w:val="22"/>
              <w:lang w:val="en-AU"/>
            </w:rPr>
            <w:t xml:space="preserve"> </w:t>
          </w:r>
          <w:r w:rsidRPr="00D430AE">
            <w:rPr>
              <w:rFonts w:asciiTheme="minorHAnsi" w:hAnsiTheme="minorHAnsi"/>
              <w:sz w:val="22"/>
              <w:szCs w:val="22"/>
              <w:lang w:val="en-AU"/>
            </w:rPr>
            <w:t>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EC1F8F">
            <w:rPr>
              <w:rFonts w:asciiTheme="minorHAnsi" w:hAnsiTheme="minorHAnsi"/>
              <w:sz w:val="22"/>
              <w:szCs w:val="22"/>
              <w:lang w:val="en-AU"/>
            </w:rPr>
            <w:t>WEJV</w:t>
          </w:r>
          <w:r w:rsidR="004C4854" w:rsidRPr="00D430AE">
            <w:rPr>
              <w:rFonts w:asciiTheme="minorHAnsi" w:hAnsiTheme="minorHAnsi"/>
              <w:sz w:val="22"/>
              <w:szCs w:val="22"/>
              <w:lang w:val="en-AU"/>
            </w:rPr>
            <w:t>.</w:t>
          </w:r>
        </w:p>
        <w:bookmarkEnd w:id="1"/>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6655C8"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 xml:space="preserve">confidential information may be disclosed to the ACCC's external advisors and consultants on condition that each such advisor or consultant will be informed of the obligation to treat the </w:t>
            </w:r>
            <w:r w:rsidRPr="00D430AE">
              <w:rPr>
                <w:rFonts w:asciiTheme="minorHAnsi" w:hAnsiTheme="minorHAnsi"/>
                <w:b w:val="0"/>
                <w:color w:val="000000" w:themeColor="text1"/>
                <w:szCs w:val="20"/>
              </w:rPr>
              <w:lastRenderedPageBreak/>
              <w:t>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3" w:history="1">
              <w:r w:rsidR="002A454F" w:rsidRPr="002A454F">
                <w:rPr>
                  <w:rStyle w:val="Hyperlink"/>
                  <w:b w:val="0"/>
                  <w:bCs/>
                  <w:sz w:val="20"/>
                  <w:szCs w:val="20"/>
                  <w:u w:val="none"/>
                </w:rPr>
                <w:t>c</w:t>
              </w:r>
              <w:r w:rsidR="002A454F" w:rsidRPr="002A454F">
                <w:rPr>
                  <w:rStyle w:val="Hyperlink"/>
                  <w:b w:val="0"/>
                  <w:sz w:val="20"/>
                  <w:szCs w:val="20"/>
                  <w:u w:val="none"/>
                </w:rPr>
                <w:t>onfident</w:t>
              </w:r>
              <w:r w:rsidR="002A454F" w:rsidRPr="002A454F">
                <w:rPr>
                  <w:rStyle w:val="Hyperlink"/>
                  <w:b w:val="0"/>
                  <w:sz w:val="20"/>
                  <w:szCs w:val="20"/>
                  <w:u w:val="none"/>
                </w:rPr>
                <w:t>i</w:t>
              </w:r>
              <w:r w:rsidR="002A454F" w:rsidRPr="002A454F">
                <w:rPr>
                  <w:rStyle w:val="Hyperlink"/>
                  <w:b w:val="0"/>
                  <w:sz w:val="20"/>
                  <w:szCs w:val="20"/>
                  <w:u w:val="none"/>
                </w:rPr>
                <w:t xml:space="preserve">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footerReference w:type="default" r:id="rId14"/>
      <w:headerReference w:type="first" r:id="rId15"/>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130C8" w14:textId="77777777" w:rsidR="006655C8" w:rsidRDefault="006655C8" w:rsidP="004B4412">
      <w:pPr>
        <w:spacing w:before="0"/>
      </w:pPr>
      <w:r>
        <w:separator/>
      </w:r>
    </w:p>
  </w:endnote>
  <w:endnote w:type="continuationSeparator" w:id="0">
    <w:p w14:paraId="7F9846DF" w14:textId="77777777" w:rsidR="006655C8" w:rsidRDefault="006655C8" w:rsidP="004B4412">
      <w:pPr>
        <w:spacing w:before="0"/>
      </w:pPr>
      <w:r>
        <w:continuationSeparator/>
      </w:r>
    </w:p>
  </w:endnote>
  <w:endnote w:type="continuationNotice" w:id="1">
    <w:p w14:paraId="347B146F" w14:textId="77777777" w:rsidR="006655C8" w:rsidRDefault="006655C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altName w:val="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BF14B" w14:textId="77777777" w:rsidR="006655C8" w:rsidRDefault="006655C8" w:rsidP="004B4412">
      <w:pPr>
        <w:spacing w:before="0"/>
      </w:pPr>
      <w:r>
        <w:separator/>
      </w:r>
    </w:p>
  </w:footnote>
  <w:footnote w:type="continuationSeparator" w:id="0">
    <w:p w14:paraId="4C2F43B6" w14:textId="77777777" w:rsidR="006655C8" w:rsidRDefault="006655C8" w:rsidP="004B4412">
      <w:pPr>
        <w:spacing w:before="0"/>
      </w:pPr>
      <w:r>
        <w:continuationSeparator/>
      </w:r>
    </w:p>
  </w:footnote>
  <w:footnote w:type="continuationNotice" w:id="1">
    <w:p w14:paraId="232D416F" w14:textId="77777777" w:rsidR="006655C8" w:rsidRDefault="006655C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trackRevisions/>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911"/>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3CDD"/>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492F"/>
    <w:rsid w:val="00136755"/>
    <w:rsid w:val="00136B5E"/>
    <w:rsid w:val="00136F75"/>
    <w:rsid w:val="001373F1"/>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3687"/>
    <w:rsid w:val="002B6C8A"/>
    <w:rsid w:val="002C0BB6"/>
    <w:rsid w:val="002C1185"/>
    <w:rsid w:val="002C2092"/>
    <w:rsid w:val="002C2595"/>
    <w:rsid w:val="002C272E"/>
    <w:rsid w:val="002C4256"/>
    <w:rsid w:val="002C45D9"/>
    <w:rsid w:val="002C665B"/>
    <w:rsid w:val="002C7447"/>
    <w:rsid w:val="002C7C6B"/>
    <w:rsid w:val="002C7D40"/>
    <w:rsid w:val="002D3187"/>
    <w:rsid w:val="002D56CB"/>
    <w:rsid w:val="002D5F49"/>
    <w:rsid w:val="002D7472"/>
    <w:rsid w:val="002E064D"/>
    <w:rsid w:val="002E0D3D"/>
    <w:rsid w:val="002E4878"/>
    <w:rsid w:val="002E4AF4"/>
    <w:rsid w:val="002F01D3"/>
    <w:rsid w:val="002F07C0"/>
    <w:rsid w:val="002F0DA1"/>
    <w:rsid w:val="002F294A"/>
    <w:rsid w:val="002F29A8"/>
    <w:rsid w:val="002F41E6"/>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48C2"/>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4C"/>
    <w:rsid w:val="003E6E6B"/>
    <w:rsid w:val="003E7120"/>
    <w:rsid w:val="003F0073"/>
    <w:rsid w:val="003F013E"/>
    <w:rsid w:val="003F04B1"/>
    <w:rsid w:val="003F0FBF"/>
    <w:rsid w:val="003F3E3A"/>
    <w:rsid w:val="003F76BC"/>
    <w:rsid w:val="003F7B27"/>
    <w:rsid w:val="004005C0"/>
    <w:rsid w:val="00401913"/>
    <w:rsid w:val="00401A91"/>
    <w:rsid w:val="00402028"/>
    <w:rsid w:val="00402126"/>
    <w:rsid w:val="00405F8F"/>
    <w:rsid w:val="0040734C"/>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44D2"/>
    <w:rsid w:val="004A5E24"/>
    <w:rsid w:val="004A732F"/>
    <w:rsid w:val="004A7F72"/>
    <w:rsid w:val="004B15BB"/>
    <w:rsid w:val="004B2624"/>
    <w:rsid w:val="004B2914"/>
    <w:rsid w:val="004B2C2D"/>
    <w:rsid w:val="004B4412"/>
    <w:rsid w:val="004B58DE"/>
    <w:rsid w:val="004B6579"/>
    <w:rsid w:val="004B7A32"/>
    <w:rsid w:val="004C02D8"/>
    <w:rsid w:val="004C1796"/>
    <w:rsid w:val="004C2823"/>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DE4"/>
    <w:rsid w:val="00614F15"/>
    <w:rsid w:val="00615C6B"/>
    <w:rsid w:val="00615E2B"/>
    <w:rsid w:val="00616614"/>
    <w:rsid w:val="006166E8"/>
    <w:rsid w:val="006175E3"/>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55C8"/>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C13"/>
    <w:rsid w:val="00787E27"/>
    <w:rsid w:val="00790656"/>
    <w:rsid w:val="0079157E"/>
    <w:rsid w:val="00792606"/>
    <w:rsid w:val="00792D61"/>
    <w:rsid w:val="00793C70"/>
    <w:rsid w:val="00795CFF"/>
    <w:rsid w:val="00796663"/>
    <w:rsid w:val="00797B0E"/>
    <w:rsid w:val="007A0529"/>
    <w:rsid w:val="007A1D45"/>
    <w:rsid w:val="007A2972"/>
    <w:rsid w:val="007A36C2"/>
    <w:rsid w:val="007A5A13"/>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2CBE"/>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1DF"/>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80C"/>
    <w:rsid w:val="009D0B08"/>
    <w:rsid w:val="009D14ED"/>
    <w:rsid w:val="009D220E"/>
    <w:rsid w:val="009D253A"/>
    <w:rsid w:val="009D2A76"/>
    <w:rsid w:val="009D34B3"/>
    <w:rsid w:val="009D4414"/>
    <w:rsid w:val="009D4948"/>
    <w:rsid w:val="009D4C60"/>
    <w:rsid w:val="009D6B20"/>
    <w:rsid w:val="009D6B46"/>
    <w:rsid w:val="009E0217"/>
    <w:rsid w:val="009E0C4B"/>
    <w:rsid w:val="009E1A1F"/>
    <w:rsid w:val="009E1D01"/>
    <w:rsid w:val="009E2028"/>
    <w:rsid w:val="009E3516"/>
    <w:rsid w:val="009F0472"/>
    <w:rsid w:val="009F1673"/>
    <w:rsid w:val="009F17F5"/>
    <w:rsid w:val="009F18D9"/>
    <w:rsid w:val="009F260C"/>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0379"/>
    <w:rsid w:val="00A119DE"/>
    <w:rsid w:val="00A125E7"/>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3D8F"/>
    <w:rsid w:val="00BA4665"/>
    <w:rsid w:val="00BA6C58"/>
    <w:rsid w:val="00BB275E"/>
    <w:rsid w:val="00BB2927"/>
    <w:rsid w:val="00BB2FB2"/>
    <w:rsid w:val="00BB3304"/>
    <w:rsid w:val="00BB784B"/>
    <w:rsid w:val="00BC1C32"/>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07317"/>
    <w:rsid w:val="00C114BC"/>
    <w:rsid w:val="00C115BC"/>
    <w:rsid w:val="00C11C09"/>
    <w:rsid w:val="00C1495F"/>
    <w:rsid w:val="00C15E47"/>
    <w:rsid w:val="00C16707"/>
    <w:rsid w:val="00C17E33"/>
    <w:rsid w:val="00C2022A"/>
    <w:rsid w:val="00C2032D"/>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5B23"/>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4DB1"/>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36A"/>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19"/>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2089"/>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77FB8"/>
    <w:rsid w:val="00E80BF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655"/>
    <w:rsid w:val="00EB3A1C"/>
    <w:rsid w:val="00EB6361"/>
    <w:rsid w:val="00EB6BAD"/>
    <w:rsid w:val="00EC0053"/>
    <w:rsid w:val="00EC0A05"/>
    <w:rsid w:val="00EC0DA1"/>
    <w:rsid w:val="00EC1F8F"/>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3A4D"/>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592"/>
    <w:rsid w:val="00FA67B6"/>
    <w:rsid w:val="00FA6C34"/>
    <w:rsid w:val="00FA6CA4"/>
    <w:rsid w:val="00FA774B"/>
    <w:rsid w:val="00FB03B7"/>
    <w:rsid w:val="00FB03F0"/>
    <w:rsid w:val="00FB1753"/>
    <w:rsid w:val="00FB210C"/>
    <w:rsid w:val="00FB24FD"/>
    <w:rsid w:val="00FB4ED5"/>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B8B"/>
    <w:rsid w:val="00FE5D8F"/>
    <w:rsid w:val="00FE64AE"/>
    <w:rsid w:val="00FE7FED"/>
    <w:rsid w:val="00FF0210"/>
    <w:rsid w:val="00FF0BFD"/>
    <w:rsid w:val="00FF0DB8"/>
    <w:rsid w:val="00FF211A"/>
    <w:rsid w:val="00FF2CC9"/>
    <w:rsid w:val="00FF2EC6"/>
    <w:rsid w:val="00FF3B8C"/>
    <w:rsid w:val="00FF420C"/>
    <w:rsid w:val="00FF4A05"/>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cc.gov.au/about-us/publications/merger-control-regime-quick-guide-for-businesses-providing-confidential-information-to-the-accc"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accc.gov.au/general-confidentiality-claims-template"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mailto:mergers@accc.gov.au" TargetMode="External"/><Relationship Id="rId4" Type="http://schemas.openxmlformats.org/officeDocument/2006/relationships/styles" Target="styles.xml"/><Relationship Id="rId9" Type="http://schemas.openxmlformats.org/officeDocument/2006/relationships/hyperlink" Target="https://www.accc.gov.au/public-registers/mergers-and-acquisitions-registers/acquisitions-register?init=1&amp;f%5B0%5D=acccgov_merger_matter_status%3Aunder_assessment"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39FCF69-4363-40EE-A65A-F63AE1FB4C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801</Words>
  <Characters>4422</Characters>
  <Application>Microsoft Office Word</Application>
  <DocSecurity>0</DocSecurity>
  <Lines>80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2026-10-28T04:30:00Z</dcterms:created>
  <dcterms:modified xsi:type="dcterms:W3CDTF">2026-10-28T04:31:00Z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2026-10-28T04:31:12Z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fec0f872-cd41-471c-bc5d-b6491b21d348</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