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A517" w14:textId="77A55F0F" w:rsidR="00B24A59" w:rsidRPr="00D430AE" w:rsidRDefault="00B24A59" w:rsidP="00B24A59">
      <w:pPr>
        <w:rPr>
          <w:rFonts w:asciiTheme="minorHAnsi" w:hAnsiTheme="minorHAnsi" w:cs="Arial"/>
          <w:szCs w:val="26"/>
        </w:rPr>
      </w:pPr>
    </w:p>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3550CF9A"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EB6639">
            <w:t>Sony Music</w:t>
          </w:r>
          <w:r w:rsidR="008C09AC" w:rsidRPr="00D430AE">
            <w:t xml:space="preserve"> </w:t>
          </w:r>
          <w:r w:rsidR="00A23FD3" w:rsidRPr="00D430AE">
            <w:t xml:space="preserve">– </w:t>
          </w:r>
          <w:r w:rsidR="007E239D">
            <w:t>Recognition Music</w:t>
          </w:r>
          <w:r w:rsidR="00A23FD3" w:rsidRPr="00D430AE">
            <w:t xml:space="preserve"> </w:t>
          </w:r>
        </w:p>
        <w:p w14:paraId="5A8F0345" w14:textId="515EB3E4" w:rsidR="007E239D" w:rsidRDefault="007E239D" w:rsidP="00A23FD3">
          <w:pPr>
            <w:pStyle w:val="Heading2"/>
            <w:spacing w:before="240" w:after="240"/>
            <w:rPr>
              <w:b w:val="0"/>
              <w:iCs/>
              <w:color w:val="000000" w:themeColor="text1"/>
              <w:szCs w:val="22"/>
            </w:rPr>
          </w:pPr>
          <w:r w:rsidRPr="007E239D">
            <w:rPr>
              <w:b w:val="0"/>
              <w:iCs/>
              <w:color w:val="000000" w:themeColor="text1"/>
              <w:szCs w:val="22"/>
            </w:rPr>
            <w:t>MN-20023</w:t>
          </w:r>
        </w:p>
        <w:p w14:paraId="51182443" w14:textId="7BAB669A"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955C6E">
            <w:t>10 June 2026</w:t>
          </w:r>
        </w:p>
        <w:p w14:paraId="03108491" w14:textId="1372ADE4" w:rsidR="00E772B4" w:rsidRPr="00D430AE" w:rsidRDefault="00E772B4" w:rsidP="00E772B4">
          <w:pPr>
            <w:rPr>
              <w:rFonts w:asciiTheme="minorHAnsi" w:hAnsiTheme="minorHAnsi"/>
              <w:bCs/>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3C0E15" w:rsidRPr="003C0E15">
            <w:rPr>
              <w:rFonts w:asciiTheme="minorHAnsi" w:hAnsiTheme="minorHAnsi"/>
            </w:rPr>
            <w:t>SMG-Three LLC and Sony Music Publishing</w:t>
          </w:r>
          <w:r w:rsidR="00B02527">
            <w:rPr>
              <w:rFonts w:asciiTheme="minorHAnsi" w:hAnsiTheme="minorHAnsi"/>
            </w:rPr>
            <w:t>’s</w:t>
          </w:r>
          <w:r w:rsidR="003C0E15" w:rsidRPr="003C0E15">
            <w:rPr>
              <w:rFonts w:asciiTheme="minorHAnsi" w:hAnsiTheme="minorHAnsi"/>
            </w:rPr>
            <w:t xml:space="preserve"> </w:t>
          </w:r>
          <w:r w:rsidR="00950AFB">
            <w:rPr>
              <w:rFonts w:asciiTheme="minorHAnsi" w:hAnsiTheme="minorHAnsi"/>
            </w:rPr>
            <w:t>(together</w:t>
          </w:r>
          <w:r w:rsidR="00955C6E">
            <w:rPr>
              <w:rFonts w:asciiTheme="minorHAnsi" w:hAnsiTheme="minorHAnsi"/>
            </w:rPr>
            <w:t>,</w:t>
          </w:r>
          <w:r w:rsidR="00950AFB">
            <w:rPr>
              <w:rFonts w:asciiTheme="minorHAnsi" w:hAnsiTheme="minorHAnsi"/>
            </w:rPr>
            <w:t xml:space="preserve"> </w:t>
          </w:r>
          <w:r w:rsidR="00950AFB" w:rsidRPr="00955C6E">
            <w:rPr>
              <w:rFonts w:asciiTheme="minorHAnsi" w:hAnsiTheme="minorHAnsi"/>
              <w:b/>
              <w:bCs/>
            </w:rPr>
            <w:t>Sony Music</w:t>
          </w:r>
          <w:r w:rsidR="00950AFB">
            <w:rPr>
              <w:rFonts w:asciiTheme="minorHAnsi" w:hAnsiTheme="minorHAnsi"/>
            </w:rPr>
            <w:t>)</w:t>
          </w:r>
          <w:r w:rsidR="003C0E15" w:rsidRPr="003C0E15">
            <w:rPr>
              <w:rFonts w:asciiTheme="minorHAnsi" w:hAnsiTheme="minorHAnsi"/>
            </w:rPr>
            <w:t xml:space="preserve"> </w:t>
          </w:r>
          <w:r w:rsidR="00B02527">
            <w:rPr>
              <w:rFonts w:asciiTheme="minorHAnsi" w:hAnsiTheme="minorHAnsi"/>
            </w:rPr>
            <w:t xml:space="preserve">proposed acquisition of </w:t>
          </w:r>
          <w:r w:rsidR="003C0E15" w:rsidRPr="003C0E15">
            <w:rPr>
              <w:rFonts w:asciiTheme="minorHAnsi" w:hAnsiTheme="minorHAnsi"/>
            </w:rPr>
            <w:t>100% of the shares of Recognition Music Group (Delaware) L.P</w:t>
          </w:r>
          <w:r w:rsidR="00950AFB">
            <w:rPr>
              <w:rFonts w:asciiTheme="minorHAnsi" w:hAnsiTheme="minorHAnsi"/>
            </w:rPr>
            <w:t xml:space="preserve"> (</w:t>
          </w:r>
          <w:r w:rsidR="00950AFB" w:rsidRPr="00955C6E">
            <w:rPr>
              <w:rFonts w:asciiTheme="minorHAnsi" w:hAnsiTheme="minorHAnsi"/>
              <w:b/>
              <w:bCs/>
            </w:rPr>
            <w:t>Recognition Music</w:t>
          </w:r>
          <w:r w:rsidR="00950AFB">
            <w:rPr>
              <w:rFonts w:asciiTheme="minorHAnsi" w:hAnsiTheme="minorHAnsi"/>
            </w:rPr>
            <w:t>)</w:t>
          </w:r>
          <w:r w:rsidR="003C0E15" w:rsidRPr="003C0E15">
            <w:rPr>
              <w:rFonts w:asciiTheme="minorHAnsi" w:hAnsiTheme="minorHAnsi"/>
            </w:rPr>
            <w:t xml:space="preserve">. </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9"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6503EA09"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955C6E" w:rsidRPr="00955C6E">
            <w:rPr>
              <w:rFonts w:asciiTheme="minorHAnsi" w:hAnsiTheme="minorHAnsi"/>
              <w:b/>
              <w:bCs/>
            </w:rPr>
            <w:t>10 June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0"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r w:rsidR="00B02527">
            <w:rPr>
              <w:rFonts w:asciiTheme="minorHAnsi" w:hAnsiTheme="minorHAnsi"/>
              <w:i/>
              <w:iCs/>
            </w:rPr>
            <w:t>Sony Music – Recognition Music</w:t>
          </w:r>
          <w:bookmarkEnd w:id="0"/>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0528BB00"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1"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B02527">
            <w:rPr>
              <w:rFonts w:asciiTheme="minorHAnsi" w:hAnsiTheme="minorHAnsi"/>
              <w:i/>
              <w:iCs/>
            </w:rPr>
            <w:t>Sony Music – Recognition Music</w:t>
          </w:r>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4F01C8BE"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2" w:history="1">
            <w:r w:rsidR="00AB0D28" w:rsidRPr="00D430AE">
              <w:rPr>
                <w:rStyle w:val="Hyperlink"/>
                <w:rFonts w:asciiTheme="minorHAnsi" w:hAnsiTheme="minorHAnsi"/>
              </w:rPr>
              <w:t>c</w:t>
            </w:r>
            <w:r w:rsidR="00760DD0" w:rsidRPr="00D430AE">
              <w:rPr>
                <w:rStyle w:val="Hyperlink"/>
                <w:rFonts w:asciiTheme="minorHAnsi" w:hAnsiTheme="minorHAnsi"/>
              </w:rPr>
              <w:t>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134A5BB5" w14:textId="571216EC" w:rsidR="00950AFB" w:rsidRPr="00D430AE" w:rsidRDefault="00617DC8" w:rsidP="00950AFB">
          <w:pPr>
            <w:pStyle w:val="Heading2"/>
            <w:rPr>
              <w:sz w:val="22"/>
              <w:szCs w:val="22"/>
            </w:rPr>
          </w:pPr>
          <w:r w:rsidRPr="00D430AE">
            <w:t xml:space="preserve">Questions </w:t>
          </w:r>
        </w:p>
        <w:p w14:paraId="26ACEE12" w14:textId="77777777" w:rsidR="00950AFB" w:rsidRPr="00D430AE" w:rsidRDefault="00950AFB" w:rsidP="00950AFB">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Provide a brief description of your business or organisation, including any commercial relationships with </w:t>
          </w:r>
          <w:r>
            <w:rPr>
              <w:rFonts w:asciiTheme="minorHAnsi" w:hAnsiTheme="minorHAnsi"/>
              <w:sz w:val="22"/>
              <w:szCs w:val="22"/>
              <w:lang w:val="en-AU"/>
            </w:rPr>
            <w:t>Sony Music</w:t>
          </w:r>
          <w:r w:rsidRPr="00D430AE">
            <w:rPr>
              <w:rFonts w:asciiTheme="minorHAnsi" w:hAnsiTheme="minorHAnsi"/>
              <w:sz w:val="22"/>
              <w:szCs w:val="22"/>
              <w:lang w:val="en-AU"/>
            </w:rPr>
            <w:t xml:space="preserve"> and/or </w:t>
          </w:r>
          <w:r>
            <w:rPr>
              <w:rFonts w:asciiTheme="minorHAnsi" w:hAnsiTheme="minorHAnsi"/>
              <w:sz w:val="22"/>
              <w:szCs w:val="22"/>
              <w:lang w:val="en-AU"/>
            </w:rPr>
            <w:t>Recognition Music</w:t>
          </w:r>
          <w:r w:rsidRPr="00D430AE">
            <w:rPr>
              <w:rFonts w:asciiTheme="minorHAnsi" w:hAnsiTheme="minorHAnsi"/>
              <w:sz w:val="22"/>
              <w:szCs w:val="22"/>
              <w:lang w:val="en-AU"/>
            </w:rPr>
            <w:t>.</w:t>
          </w:r>
        </w:p>
        <w:p w14:paraId="5335EEAC" w14:textId="77777777" w:rsidR="00950AFB" w:rsidRPr="00D430AE" w:rsidRDefault="00950AFB" w:rsidP="00950AFB">
          <w:pPr>
            <w:pStyle w:val="BoxText"/>
            <w:rPr>
              <w:rFonts w:asciiTheme="minorHAnsi" w:hAnsiTheme="minorHAnsi"/>
              <w:sz w:val="22"/>
              <w:szCs w:val="22"/>
            </w:rPr>
          </w:pPr>
        </w:p>
        <w:p w14:paraId="19CE0829" w14:textId="4DF2A220" w:rsidR="000746B4" w:rsidRDefault="000746B4" w:rsidP="003A40C5">
          <w:pPr>
            <w:pStyle w:val="BodyText"/>
            <w:keepNext/>
            <w:numPr>
              <w:ilvl w:val="0"/>
              <w:numId w:val="30"/>
            </w:numPr>
            <w:spacing w:before="240"/>
            <w:rPr>
              <w:rFonts w:asciiTheme="minorHAnsi" w:hAnsiTheme="minorHAnsi"/>
              <w:sz w:val="22"/>
              <w:szCs w:val="22"/>
              <w:lang w:val="en-AU"/>
            </w:rPr>
          </w:pPr>
          <w:r w:rsidRPr="000746B4">
            <w:rPr>
              <w:rFonts w:asciiTheme="minorHAnsi" w:hAnsiTheme="minorHAnsi"/>
              <w:sz w:val="22"/>
              <w:szCs w:val="22"/>
              <w:lang w:val="en-AU"/>
            </w:rPr>
            <w:t xml:space="preserve">Outline any concerns regarding the competitive impact of the Acquisition on the supply of music publishing services to artists and songwriters or the commercialisation of </w:t>
          </w:r>
          <w:r w:rsidRPr="000746B4">
            <w:rPr>
              <w:rFonts w:asciiTheme="minorHAnsi" w:hAnsiTheme="minorHAnsi"/>
              <w:sz w:val="22"/>
              <w:szCs w:val="22"/>
              <w:lang w:val="en-AU"/>
            </w:rPr>
            <w:lastRenderedPageBreak/>
            <w:t>music publishing rights in Australia. Are Sony Music and Recognition Music close competitors for either of these services, and what alternatives are available?</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Provide any additional information or comments that you consider relevant to the ACCC’s assessment of the Acquisition.</w:t>
          </w:r>
        </w:p>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DA4DAB"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2"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 xml:space="preserve">For further information on confidentiality, see the ACCC’s </w:t>
            </w:r>
            <w:hyperlink r:id="rId13" w:history="1">
              <w:r w:rsidRPr="00D430AE">
                <w:rPr>
                  <w:rStyle w:val="Hyperlink"/>
                  <w:rFonts w:asciiTheme="minorHAnsi" w:hAnsiTheme="minorHAnsi"/>
                  <w:b w:val="0"/>
                  <w:sz w:val="20"/>
                  <w:szCs w:val="20"/>
                </w:rPr>
                <w:t>interim merger process guidelines</w:t>
              </w:r>
            </w:hyperlink>
            <w:r w:rsidR="0045354E" w:rsidRPr="00D430AE">
              <w:rPr>
                <w:rStyle w:val="Strong"/>
                <w:rFonts w:asciiTheme="minorHAnsi" w:hAnsiTheme="minorHAnsi"/>
                <w:color w:val="000000" w:themeColor="text1"/>
                <w:szCs w:val="20"/>
              </w:rPr>
              <w:t>.</w:t>
            </w:r>
            <w:r w:rsidRPr="00D430AE">
              <w:rPr>
                <w:rStyle w:val="Strong"/>
                <w:rFonts w:asciiTheme="minorHAnsi" w:hAnsiTheme="minorHAnsi"/>
                <w:color w:val="000000" w:themeColor="text1"/>
                <w:szCs w:val="20"/>
              </w:rPr>
              <w:t xml:space="preserve"> </w:t>
            </w:r>
            <w:bookmarkEnd w:id="2"/>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footerReference w:type="default" r:id="rId14"/>
      <w:headerReference w:type="first" r:id="rId15"/>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BC339C" w14:textId="77777777" w:rsidR="00DA4DAB" w:rsidRDefault="00DA4DAB" w:rsidP="004B4412">
      <w:pPr>
        <w:spacing w:before="0"/>
      </w:pPr>
      <w:r>
        <w:separator/>
      </w:r>
    </w:p>
  </w:endnote>
  <w:endnote w:type="continuationSeparator" w:id="0">
    <w:p w14:paraId="4D2DBACB" w14:textId="77777777" w:rsidR="00DA4DAB" w:rsidRDefault="00DA4DAB" w:rsidP="004B4412">
      <w:pPr>
        <w:spacing w:before="0"/>
      </w:pPr>
      <w:r>
        <w:continuationSeparator/>
      </w:r>
    </w:p>
  </w:endnote>
  <w:endnote w:type="continuationNotice" w:id="1">
    <w:p w14:paraId="08385CD2" w14:textId="77777777" w:rsidR="00DA4DAB" w:rsidRDefault="00DA4DAB">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E74B4F" w14:textId="77777777" w:rsidR="00DA4DAB" w:rsidRDefault="00DA4DAB" w:rsidP="004B4412">
      <w:pPr>
        <w:spacing w:before="0"/>
      </w:pPr>
      <w:r>
        <w:separator/>
      </w:r>
    </w:p>
  </w:footnote>
  <w:footnote w:type="continuationSeparator" w:id="0">
    <w:p w14:paraId="383D4FC2" w14:textId="77777777" w:rsidR="00DA4DAB" w:rsidRDefault="00DA4DAB" w:rsidP="004B4412">
      <w:pPr>
        <w:spacing w:before="0"/>
      </w:pPr>
      <w:r>
        <w:continuationSeparator/>
      </w:r>
    </w:p>
  </w:footnote>
  <w:footnote w:type="continuationNotice" w:id="1">
    <w:p w14:paraId="0E1F801F" w14:textId="77777777" w:rsidR="00DA4DAB" w:rsidRDefault="00DA4DAB">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removePersonalInformation/>
  <w:removeDateAndTime/>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46B4"/>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1551"/>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616"/>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0E15"/>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E724B"/>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4688"/>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64A3"/>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1B45"/>
    <w:rsid w:val="007E239D"/>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00C8"/>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0AFB"/>
    <w:rsid w:val="00951D5F"/>
    <w:rsid w:val="0095224F"/>
    <w:rsid w:val="00953A04"/>
    <w:rsid w:val="009546B1"/>
    <w:rsid w:val="00954724"/>
    <w:rsid w:val="00955515"/>
    <w:rsid w:val="00955C6E"/>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0CC4"/>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2527"/>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C75A3"/>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08"/>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A4DAB"/>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639"/>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9D8"/>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accc.gov.au/about-us/publications/merger-process-guidelines"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accc.gov.au/notification-of-proposed-acquisition-confidentiality-claims-template"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mergers@accc.gov.au" TargetMode="External"/><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hyperlink" Target="mailto:mergers@accc.gov.au" TargetMode="External"/><Relationship Id="rId4" Type="http://schemas.openxmlformats.org/officeDocument/2006/relationships/styles" Target="styles.xml"/><Relationship Id="rId9" Type="http://schemas.openxmlformats.org/officeDocument/2006/relationships/hyperlink" Target="https://www.accc.gov.au/public-registers/mergers-and-acquisitions-registers/acquisitions-register?init=1&amp;f%5B0%5D=acccgov_merger_matter_status%3Aunder_assessment"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635</Words>
  <Characters>3625</Characters>
  <Application>Microsoft Office Word</Application>
  <DocSecurity>0</DocSecurity>
  <Lines>30</Lines>
  <Paragraphs>8</Paragraphs>
  <ScaleCrop>false</ScaleCrop>
  <Company/>
  <LinksUpToDate>false</LinksUpToDate>
  <CharactersWithSpaces>4252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2026-06-03T01:04:00Z</dcterms:created>
  <dcterms:modified xsi:type="dcterms:W3CDTF">2026-06-03T01:04:00Z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2026-06-03T01:04:46Z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a2180cbd-be95-4cc3-9624-9e48d5cf6546</vt:lpwstr>
  </property>
  <property fmtid="{D5CDD505-2E9C-101B-9397-08002B2CF9AE}" pid="8" name="MSIP_Label_d9d5a995-dfdf-4407-9a97-edbbc68c9f53_ContentBits">
    <vt:lpwstr>0</vt:lpwstr>
  </property>
  <property fmtid="{D5CDD505-2E9C-101B-9397-08002B2CF9AE}" pid="9" name="MSIP_Label_d9d5a995-dfdf-4407-9a97-edbbc68c9f53_Tag">
    <vt:lpwstr>10, 0, 1, 1</vt:lpwstr>
  </property>
</Properties>
</file>