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A517" w14:textId="1E964682" w:rsidR="00B24A59" w:rsidRPr="00D430AE" w:rsidRDefault="00B24A59" w:rsidP="00B24A59">
      <w:pPr>
        <w:rPr>
          <w:rFonts w:asciiTheme="minorHAnsi" w:hAnsiTheme="minorHAnsi" w:cs="Arial"/>
          <w:szCs w:val="26"/>
        </w:rPr>
      </w:pPr>
    </w:p>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62C9AF59"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1D35FB">
            <w:t>Eli Lilly – acquisition of Clazakizumab licence from CSL Behring</w:t>
          </w:r>
          <w:r w:rsidR="00A23FD3" w:rsidRPr="00D430AE">
            <w:t xml:space="preserve"> </w:t>
          </w:r>
        </w:p>
        <w:p w14:paraId="3B287C00" w14:textId="232D2839" w:rsidR="00A23FD3" w:rsidRPr="00D430AE" w:rsidRDefault="001D35FB" w:rsidP="00A23FD3">
          <w:pPr>
            <w:pStyle w:val="Titlepagefilenumber"/>
            <w:jc w:val="left"/>
            <w:rPr>
              <w:rFonts w:asciiTheme="minorHAnsi" w:hAnsiTheme="minorHAnsi"/>
            </w:rPr>
          </w:pPr>
          <w:r>
            <w:rPr>
              <w:rFonts w:asciiTheme="minorHAnsi" w:hAnsiTheme="minorHAnsi"/>
            </w:rPr>
            <w:t>MN:40012</w:t>
          </w:r>
        </w:p>
        <w:p w14:paraId="51182443" w14:textId="14383E0A"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D22E7C" w:rsidRPr="00D22E7C">
            <w:t xml:space="preserve">21 </w:t>
          </w:r>
          <w:r w:rsidR="001D35FB" w:rsidRPr="00D22E7C">
            <w:t>April 2026</w:t>
          </w:r>
        </w:p>
        <w:p w14:paraId="03108491" w14:textId="2684B853" w:rsidR="00E772B4" w:rsidRPr="00D430AE" w:rsidRDefault="00E772B4" w:rsidP="00E772B4">
          <w:pPr>
            <w:rPr>
              <w:rFonts w:asciiTheme="minorHAnsi" w:hAnsiTheme="minorHAnsi"/>
              <w:bCs/>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1D35FB">
            <w:rPr>
              <w:rFonts w:asciiTheme="minorHAnsi" w:hAnsiTheme="minorHAnsi"/>
              <w:bCs/>
            </w:rPr>
            <w:t>Eli Lilly and Company</w:t>
          </w:r>
          <w:r w:rsidR="008C6A50">
            <w:rPr>
              <w:rFonts w:asciiTheme="minorHAnsi" w:hAnsiTheme="minorHAnsi"/>
              <w:bCs/>
            </w:rPr>
            <w:t>’s</w:t>
          </w:r>
          <w:r w:rsidR="001D35FB">
            <w:rPr>
              <w:rFonts w:asciiTheme="minorHAnsi" w:hAnsiTheme="minorHAnsi"/>
              <w:bCs/>
            </w:rPr>
            <w:t xml:space="preserve"> proposed acquisition of a licence </w:t>
          </w:r>
          <w:r w:rsidR="008C6A50">
            <w:rPr>
              <w:rFonts w:asciiTheme="minorHAnsi" w:hAnsiTheme="minorHAnsi"/>
              <w:bCs/>
            </w:rPr>
            <w:t>from CSL Behring LLC</w:t>
          </w:r>
          <w:r w:rsidR="00984963">
            <w:rPr>
              <w:rFonts w:asciiTheme="minorHAnsi" w:hAnsiTheme="minorHAnsi"/>
              <w:bCs/>
            </w:rPr>
            <w:t>,</w:t>
          </w:r>
          <w:r w:rsidR="008C6A50">
            <w:rPr>
              <w:rFonts w:asciiTheme="minorHAnsi" w:hAnsiTheme="minorHAnsi"/>
              <w:bCs/>
            </w:rPr>
            <w:t xml:space="preserve"> </w:t>
          </w:r>
          <w:r w:rsidR="001D35FB">
            <w:rPr>
              <w:rFonts w:asciiTheme="minorHAnsi" w:hAnsiTheme="minorHAnsi"/>
              <w:bCs/>
            </w:rPr>
            <w:t xml:space="preserve">which grants </w:t>
          </w:r>
          <w:r w:rsidR="0046078E">
            <w:rPr>
              <w:rFonts w:asciiTheme="minorHAnsi" w:hAnsiTheme="minorHAnsi"/>
              <w:bCs/>
            </w:rPr>
            <w:t xml:space="preserve">Eli Lilly </w:t>
          </w:r>
          <w:r w:rsidR="001D35FB">
            <w:rPr>
              <w:rFonts w:asciiTheme="minorHAnsi" w:hAnsiTheme="minorHAnsi"/>
              <w:bCs/>
            </w:rPr>
            <w:t xml:space="preserve">certain exclusive rights to develop and </w:t>
          </w:r>
          <w:r w:rsidR="008C6A50">
            <w:rPr>
              <w:rFonts w:asciiTheme="minorHAnsi" w:hAnsiTheme="minorHAnsi"/>
              <w:bCs/>
            </w:rPr>
            <w:t>commercialise</w:t>
          </w:r>
          <w:r w:rsidR="001D35FB">
            <w:rPr>
              <w:rFonts w:asciiTheme="minorHAnsi" w:hAnsiTheme="minorHAnsi"/>
              <w:bCs/>
            </w:rPr>
            <w:t xml:space="preserve"> Clazakizumab for certain new </w:t>
          </w:r>
          <w:r w:rsidR="001D35FB" w:rsidRPr="0046078E">
            <w:rPr>
              <w:rFonts w:asciiTheme="minorHAnsi" w:hAnsiTheme="minorHAnsi"/>
              <w:bCs/>
            </w:rPr>
            <w:t>indications</w:t>
          </w:r>
          <w:r w:rsidR="002D56CB" w:rsidRPr="0046078E">
            <w:rPr>
              <w:rFonts w:asciiTheme="minorHAnsi" w:hAnsiTheme="minorHAnsi"/>
              <w:bCs/>
            </w:rPr>
            <w:t xml:space="preserve"> (the </w:t>
          </w:r>
          <w:r w:rsidR="00F469D1">
            <w:rPr>
              <w:rFonts w:asciiTheme="minorHAnsi" w:hAnsiTheme="minorHAnsi"/>
              <w:b/>
              <w:bCs/>
            </w:rPr>
            <w:t>Acquisition</w:t>
          </w:r>
          <w:r w:rsidR="002D56CB" w:rsidRPr="0046078E">
            <w:rPr>
              <w:rFonts w:asciiTheme="minorHAnsi" w:hAnsiTheme="minorHAnsi"/>
              <w:bCs/>
            </w:rPr>
            <w:t>).</w:t>
          </w:r>
          <w:r w:rsidR="002D56CB" w:rsidRPr="00D430AE">
            <w:rPr>
              <w:rFonts w:asciiTheme="minorHAnsi" w:hAnsiTheme="minorHAnsi"/>
              <w:bCs/>
            </w:rPr>
            <w:t xml:space="preserve"> </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3DF79B77"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D22E7C" w:rsidRPr="00D22E7C">
            <w:rPr>
              <w:rFonts w:asciiTheme="minorHAnsi" w:hAnsiTheme="minorHAnsi"/>
              <w:b/>
              <w:bCs/>
            </w:rPr>
            <w:t>21 April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bookmarkStart w:id="0" w:name="_Hlk206001287"/>
          <w:r w:rsidR="008C6A50">
            <w:rPr>
              <w:rFonts w:asciiTheme="minorHAnsi" w:hAnsiTheme="minorHAnsi"/>
              <w:i/>
              <w:iCs/>
            </w:rPr>
            <w:t>Eli Lilly</w:t>
          </w:r>
          <w:r w:rsidR="00D437E4" w:rsidRPr="00D430AE">
            <w:rPr>
              <w:rFonts w:asciiTheme="minorHAnsi" w:hAnsiTheme="minorHAnsi"/>
              <w:i/>
              <w:iCs/>
            </w:rPr>
            <w:t xml:space="preserve"> – </w:t>
          </w:r>
          <w:bookmarkEnd w:id="0"/>
          <w:r w:rsidR="008C6A50">
            <w:rPr>
              <w:rFonts w:asciiTheme="minorHAnsi" w:hAnsiTheme="minorHAnsi"/>
              <w:i/>
              <w:iCs/>
            </w:rPr>
            <w:t>acquisition of Clazakizumab licence from CSL Behring</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0774A4EE"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8C6A50">
            <w:rPr>
              <w:rFonts w:asciiTheme="minorHAnsi" w:hAnsiTheme="minorHAnsi"/>
              <w:i/>
              <w:iCs/>
            </w:rPr>
            <w:t>Eli Lilly</w:t>
          </w:r>
          <w:r w:rsidR="008C6A50" w:rsidRPr="00D430AE">
            <w:rPr>
              <w:rFonts w:asciiTheme="minorHAnsi" w:hAnsiTheme="minorHAnsi"/>
              <w:i/>
              <w:iCs/>
            </w:rPr>
            <w:t xml:space="preserve"> – </w:t>
          </w:r>
          <w:r w:rsidR="008C6A50">
            <w:rPr>
              <w:rFonts w:asciiTheme="minorHAnsi" w:hAnsiTheme="minorHAnsi"/>
              <w:i/>
              <w:iCs/>
            </w:rPr>
            <w:t>acquisition of Clazakizumab licence from CSL Behring</w:t>
          </w:r>
          <w:r w:rsidR="006D1B76" w:rsidRPr="00D430AE">
            <w:rPr>
              <w:rFonts w:asciiTheme="minorHAnsi" w:hAnsiTheme="minorHAnsi"/>
            </w:rPr>
            <w:t>.</w:t>
          </w:r>
          <w:bookmarkEnd w:id="1"/>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4F01C8BE"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AB0D28" w:rsidRPr="00D430AE">
              <w:rPr>
                <w:rStyle w:val="Hyperlink"/>
                <w:rFonts w:asciiTheme="minorHAnsi" w:hAnsiTheme="minorHAnsi"/>
              </w:rPr>
              <w:t>c</w:t>
            </w:r>
            <w:r w:rsidR="00760DD0" w:rsidRPr="00D430AE">
              <w:rPr>
                <w:rStyle w:val="Hyperlink"/>
                <w:rFonts w:asciiTheme="minorHAnsi" w:hAnsiTheme="minorHAnsi"/>
              </w:rPr>
              <w:t>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375EBF10" w14:textId="77777777" w:rsidR="00DE5D25" w:rsidRDefault="00DE5D25" w:rsidP="00E006B5">
          <w:pPr>
            <w:pStyle w:val="Heading2"/>
          </w:pPr>
        </w:p>
        <w:p w14:paraId="57FED917" w14:textId="2088B399" w:rsidR="00E006B5" w:rsidRPr="00D430AE" w:rsidRDefault="00617DC8" w:rsidP="00E006B5">
          <w:pPr>
            <w:pStyle w:val="Heading2"/>
          </w:pPr>
          <w:r w:rsidRPr="00D430AE">
            <w:t xml:space="preserve">Questions </w:t>
          </w:r>
        </w:p>
        <w:p w14:paraId="41E64392" w14:textId="444B870C"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70EE169D"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r w:rsidR="009F55A7">
            <w:rPr>
              <w:rFonts w:asciiTheme="minorHAnsi" w:hAnsiTheme="minorHAnsi"/>
              <w:sz w:val="22"/>
              <w:szCs w:val="22"/>
              <w:lang w:val="en-AU"/>
            </w:rPr>
            <w:t>Eli Lilly and Company</w:t>
          </w:r>
          <w:r w:rsidRPr="00D430AE">
            <w:rPr>
              <w:rFonts w:asciiTheme="minorHAnsi" w:hAnsiTheme="minorHAnsi"/>
              <w:sz w:val="22"/>
              <w:szCs w:val="22"/>
              <w:lang w:val="en-AU"/>
            </w:rPr>
            <w:t xml:space="preserve"> and</w:t>
          </w:r>
          <w:r w:rsidR="00EC46E6" w:rsidRPr="00D430AE">
            <w:rPr>
              <w:rFonts w:asciiTheme="minorHAnsi" w:hAnsiTheme="minorHAnsi"/>
              <w:sz w:val="22"/>
              <w:szCs w:val="22"/>
              <w:lang w:val="en-AU"/>
            </w:rPr>
            <w:t>/</w:t>
          </w:r>
          <w:r w:rsidRPr="00D430AE">
            <w:rPr>
              <w:rFonts w:asciiTheme="minorHAnsi" w:hAnsiTheme="minorHAnsi"/>
              <w:sz w:val="22"/>
              <w:szCs w:val="22"/>
              <w:lang w:val="en-AU"/>
            </w:rPr>
            <w:t xml:space="preserve">or </w:t>
          </w:r>
          <w:r w:rsidR="009F55A7">
            <w:rPr>
              <w:rFonts w:asciiTheme="minorHAnsi" w:hAnsiTheme="minorHAnsi"/>
              <w:sz w:val="22"/>
              <w:szCs w:val="22"/>
              <w:lang w:val="en-AU"/>
            </w:rPr>
            <w:t>CSL Behring</w:t>
          </w:r>
          <w:r w:rsidR="004C4854" w:rsidRPr="00D430AE">
            <w:rPr>
              <w:rFonts w:asciiTheme="minorHAnsi" w:hAnsiTheme="minorHAnsi"/>
              <w:sz w:val="22"/>
              <w:szCs w:val="22"/>
              <w:lang w:val="en-AU"/>
            </w:rPr>
            <w:t>.</w:t>
          </w:r>
        </w:p>
        <w:bookmarkEnd w:id="2"/>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F469D1"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3"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 xml:space="preserve">For further information on confidentiality, see the ACCC’s </w:t>
            </w:r>
            <w:hyperlink r:id="rId16" w:history="1">
              <w:r w:rsidRPr="00D430AE">
                <w:rPr>
                  <w:rStyle w:val="Hyperlink"/>
                  <w:rFonts w:asciiTheme="minorHAnsi" w:hAnsiTheme="minorHAnsi"/>
                  <w:b w:val="0"/>
                  <w:sz w:val="20"/>
                  <w:szCs w:val="20"/>
                </w:rPr>
                <w:t>interim merger process guidelines</w:t>
              </w:r>
            </w:hyperlink>
            <w:r w:rsidR="0045354E" w:rsidRPr="00D430AE">
              <w:rPr>
                <w:rStyle w:val="Strong"/>
                <w:rFonts w:asciiTheme="minorHAnsi" w:hAnsiTheme="minorHAnsi"/>
                <w:color w:val="000000" w:themeColor="text1"/>
                <w:szCs w:val="20"/>
              </w:rPr>
              <w:t>.</w:t>
            </w:r>
            <w:r w:rsidRPr="00D430AE">
              <w:rPr>
                <w:rStyle w:val="Strong"/>
                <w:rFonts w:asciiTheme="minorHAnsi" w:hAnsiTheme="minorHAnsi"/>
                <w:color w:val="000000" w:themeColor="text1"/>
                <w:szCs w:val="20"/>
              </w:rPr>
              <w:t xml:space="preserve"> </w:t>
            </w:r>
            <w:bookmarkEnd w:id="3"/>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footerReference w:type="default" r:id="rId17"/>
      <w:headerReference w:type="first" r:id="rId18"/>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C21A5" w14:textId="77777777" w:rsidR="001F6AF8" w:rsidRDefault="001F6AF8" w:rsidP="004B4412">
      <w:pPr>
        <w:spacing w:before="0"/>
      </w:pPr>
      <w:r>
        <w:separator/>
      </w:r>
    </w:p>
  </w:endnote>
  <w:endnote w:type="continuationSeparator" w:id="0">
    <w:p w14:paraId="75389486" w14:textId="77777777" w:rsidR="001F6AF8" w:rsidRDefault="001F6AF8" w:rsidP="004B4412">
      <w:pPr>
        <w:spacing w:before="0"/>
      </w:pPr>
      <w:r>
        <w:continuationSeparator/>
      </w:r>
    </w:p>
  </w:endnote>
  <w:endnote w:type="continuationNotice" w:id="1">
    <w:p w14:paraId="15FE5457" w14:textId="77777777" w:rsidR="001F6AF8" w:rsidRDefault="001F6AF8">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E069B" w14:textId="77777777" w:rsidR="001F6AF8" w:rsidRDefault="001F6AF8" w:rsidP="004B4412">
      <w:pPr>
        <w:spacing w:before="0"/>
      </w:pPr>
      <w:r>
        <w:separator/>
      </w:r>
    </w:p>
  </w:footnote>
  <w:footnote w:type="continuationSeparator" w:id="0">
    <w:p w14:paraId="7AA95745" w14:textId="77777777" w:rsidR="001F6AF8" w:rsidRDefault="001F6AF8" w:rsidP="004B4412">
      <w:pPr>
        <w:spacing w:before="0"/>
      </w:pPr>
      <w:r>
        <w:continuationSeparator/>
      </w:r>
    </w:p>
  </w:footnote>
  <w:footnote w:type="continuationNotice" w:id="1">
    <w:p w14:paraId="23115C67" w14:textId="77777777" w:rsidR="001F6AF8" w:rsidRDefault="001F6AF8">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7"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8"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29"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29"/>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6"/>
  </w:num>
  <w:num w:numId="11" w16cid:durableId="1891382519">
    <w:abstractNumId w:val="28"/>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7"/>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trackRevisions/>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5FB"/>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078E"/>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4127"/>
    <w:rsid w:val="004E55DB"/>
    <w:rsid w:val="004E736E"/>
    <w:rsid w:val="004E7BEE"/>
    <w:rsid w:val="004F04F2"/>
    <w:rsid w:val="004F2EB5"/>
    <w:rsid w:val="004F53F5"/>
    <w:rsid w:val="004F774F"/>
    <w:rsid w:val="00503002"/>
    <w:rsid w:val="005038DB"/>
    <w:rsid w:val="005049C8"/>
    <w:rsid w:val="005063B8"/>
    <w:rsid w:val="005067C7"/>
    <w:rsid w:val="00507084"/>
    <w:rsid w:val="005147F8"/>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A50"/>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348"/>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5DA"/>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C6A50"/>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963"/>
    <w:rsid w:val="00984CFC"/>
    <w:rsid w:val="009856B7"/>
    <w:rsid w:val="0098584E"/>
    <w:rsid w:val="0098602B"/>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E6C2A"/>
    <w:rsid w:val="009F0472"/>
    <w:rsid w:val="009F1673"/>
    <w:rsid w:val="009F17F5"/>
    <w:rsid w:val="009F18D9"/>
    <w:rsid w:val="009F2A65"/>
    <w:rsid w:val="009F2BE5"/>
    <w:rsid w:val="009F4528"/>
    <w:rsid w:val="009F4940"/>
    <w:rsid w:val="009F543E"/>
    <w:rsid w:val="009F5557"/>
    <w:rsid w:val="009F55A7"/>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2D8E"/>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2E7C"/>
    <w:rsid w:val="00D237E3"/>
    <w:rsid w:val="00D241E1"/>
    <w:rsid w:val="00D24E4C"/>
    <w:rsid w:val="00D263B5"/>
    <w:rsid w:val="00D265B4"/>
    <w:rsid w:val="00D26B06"/>
    <w:rsid w:val="00D26FD0"/>
    <w:rsid w:val="00D27198"/>
    <w:rsid w:val="00D272CC"/>
    <w:rsid w:val="00D30A51"/>
    <w:rsid w:val="00D32E48"/>
    <w:rsid w:val="00D349BD"/>
    <w:rsid w:val="00D34C61"/>
    <w:rsid w:val="00D35AA7"/>
    <w:rsid w:val="00D362F9"/>
    <w:rsid w:val="00D36376"/>
    <w:rsid w:val="00D365E3"/>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993"/>
    <w:rsid w:val="00DE4CDC"/>
    <w:rsid w:val="00DE4E77"/>
    <w:rsid w:val="00DE4EFA"/>
    <w:rsid w:val="00DE50EF"/>
    <w:rsid w:val="00DE5520"/>
    <w:rsid w:val="00DE5D25"/>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3DD8"/>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5A26"/>
    <w:rsid w:val="00EE721F"/>
    <w:rsid w:val="00EF0EA8"/>
    <w:rsid w:val="00EF223E"/>
    <w:rsid w:val="00EF2A71"/>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9D1"/>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accc.gov.au/about-us/publications/merger-process-guideline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s://www.accc.gov.au/notification-of-proposed-acquisition-confidentiality-claims-template" TargetMode="Externa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5.xml><?xml version="1.0" encoding="utf-8"?>
<ds:datastoreItem xmlns:ds="http://schemas.openxmlformats.org/officeDocument/2006/customXml" ds:itemID="{4BDF1EC8-72CE-446D-8870-26D10EE696A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2</Pages>
  <Words>633</Words>
  <Characters>3529</Characters>
  <Application>Microsoft Office Word</Application>
  <DocSecurity>0</DocSecurity>
  <Lines>67</Lines>
  <Paragraphs>27</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Talia Rogan</cp:lastModifiedBy>
  <cp:revision>9</cp:revision>
  <cp:lastPrinted>2022-05-27T10:23:00Z</cp:lastPrinted>
  <dcterms:created xsi:type="dcterms:W3CDTF">2026-03-31T03:41:00Z</dcterms:created>
  <dcterms:modified xsi:type="dcterms:W3CDTF">2026-04-14T03:33:00Z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