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15ADD2B"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65848D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EB286A">
            <w:t>Monadelphous</w:t>
          </w:r>
          <w:r w:rsidR="008C09AC" w:rsidRPr="00D430AE">
            <w:t xml:space="preserve"> </w:t>
          </w:r>
          <w:r w:rsidR="00A23FD3" w:rsidRPr="00D430AE">
            <w:t xml:space="preserve">– </w:t>
          </w:r>
          <w:r w:rsidR="00EB286A">
            <w:t>Tyden Power</w:t>
          </w:r>
        </w:p>
        <w:p w14:paraId="3B287C00" w14:textId="79B921E0" w:rsidR="00A23FD3" w:rsidRPr="00D430AE" w:rsidRDefault="00EB286A" w:rsidP="00A23FD3">
          <w:pPr>
            <w:pStyle w:val="Titlepagefilenumber"/>
            <w:jc w:val="left"/>
            <w:rPr>
              <w:rFonts w:asciiTheme="minorHAnsi" w:hAnsiTheme="minorHAnsi"/>
            </w:rPr>
          </w:pPr>
          <w:r>
            <w:rPr>
              <w:rFonts w:asciiTheme="minorHAnsi" w:hAnsiTheme="minorHAnsi"/>
            </w:rPr>
            <w:t>MN-075065</w:t>
          </w:r>
        </w:p>
        <w:p w14:paraId="51182443" w14:textId="222ACE4F"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56037E">
            <w:t>Monday 2 November 2026</w:t>
          </w:r>
        </w:p>
        <w:p w14:paraId="03108491" w14:textId="4BB263A5" w:rsidR="00E772B4"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w:t>
          </w:r>
          <w:r w:rsidR="002D56CB" w:rsidRPr="00C3407B">
            <w:rPr>
              <w:rFonts w:asciiTheme="minorHAnsi" w:hAnsiTheme="minorHAnsi"/>
            </w:rPr>
            <w:t xml:space="preserve">currently assessing </w:t>
          </w:r>
          <w:r w:rsidR="00D822A9" w:rsidRPr="00C3407B">
            <w:rPr>
              <w:rFonts w:asciiTheme="minorHAnsi" w:hAnsiTheme="minorHAnsi"/>
              <w:bCs/>
            </w:rPr>
            <w:t>Monadelphous Group Limited’s (</w:t>
          </w:r>
          <w:r w:rsidR="00D822A9" w:rsidRPr="00C3407B">
            <w:rPr>
              <w:rFonts w:asciiTheme="minorHAnsi" w:hAnsiTheme="minorHAnsi"/>
              <w:b/>
            </w:rPr>
            <w:t xml:space="preserve">Monadelphous) </w:t>
          </w:r>
          <w:r w:rsidR="00E50F05" w:rsidRPr="00C3407B">
            <w:rPr>
              <w:rFonts w:asciiTheme="minorHAnsi" w:hAnsiTheme="minorHAnsi"/>
              <w:bCs/>
            </w:rPr>
            <w:t xml:space="preserve">proposed </w:t>
          </w:r>
          <w:r w:rsidR="002D56CB" w:rsidRPr="00C3407B">
            <w:rPr>
              <w:rFonts w:asciiTheme="minorHAnsi" w:hAnsiTheme="minorHAnsi"/>
              <w:bCs/>
            </w:rPr>
            <w:t xml:space="preserve">acquisition of 100% of the </w:t>
          </w:r>
          <w:r w:rsidR="00D822A9" w:rsidRPr="00C3407B">
            <w:rPr>
              <w:rFonts w:asciiTheme="minorHAnsi" w:hAnsiTheme="minorHAnsi"/>
              <w:bCs/>
            </w:rPr>
            <w:t xml:space="preserve">issued </w:t>
          </w:r>
          <w:r w:rsidR="002D56CB" w:rsidRPr="00C3407B">
            <w:rPr>
              <w:rFonts w:asciiTheme="minorHAnsi" w:hAnsiTheme="minorHAnsi"/>
              <w:bCs/>
            </w:rPr>
            <w:t xml:space="preserve">share capital in </w:t>
          </w:r>
          <w:r w:rsidR="00D822A9" w:rsidRPr="00C3407B">
            <w:rPr>
              <w:rFonts w:asciiTheme="minorHAnsi" w:hAnsiTheme="minorHAnsi"/>
              <w:bCs/>
            </w:rPr>
            <w:t>Tyden Power Pty Ltd</w:t>
          </w:r>
          <w:r w:rsidR="002D56CB" w:rsidRPr="00C3407B">
            <w:rPr>
              <w:rFonts w:asciiTheme="minorHAnsi" w:hAnsiTheme="minorHAnsi"/>
              <w:bCs/>
            </w:rPr>
            <w:t xml:space="preserve"> (</w:t>
          </w:r>
          <w:r w:rsidR="00D822A9" w:rsidRPr="00C3407B">
            <w:rPr>
              <w:rFonts w:asciiTheme="minorHAnsi" w:hAnsiTheme="minorHAnsi"/>
              <w:b/>
              <w:bCs/>
            </w:rPr>
            <w:t>Tyden Power</w:t>
          </w:r>
          <w:r w:rsidR="002D56CB" w:rsidRPr="00C3407B">
            <w:rPr>
              <w:rFonts w:asciiTheme="minorHAnsi" w:hAnsiTheme="minorHAnsi"/>
              <w:bCs/>
            </w:rPr>
            <w:t xml:space="preserve">) (the </w:t>
          </w:r>
          <w:r w:rsidR="002D56CB" w:rsidRPr="00C3407B">
            <w:rPr>
              <w:rFonts w:asciiTheme="minorHAnsi" w:hAnsiTheme="minorHAnsi"/>
              <w:b/>
              <w:bCs/>
            </w:rPr>
            <w:t>Acquisition</w:t>
          </w:r>
          <w:r w:rsidR="002D56CB" w:rsidRPr="00C3407B">
            <w:rPr>
              <w:rFonts w:asciiTheme="minorHAnsi" w:hAnsiTheme="minorHAnsi"/>
              <w:bCs/>
            </w:rPr>
            <w:t xml:space="preserve">). </w:t>
          </w:r>
        </w:p>
        <w:p w14:paraId="34360E39" w14:textId="77777777" w:rsidR="00D21D35" w:rsidRDefault="00D21D35" w:rsidP="00D21D35">
          <w:r>
            <w:t>Monadelphous is an ASX-listed Australian engineering group providing construction, maintenance and industrial services to the resources, energy and infrastructure sectors. Monadelphous, through its various business units, provides high voltage (</w:t>
          </w:r>
          <w:r w:rsidRPr="00F55304">
            <w:rPr>
              <w:b/>
              <w:bCs/>
            </w:rPr>
            <w:t>HV</w:t>
          </w:r>
          <w:r>
            <w:t>) electrical services principally in Western Australia, Victoria and Queensland.</w:t>
          </w:r>
        </w:p>
        <w:p w14:paraId="18CC6D23" w14:textId="77777777" w:rsidR="00D21D35" w:rsidRDefault="00D21D35" w:rsidP="00D21D35">
          <w:r>
            <w:t>Tyden Power is a New South Wales-based provider of HV engineering, testing, commissioning, maintenance and construction services to customers in the energy, utilities and infrastructure sectors.</w:t>
          </w:r>
        </w:p>
        <w:p w14:paraId="5951DA71" w14:textId="758395AD" w:rsidR="00D21D35" w:rsidRPr="00C3407B" w:rsidRDefault="00D21D35" w:rsidP="00D21D35">
          <w:pPr>
            <w:rPr>
              <w:rFonts w:asciiTheme="minorHAnsi" w:hAnsiTheme="minorHAnsi"/>
              <w:bCs/>
            </w:rPr>
          </w:pPr>
          <w:r>
            <w:t>Following completion, Tyden Power will become a wholly-owned subsidiary of Monadelphous.</w:t>
          </w:r>
        </w:p>
        <w:p w14:paraId="2CFCC2E1" w14:textId="7915456B" w:rsidR="002D56CB" w:rsidRPr="00C3407B" w:rsidRDefault="00CA5FBC" w:rsidP="00E772B4">
          <w:pPr>
            <w:rPr>
              <w:rFonts w:asciiTheme="minorHAnsi" w:hAnsiTheme="minorHAnsi"/>
            </w:rPr>
          </w:pPr>
          <w:r w:rsidRPr="00C3407B">
            <w:rPr>
              <w:rFonts w:asciiTheme="minorHAnsi" w:hAnsiTheme="minorHAnsi"/>
            </w:rPr>
            <w:t>For further information about the ACCC’s assessment</w:t>
          </w:r>
          <w:r w:rsidR="00BF2AEF" w:rsidRPr="00C3407B">
            <w:rPr>
              <w:rFonts w:asciiTheme="minorHAnsi" w:hAnsiTheme="minorHAnsi"/>
            </w:rPr>
            <w:t xml:space="preserve"> of the Acquisition</w:t>
          </w:r>
          <w:r w:rsidRPr="00C3407B">
            <w:rPr>
              <w:rFonts w:asciiTheme="minorHAnsi" w:hAnsiTheme="minorHAnsi"/>
            </w:rPr>
            <w:t>, see</w:t>
          </w:r>
          <w:r w:rsidR="00631F19" w:rsidRPr="00C3407B">
            <w:rPr>
              <w:rFonts w:asciiTheme="minorHAnsi" w:hAnsiTheme="minorHAnsi"/>
            </w:rPr>
            <w:t xml:space="preserve"> the ACCC’s </w:t>
          </w:r>
          <w:hyperlink r:id="rId12" w:history="1">
            <w:r w:rsidR="00631F19" w:rsidRPr="00C3407B">
              <w:rPr>
                <w:rStyle w:val="Hyperlink"/>
                <w:rFonts w:asciiTheme="minorHAnsi" w:hAnsiTheme="minorHAnsi"/>
              </w:rPr>
              <w:t>Acquisitions Register</w:t>
            </w:r>
          </w:hyperlink>
          <w:r w:rsidR="00631F19" w:rsidRPr="00C3407B">
            <w:rPr>
              <w:rFonts w:asciiTheme="minorHAnsi" w:hAnsiTheme="minorHAnsi"/>
            </w:rPr>
            <w:t>.</w:t>
          </w:r>
        </w:p>
        <w:p w14:paraId="393554F4" w14:textId="552ADC0B" w:rsidR="002F29A8" w:rsidRPr="00D430AE" w:rsidRDefault="00224B99" w:rsidP="00E772B4">
          <w:pPr>
            <w:rPr>
              <w:rFonts w:asciiTheme="minorHAnsi" w:hAnsiTheme="minorHAnsi"/>
            </w:rPr>
          </w:pPr>
          <w:r w:rsidRPr="00C3407B">
            <w:rPr>
              <w:rFonts w:asciiTheme="minorHAnsi" w:hAnsiTheme="minorHAnsi"/>
            </w:rPr>
            <w:t xml:space="preserve">The ACCC is </w:t>
          </w:r>
          <w:r w:rsidR="00CA4B9B" w:rsidRPr="00C3407B">
            <w:rPr>
              <w:rFonts w:asciiTheme="minorHAnsi" w:hAnsiTheme="minorHAnsi"/>
            </w:rPr>
            <w:t>assessing the impact of the Acquisition on competition and is</w:t>
          </w:r>
          <w:r w:rsidR="00CA4B9B" w:rsidRPr="00D430AE">
            <w:rPr>
              <w:rFonts w:asciiTheme="minorHAnsi" w:hAnsiTheme="minorHAnsi"/>
            </w:rPr>
            <w:t xml:space="preserve">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56037E">
            <w:rPr>
              <w:rFonts w:asciiTheme="minorHAnsi" w:hAnsiTheme="minorHAnsi"/>
            </w:rPr>
            <w:t>Monday 2 November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D822A9">
            <w:rPr>
              <w:rFonts w:asciiTheme="minorHAnsi" w:hAnsiTheme="minorHAnsi"/>
              <w:i/>
              <w:iCs/>
            </w:rPr>
            <w:t>Monadelphous</w:t>
          </w:r>
          <w:r w:rsidR="00D437E4" w:rsidRPr="00D430AE">
            <w:rPr>
              <w:rFonts w:asciiTheme="minorHAnsi" w:hAnsiTheme="minorHAnsi"/>
              <w:i/>
              <w:iCs/>
            </w:rPr>
            <w:t xml:space="preserve"> –</w:t>
          </w:r>
          <w:bookmarkEnd w:id="0"/>
          <w:r w:rsidR="00D822A9">
            <w:rPr>
              <w:rFonts w:asciiTheme="minorHAnsi" w:hAnsiTheme="minorHAnsi"/>
              <w:i/>
              <w:iCs/>
            </w:rPr>
            <w:t>Tyden Power</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A4F3007"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7D03F6">
            <w:rPr>
              <w:rFonts w:asciiTheme="minorHAnsi" w:hAnsiTheme="minorHAnsi"/>
              <w:i/>
              <w:iCs/>
            </w:rPr>
            <w:t xml:space="preserve"> </w:t>
          </w:r>
          <w:r w:rsidR="007D03F6" w:rsidRPr="007D03F6">
            <w:rPr>
              <w:rFonts w:asciiTheme="minorHAnsi" w:hAnsiTheme="minorHAnsi"/>
              <w:i/>
              <w:iCs/>
            </w:rPr>
            <w:t>Monadelphous – Tyden Power</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3D48E19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7D03F6">
            <w:rPr>
              <w:rFonts w:asciiTheme="minorHAnsi" w:hAnsiTheme="minorHAnsi"/>
              <w:sz w:val="22"/>
              <w:szCs w:val="22"/>
              <w:lang w:val="en-AU"/>
            </w:rPr>
            <w:t>Monadelphous</w:t>
          </w:r>
          <w:r w:rsidR="009579F5" w:rsidRPr="00D430AE">
            <w:rPr>
              <w:rFonts w:asciiTheme="minorHAnsi" w:hAnsiTheme="minorHAnsi"/>
              <w:sz w:val="22"/>
              <w:szCs w:val="22"/>
              <w:lang w:val="en-AU"/>
            </w:rPr>
            <w:t xml:space="preserve"> and </w:t>
          </w:r>
          <w:r w:rsidR="007D03F6">
            <w:rPr>
              <w:rFonts w:asciiTheme="minorHAnsi" w:hAnsiTheme="minorHAnsi"/>
              <w:sz w:val="22"/>
              <w:szCs w:val="22"/>
              <w:lang w:val="en-AU"/>
            </w:rPr>
            <w:t xml:space="preserve">Tyden Power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7C10347"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7D03F6">
            <w:rPr>
              <w:rFonts w:asciiTheme="minorHAnsi" w:hAnsiTheme="minorHAnsi"/>
              <w:sz w:val="22"/>
              <w:szCs w:val="22"/>
              <w:lang w:val="en-AU"/>
            </w:rPr>
            <w:t>Monadelphous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7D03F6">
            <w:rPr>
              <w:rFonts w:asciiTheme="minorHAnsi" w:hAnsiTheme="minorHAnsi"/>
              <w:sz w:val="22"/>
              <w:szCs w:val="22"/>
              <w:lang w:val="en-AU"/>
            </w:rPr>
            <w:t>Tyden Power</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17109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9573E" w14:textId="77777777" w:rsidR="0017109B" w:rsidRDefault="0017109B" w:rsidP="004B4412">
      <w:pPr>
        <w:spacing w:before="0"/>
      </w:pPr>
      <w:r>
        <w:separator/>
      </w:r>
    </w:p>
  </w:endnote>
  <w:endnote w:type="continuationSeparator" w:id="0">
    <w:p w14:paraId="4DD9FF49" w14:textId="77777777" w:rsidR="0017109B" w:rsidRDefault="0017109B" w:rsidP="004B4412">
      <w:pPr>
        <w:spacing w:before="0"/>
      </w:pPr>
      <w:r>
        <w:continuationSeparator/>
      </w:r>
    </w:p>
  </w:endnote>
  <w:endnote w:type="continuationNotice" w:id="1">
    <w:p w14:paraId="4E7D44B4" w14:textId="77777777" w:rsidR="0017109B" w:rsidRDefault="0017109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568D8" w14:textId="77777777" w:rsidR="0017109B" w:rsidRDefault="0017109B" w:rsidP="004B4412">
      <w:pPr>
        <w:spacing w:before="0"/>
      </w:pPr>
      <w:r>
        <w:separator/>
      </w:r>
    </w:p>
  </w:footnote>
  <w:footnote w:type="continuationSeparator" w:id="0">
    <w:p w14:paraId="42FAAC74" w14:textId="77777777" w:rsidR="0017109B" w:rsidRDefault="0017109B" w:rsidP="004B4412">
      <w:pPr>
        <w:spacing w:before="0"/>
      </w:pPr>
      <w:r>
        <w:continuationSeparator/>
      </w:r>
    </w:p>
  </w:footnote>
  <w:footnote w:type="continuationNotice" w:id="1">
    <w:p w14:paraId="6D808C92" w14:textId="77777777" w:rsidR="0017109B" w:rsidRDefault="0017109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341"/>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09B"/>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0A3"/>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23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037E"/>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471C6"/>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3F6"/>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65F9"/>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1426"/>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07B"/>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07"/>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1D35"/>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2A9"/>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286A"/>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712</Words>
  <Characters>4097</Characters>
  <Application>Microsoft Office Word</Application>
  <DocSecurity>0</DocSecurity>
  <Lines>74</Lines>
  <Paragraphs>31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Jennie Gao</cp:lastModifiedBy>
  <cp:revision>6</cp:revision>
  <cp:lastPrinted>2022-05-27T10:23:00Z</cp:lastPrinted>
  <dcterms:created xsi:type="dcterms:W3CDTF">2026-10-16T01:03:00Z</dcterms:created>
  <dcterms:modified xsi:type="dcterms:W3CDTF">2026-10-26T02:27:00Z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