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6FE2A522"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28562230"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3F0FEE">
            <w:t>Publicis Groupe</w:t>
          </w:r>
          <w:r w:rsidR="008C09AC" w:rsidRPr="00D430AE">
            <w:t xml:space="preserve"> </w:t>
          </w:r>
          <w:r w:rsidR="00A23FD3" w:rsidRPr="00D430AE">
            <w:t xml:space="preserve">– </w:t>
          </w:r>
          <w:proofErr w:type="spellStart"/>
          <w:r w:rsidR="003F0FEE">
            <w:t>LiveRamp</w:t>
          </w:r>
          <w:proofErr w:type="spellEnd"/>
          <w:r w:rsidR="00A23FD3" w:rsidRPr="00D430AE">
            <w:t xml:space="preserve"> </w:t>
          </w:r>
        </w:p>
        <w:p w14:paraId="3B287C00" w14:textId="5C5752C2" w:rsidR="00A23FD3" w:rsidRPr="00D430AE" w:rsidRDefault="003F0FEE" w:rsidP="00A23FD3">
          <w:pPr>
            <w:pStyle w:val="Titlepagefilenumber"/>
            <w:jc w:val="left"/>
            <w:rPr>
              <w:rFonts w:asciiTheme="minorHAnsi" w:hAnsiTheme="minorHAnsi"/>
            </w:rPr>
          </w:pPr>
          <w:r>
            <w:rPr>
              <w:rFonts w:asciiTheme="minorHAnsi" w:hAnsiTheme="minorHAnsi"/>
            </w:rPr>
            <w:t>MN-60026</w:t>
          </w:r>
        </w:p>
        <w:p w14:paraId="51182443" w14:textId="75C819AC"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A10312">
            <w:t>Tuesday 4 August 2026</w:t>
          </w:r>
        </w:p>
        <w:p w14:paraId="03108491" w14:textId="3F75D7E0"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3F0FEE">
            <w:rPr>
              <w:rFonts w:asciiTheme="minorHAnsi" w:hAnsiTheme="minorHAnsi"/>
            </w:rPr>
            <w:t>Publicis Groupe S.A. (</w:t>
          </w:r>
          <w:r w:rsidR="003F0FEE" w:rsidRPr="003F0FEE">
            <w:rPr>
              <w:rFonts w:asciiTheme="minorHAnsi" w:hAnsiTheme="minorHAnsi"/>
              <w:b/>
              <w:bCs/>
            </w:rPr>
            <w:t>Publicis</w:t>
          </w:r>
          <w:r w:rsidR="003F0FEE">
            <w:rPr>
              <w:rFonts w:asciiTheme="minorHAnsi" w:hAnsiTheme="minorHAnsi"/>
            </w:rPr>
            <w:t xml:space="preserve">)’ proposed acquisition of 100% of the shares in </w:t>
          </w:r>
          <w:proofErr w:type="spellStart"/>
          <w:r w:rsidR="003F0FEE">
            <w:rPr>
              <w:rFonts w:asciiTheme="minorHAnsi" w:hAnsiTheme="minorHAnsi"/>
            </w:rPr>
            <w:t>LiveRamp</w:t>
          </w:r>
          <w:proofErr w:type="spellEnd"/>
          <w:r w:rsidR="003F0FEE">
            <w:rPr>
              <w:rFonts w:asciiTheme="minorHAnsi" w:hAnsiTheme="minorHAnsi"/>
            </w:rPr>
            <w:t xml:space="preserve"> Holdings Inc. (</w:t>
          </w:r>
          <w:proofErr w:type="spellStart"/>
          <w:r w:rsidR="003F0FEE" w:rsidRPr="003F0FEE">
            <w:rPr>
              <w:rFonts w:asciiTheme="minorHAnsi" w:hAnsiTheme="minorHAnsi"/>
              <w:b/>
              <w:bCs/>
            </w:rPr>
            <w:t>LiveRamp</w:t>
          </w:r>
          <w:proofErr w:type="spellEnd"/>
          <w:r w:rsidR="003F0FEE" w:rsidRPr="003F0FEE">
            <w:rPr>
              <w:rFonts w:asciiTheme="minorHAnsi" w:hAnsiTheme="minorHAnsi"/>
            </w:rPr>
            <w:t xml:space="preserve">) </w:t>
          </w:r>
          <w:r w:rsidR="002D56CB" w:rsidRPr="003F0FEE">
            <w:rPr>
              <w:rFonts w:asciiTheme="minorHAnsi" w:hAnsiTheme="minorHAnsi"/>
              <w:bCs/>
            </w:rPr>
            <w:t xml:space="preserve">(the </w:t>
          </w:r>
          <w:r w:rsidR="002D56CB" w:rsidRPr="003F0FEE">
            <w:rPr>
              <w:rFonts w:asciiTheme="minorHAnsi" w:hAnsiTheme="minorHAnsi"/>
              <w:b/>
              <w:bCs/>
            </w:rPr>
            <w:t>Acquisition</w:t>
          </w:r>
          <w:r w:rsidR="002D56CB" w:rsidRPr="003F0FEE">
            <w:rPr>
              <w:rFonts w:asciiTheme="minorHAnsi" w:hAnsiTheme="minorHAnsi"/>
              <w:bCs/>
            </w:rPr>
            <w:t>).</w:t>
          </w:r>
          <w:r w:rsidR="002D56CB" w:rsidRPr="00D430AE">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9"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6B7A30C1"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A10312">
            <w:rPr>
              <w:rFonts w:asciiTheme="minorHAnsi" w:hAnsiTheme="minorHAnsi"/>
            </w:rPr>
            <w:t>Tuesday 4 August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0"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0C5EF5">
            <w:rPr>
              <w:rFonts w:asciiTheme="minorHAnsi" w:hAnsiTheme="minorHAnsi"/>
              <w:i/>
              <w:iCs/>
            </w:rPr>
            <w:t>Publicis Groupe</w:t>
          </w:r>
          <w:r w:rsidR="00D437E4" w:rsidRPr="00D430AE">
            <w:rPr>
              <w:rFonts w:asciiTheme="minorHAnsi" w:hAnsiTheme="minorHAnsi"/>
              <w:i/>
              <w:iCs/>
            </w:rPr>
            <w:t xml:space="preserve"> – </w:t>
          </w:r>
          <w:bookmarkEnd w:id="0"/>
          <w:proofErr w:type="spellStart"/>
          <w:r w:rsidR="000C5EF5">
            <w:rPr>
              <w:rFonts w:asciiTheme="minorHAnsi" w:hAnsiTheme="minorHAnsi"/>
              <w:i/>
              <w:iCs/>
            </w:rPr>
            <w:t>LiveRamp</w:t>
          </w:r>
          <w:proofErr w:type="spellEnd"/>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7F201393"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1"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0C5EF5">
            <w:rPr>
              <w:rFonts w:asciiTheme="minorHAnsi" w:hAnsiTheme="minorHAnsi"/>
              <w:i/>
              <w:iCs/>
            </w:rPr>
            <w:t>Publicis Groupe</w:t>
          </w:r>
          <w:r w:rsidR="000C5EF5" w:rsidRPr="00D430AE">
            <w:rPr>
              <w:rFonts w:asciiTheme="minorHAnsi" w:hAnsiTheme="minorHAnsi"/>
              <w:i/>
              <w:iCs/>
            </w:rPr>
            <w:t xml:space="preserve"> – </w:t>
          </w:r>
          <w:proofErr w:type="spellStart"/>
          <w:r w:rsidR="000C5EF5">
            <w:rPr>
              <w:rFonts w:asciiTheme="minorHAnsi" w:hAnsiTheme="minorHAnsi"/>
              <w:i/>
              <w:iCs/>
            </w:rPr>
            <w:t>LiveRamp</w:t>
          </w:r>
          <w:proofErr w:type="spellEnd"/>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2"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4F40E826"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544B182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671A83F6"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840826">
            <w:rPr>
              <w:rFonts w:asciiTheme="minorHAnsi" w:hAnsiTheme="minorHAnsi"/>
              <w:sz w:val="22"/>
              <w:szCs w:val="22"/>
              <w:lang w:val="en-AU"/>
            </w:rPr>
            <w:t xml:space="preserve">Publicis </w:t>
          </w:r>
          <w:r w:rsidRPr="00D430AE">
            <w:rPr>
              <w:rFonts w:asciiTheme="minorHAnsi" w:hAnsiTheme="minorHAnsi"/>
              <w:sz w:val="22"/>
              <w:szCs w:val="22"/>
              <w:lang w:val="en-AU"/>
            </w:rPr>
            <w:t>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proofErr w:type="spellStart"/>
          <w:r w:rsidR="00840826">
            <w:rPr>
              <w:rFonts w:asciiTheme="minorHAnsi" w:hAnsiTheme="minorHAnsi"/>
              <w:sz w:val="22"/>
              <w:szCs w:val="22"/>
              <w:lang w:val="en-AU"/>
            </w:rPr>
            <w:t>LiveRamp</w:t>
          </w:r>
          <w:proofErr w:type="spellEnd"/>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4F53C084" w14:textId="1D3B59A0" w:rsidR="00DF3302" w:rsidRPr="00DF3302" w:rsidRDefault="00DF3302" w:rsidP="00DF3302">
          <w:pPr>
            <w:rPr>
              <w:rFonts w:asciiTheme="minorHAnsi" w:hAnsiTheme="minorHAnsi"/>
              <w:b/>
              <w:bCs/>
            </w:rPr>
          </w:pPr>
          <w:r>
            <w:rPr>
              <w:rFonts w:asciiTheme="minorHAnsi" w:hAnsiTheme="minorHAnsi"/>
              <w:b/>
              <w:bCs/>
            </w:rPr>
            <w:t xml:space="preserve">Questions to </w:t>
          </w:r>
          <w:r w:rsidR="00BC0225">
            <w:rPr>
              <w:rFonts w:asciiTheme="minorHAnsi" w:hAnsiTheme="minorHAnsi"/>
              <w:b/>
              <w:bCs/>
            </w:rPr>
            <w:t>customers</w:t>
          </w:r>
        </w:p>
        <w:p w14:paraId="795AA5B3" w14:textId="3A79EB0E" w:rsidR="009B3ABA" w:rsidRPr="00D430AE" w:rsidRDefault="009B3ABA" w:rsidP="009B3ABA">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Describe </w:t>
          </w:r>
          <w:r w:rsidR="00B56A98">
            <w:rPr>
              <w:rFonts w:asciiTheme="minorHAnsi" w:hAnsiTheme="minorHAnsi"/>
              <w:sz w:val="22"/>
              <w:szCs w:val="22"/>
              <w:lang w:val="en-AU"/>
            </w:rPr>
            <w:t xml:space="preserve">what </w:t>
          </w:r>
          <w:r>
            <w:rPr>
              <w:rFonts w:asciiTheme="minorHAnsi" w:hAnsiTheme="minorHAnsi"/>
              <w:sz w:val="22"/>
              <w:szCs w:val="22"/>
              <w:lang w:val="en-AU"/>
            </w:rPr>
            <w:t xml:space="preserve">data ingestion and unification </w:t>
          </w:r>
          <w:r w:rsidR="00CF1AF3">
            <w:rPr>
              <w:rFonts w:asciiTheme="minorHAnsi" w:hAnsiTheme="minorHAnsi"/>
              <w:sz w:val="22"/>
              <w:szCs w:val="22"/>
              <w:lang w:val="en-AU"/>
            </w:rPr>
            <w:t xml:space="preserve">(or closely related) </w:t>
          </w:r>
          <w:r>
            <w:rPr>
              <w:rFonts w:asciiTheme="minorHAnsi" w:hAnsiTheme="minorHAnsi"/>
              <w:sz w:val="22"/>
              <w:szCs w:val="22"/>
              <w:lang w:val="en-AU"/>
            </w:rPr>
            <w:t>services</w:t>
          </w:r>
          <w:r w:rsidR="00B56A98">
            <w:rPr>
              <w:rFonts w:asciiTheme="minorHAnsi" w:hAnsiTheme="minorHAnsi"/>
              <w:sz w:val="22"/>
              <w:szCs w:val="22"/>
              <w:lang w:val="en-AU"/>
            </w:rPr>
            <w:t xml:space="preserve"> your organisation acquires and how the services are procured</w:t>
          </w:r>
          <w:r>
            <w:rPr>
              <w:rFonts w:asciiTheme="minorHAnsi" w:hAnsiTheme="minorHAnsi"/>
              <w:sz w:val="22"/>
              <w:szCs w:val="22"/>
              <w:lang w:val="en-AU"/>
            </w:rPr>
            <w:t>, including whether your organisation procures these services independently or in combination with other products, and whether you acquire these services from a single provider or multiple.</w:t>
          </w:r>
        </w:p>
        <w:p w14:paraId="2593AC08" w14:textId="77777777" w:rsidR="009B3ABA" w:rsidRPr="005D0F8D" w:rsidRDefault="009B3ABA" w:rsidP="009B3ABA">
          <w:pPr>
            <w:pStyle w:val="BoxText"/>
            <w:rPr>
              <w:rFonts w:asciiTheme="minorHAnsi" w:hAnsiTheme="minorHAnsi"/>
              <w:sz w:val="22"/>
              <w:szCs w:val="22"/>
            </w:rPr>
          </w:pPr>
        </w:p>
        <w:p w14:paraId="3DE55166" w14:textId="6E7E3CCF" w:rsidR="000727B8" w:rsidRPr="00D430AE" w:rsidRDefault="00DF3302" w:rsidP="000727B8">
          <w:pPr>
            <w:pStyle w:val="BodyText"/>
            <w:keepNext/>
            <w:numPr>
              <w:ilvl w:val="0"/>
              <w:numId w:val="30"/>
            </w:numPr>
            <w:spacing w:before="240"/>
            <w:rPr>
              <w:rFonts w:asciiTheme="minorHAnsi" w:hAnsiTheme="minorHAnsi"/>
              <w:sz w:val="22"/>
              <w:szCs w:val="22"/>
              <w:lang w:val="en-AU"/>
            </w:rPr>
          </w:pPr>
          <w:proofErr w:type="gramStart"/>
          <w:r>
            <w:rPr>
              <w:rFonts w:asciiTheme="minorHAnsi" w:hAnsiTheme="minorHAnsi"/>
              <w:sz w:val="22"/>
              <w:szCs w:val="22"/>
              <w:lang w:val="en-AU"/>
            </w:rPr>
            <w:t>In the event that</w:t>
          </w:r>
          <w:proofErr w:type="gramEnd"/>
          <w:r>
            <w:rPr>
              <w:rFonts w:asciiTheme="minorHAnsi" w:hAnsiTheme="minorHAnsi"/>
              <w:sz w:val="22"/>
              <w:szCs w:val="22"/>
              <w:lang w:val="en-AU"/>
            </w:rPr>
            <w:t xml:space="preserve"> </w:t>
          </w:r>
          <w:proofErr w:type="spellStart"/>
          <w:r>
            <w:rPr>
              <w:rFonts w:asciiTheme="minorHAnsi" w:hAnsiTheme="minorHAnsi"/>
              <w:sz w:val="22"/>
              <w:szCs w:val="22"/>
              <w:lang w:val="en-AU"/>
            </w:rPr>
            <w:t>LiveRamp</w:t>
          </w:r>
          <w:r w:rsidR="007E6088">
            <w:rPr>
              <w:rFonts w:asciiTheme="minorHAnsi" w:hAnsiTheme="minorHAnsi"/>
              <w:sz w:val="22"/>
              <w:szCs w:val="22"/>
              <w:lang w:val="en-AU"/>
            </w:rPr>
            <w:t>’s</w:t>
          </w:r>
          <w:proofErr w:type="spellEnd"/>
          <w:r w:rsidR="007E6088">
            <w:rPr>
              <w:rFonts w:asciiTheme="minorHAnsi" w:hAnsiTheme="minorHAnsi"/>
              <w:sz w:val="22"/>
              <w:szCs w:val="22"/>
              <w:lang w:val="en-AU"/>
            </w:rPr>
            <w:t xml:space="preserve"> services</w:t>
          </w:r>
          <w:r>
            <w:rPr>
              <w:rFonts w:asciiTheme="minorHAnsi" w:hAnsiTheme="minorHAnsi"/>
              <w:sz w:val="22"/>
              <w:szCs w:val="22"/>
              <w:lang w:val="en-AU"/>
            </w:rPr>
            <w:t xml:space="preserve"> </w:t>
          </w:r>
          <w:r w:rsidR="007E6088">
            <w:rPr>
              <w:rFonts w:asciiTheme="minorHAnsi" w:hAnsiTheme="minorHAnsi"/>
              <w:sz w:val="22"/>
              <w:szCs w:val="22"/>
              <w:lang w:val="en-AU"/>
            </w:rPr>
            <w:t xml:space="preserve">were </w:t>
          </w:r>
          <w:r w:rsidR="00EB2201">
            <w:rPr>
              <w:rFonts w:asciiTheme="minorHAnsi" w:hAnsiTheme="minorHAnsi"/>
              <w:sz w:val="22"/>
              <w:szCs w:val="22"/>
              <w:lang w:val="en-AU"/>
            </w:rPr>
            <w:t xml:space="preserve">only </w:t>
          </w:r>
          <w:r>
            <w:rPr>
              <w:rFonts w:asciiTheme="minorHAnsi" w:hAnsiTheme="minorHAnsi"/>
              <w:sz w:val="22"/>
              <w:szCs w:val="22"/>
              <w:lang w:val="en-AU"/>
            </w:rPr>
            <w:t>available</w:t>
          </w:r>
          <w:r w:rsidR="00EB2201">
            <w:rPr>
              <w:rFonts w:asciiTheme="minorHAnsi" w:hAnsiTheme="minorHAnsi"/>
              <w:sz w:val="22"/>
              <w:szCs w:val="22"/>
              <w:lang w:val="en-AU"/>
            </w:rPr>
            <w:t xml:space="preserve"> when used with other related Publicis services</w:t>
          </w:r>
          <w:r w:rsidR="007E6088">
            <w:rPr>
              <w:rFonts w:asciiTheme="minorHAnsi" w:hAnsiTheme="minorHAnsi"/>
              <w:sz w:val="22"/>
              <w:szCs w:val="22"/>
              <w:lang w:val="en-AU"/>
            </w:rPr>
            <w:t>,</w:t>
          </w:r>
          <w:r>
            <w:rPr>
              <w:rFonts w:asciiTheme="minorHAnsi" w:hAnsiTheme="minorHAnsi"/>
              <w:sz w:val="22"/>
              <w:szCs w:val="22"/>
              <w:lang w:val="en-AU"/>
            </w:rPr>
            <w:t xml:space="preserve"> would this affect your choice of </w:t>
          </w:r>
          <w:r w:rsidR="009826EF">
            <w:rPr>
              <w:rFonts w:asciiTheme="minorHAnsi" w:hAnsiTheme="minorHAnsi"/>
              <w:sz w:val="22"/>
              <w:szCs w:val="22"/>
              <w:lang w:val="en-AU"/>
            </w:rPr>
            <w:t xml:space="preserve">provider </w:t>
          </w:r>
          <w:r w:rsidR="007E6088">
            <w:rPr>
              <w:rFonts w:asciiTheme="minorHAnsi" w:hAnsiTheme="minorHAnsi"/>
              <w:sz w:val="22"/>
              <w:szCs w:val="22"/>
              <w:lang w:val="en-AU"/>
            </w:rPr>
            <w:t>for the</w:t>
          </w:r>
          <w:r w:rsidR="009826EF">
            <w:rPr>
              <w:rFonts w:asciiTheme="minorHAnsi" w:hAnsiTheme="minorHAnsi"/>
              <w:sz w:val="22"/>
              <w:szCs w:val="22"/>
              <w:lang w:val="en-AU"/>
            </w:rPr>
            <w:t xml:space="preserve"> other related</w:t>
          </w:r>
          <w:r w:rsidR="005C031D">
            <w:rPr>
              <w:rFonts w:asciiTheme="minorHAnsi" w:hAnsiTheme="minorHAnsi"/>
              <w:sz w:val="22"/>
              <w:szCs w:val="22"/>
              <w:lang w:val="en-AU"/>
            </w:rPr>
            <w:t xml:space="preserve"> service</w:t>
          </w:r>
          <w:r w:rsidR="007E6088">
            <w:rPr>
              <w:rFonts w:asciiTheme="minorHAnsi" w:hAnsiTheme="minorHAnsi"/>
              <w:sz w:val="22"/>
              <w:szCs w:val="22"/>
              <w:lang w:val="en-AU"/>
            </w:rPr>
            <w:t>s</w:t>
          </w:r>
          <w:r>
            <w:rPr>
              <w:rFonts w:asciiTheme="minorHAnsi" w:hAnsiTheme="minorHAnsi"/>
              <w:sz w:val="22"/>
              <w:szCs w:val="22"/>
              <w:lang w:val="en-AU"/>
            </w:rPr>
            <w:t xml:space="preserve">? Please </w:t>
          </w:r>
          <w:r w:rsidR="009826EF">
            <w:rPr>
              <w:rFonts w:asciiTheme="minorHAnsi" w:hAnsiTheme="minorHAnsi"/>
              <w:sz w:val="22"/>
              <w:szCs w:val="22"/>
              <w:lang w:val="en-AU"/>
            </w:rPr>
            <w:t>explain why/why not</w:t>
          </w:r>
          <w:r w:rsidR="006155B6">
            <w:rPr>
              <w:rFonts w:asciiTheme="minorHAnsi" w:hAnsiTheme="minorHAnsi"/>
              <w:sz w:val="22"/>
              <w:szCs w:val="22"/>
              <w:lang w:val="en-AU"/>
            </w:rPr>
            <w:t>.</w:t>
          </w:r>
        </w:p>
        <w:p w14:paraId="1D70C1CF" w14:textId="2A9F4D2B" w:rsidR="00DF3302" w:rsidRPr="000727B8" w:rsidRDefault="00DF3302" w:rsidP="000727B8">
          <w:pPr>
            <w:pStyle w:val="BoxText"/>
            <w:rPr>
              <w:rFonts w:asciiTheme="minorHAnsi" w:hAnsiTheme="minorHAnsi"/>
              <w:sz w:val="22"/>
              <w:szCs w:val="22"/>
            </w:rPr>
          </w:pPr>
        </w:p>
        <w:p w14:paraId="124EA0D4" w14:textId="7B164F9C" w:rsidR="000727B8" w:rsidRPr="00D430AE" w:rsidRDefault="00C97C8F" w:rsidP="000727B8">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What would be involved in switching your data ingestion and unification services provider? Please consider factors such as costs to switch, data ownership, and data interoperability/neutrality. </w:t>
          </w:r>
        </w:p>
        <w:p w14:paraId="71CE6E1F" w14:textId="33A81267" w:rsidR="000727B8" w:rsidRPr="000727B8" w:rsidRDefault="000727B8" w:rsidP="000727B8">
          <w:pPr>
            <w:pStyle w:val="BoxText"/>
            <w:rPr>
              <w:rFonts w:asciiTheme="minorHAnsi" w:hAnsiTheme="minorHAnsi"/>
              <w:sz w:val="22"/>
              <w:szCs w:val="22"/>
            </w:rPr>
          </w:pPr>
        </w:p>
        <w:p w14:paraId="6D63B8D2" w14:textId="224B343E" w:rsidR="00BC0225" w:rsidRDefault="00BC0225" w:rsidP="00255A56">
          <w:pPr>
            <w:pStyle w:val="Numberedparagraph11"/>
            <w:numPr>
              <w:ilvl w:val="0"/>
              <w:numId w:val="0"/>
            </w:numPr>
            <w:rPr>
              <w:rFonts w:asciiTheme="minorHAnsi" w:hAnsiTheme="minorHAnsi"/>
              <w:b/>
              <w:bCs/>
              <w:szCs w:val="60"/>
            </w:rPr>
          </w:pPr>
          <w:r w:rsidRPr="00BC0225">
            <w:rPr>
              <w:rFonts w:asciiTheme="minorHAnsi" w:hAnsiTheme="minorHAnsi"/>
              <w:b/>
              <w:bCs/>
              <w:szCs w:val="60"/>
            </w:rPr>
            <w:t xml:space="preserve">Questions to </w:t>
          </w:r>
          <w:r w:rsidR="009B3ABA">
            <w:rPr>
              <w:rFonts w:asciiTheme="minorHAnsi" w:hAnsiTheme="minorHAnsi"/>
              <w:b/>
              <w:bCs/>
              <w:szCs w:val="60"/>
            </w:rPr>
            <w:t>ad-tech providers and advertising agencies</w:t>
          </w:r>
        </w:p>
        <w:p w14:paraId="73962A87" w14:textId="77777777" w:rsidR="00704491" w:rsidRPr="00D430AE" w:rsidRDefault="003D595E" w:rsidP="00704491">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If </w:t>
          </w:r>
          <w:proofErr w:type="spellStart"/>
          <w:r>
            <w:rPr>
              <w:rFonts w:asciiTheme="minorHAnsi" w:hAnsiTheme="minorHAnsi"/>
              <w:sz w:val="22"/>
              <w:szCs w:val="22"/>
              <w:lang w:val="en-AU"/>
            </w:rPr>
            <w:t>LiveRamp</w:t>
          </w:r>
          <w:proofErr w:type="spellEnd"/>
          <w:r>
            <w:rPr>
              <w:rFonts w:asciiTheme="minorHAnsi" w:hAnsiTheme="minorHAnsi"/>
              <w:sz w:val="22"/>
              <w:szCs w:val="22"/>
              <w:lang w:val="en-AU"/>
            </w:rPr>
            <w:t xml:space="preserve"> were to make changes to access, integration, or interoperability, how would this impact your usage</w:t>
          </w:r>
          <w:r w:rsidR="00704491">
            <w:rPr>
              <w:rFonts w:asciiTheme="minorHAnsi" w:hAnsiTheme="minorHAnsi"/>
              <w:sz w:val="22"/>
              <w:szCs w:val="22"/>
              <w:lang w:val="en-AU"/>
            </w:rPr>
            <w:t xml:space="preserve"> of its services</w:t>
          </w:r>
          <w:r>
            <w:rPr>
              <w:rFonts w:asciiTheme="minorHAnsi" w:hAnsiTheme="minorHAnsi"/>
              <w:sz w:val="22"/>
              <w:szCs w:val="22"/>
              <w:lang w:val="en-AU"/>
            </w:rPr>
            <w:t>? For instance, would you use a competitor?</w:t>
          </w:r>
        </w:p>
        <w:p w14:paraId="7D73CFA8" w14:textId="231F1254" w:rsidR="003D595E" w:rsidRPr="00704491" w:rsidRDefault="003D595E" w:rsidP="00704491">
          <w:pPr>
            <w:pStyle w:val="BoxText"/>
            <w:rPr>
              <w:rFonts w:asciiTheme="minorHAnsi" w:hAnsiTheme="minorHAnsi"/>
              <w:sz w:val="22"/>
              <w:szCs w:val="22"/>
            </w:rPr>
          </w:pPr>
        </w:p>
        <w:p w14:paraId="2A387668" w14:textId="14D9AAA2" w:rsidR="00BC0225" w:rsidRPr="00D430AE" w:rsidRDefault="00BC0225" w:rsidP="00BC0225">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Do you consider that changes to access, integration, or interoperability in </w:t>
          </w:r>
          <w:proofErr w:type="spellStart"/>
          <w:r>
            <w:rPr>
              <w:rFonts w:asciiTheme="minorHAnsi" w:hAnsiTheme="minorHAnsi"/>
              <w:sz w:val="22"/>
              <w:szCs w:val="22"/>
              <w:lang w:val="en-AU"/>
            </w:rPr>
            <w:t>LiveRamp’s</w:t>
          </w:r>
          <w:proofErr w:type="spellEnd"/>
          <w:r>
            <w:rPr>
              <w:rFonts w:asciiTheme="minorHAnsi" w:hAnsiTheme="minorHAnsi"/>
              <w:sz w:val="22"/>
              <w:szCs w:val="22"/>
              <w:lang w:val="en-AU"/>
            </w:rPr>
            <w:t xml:space="preserve"> data unification and ingestion services could materially affect your ability to compete</w:t>
          </w:r>
          <w:r w:rsidR="00CF1AF3">
            <w:rPr>
              <w:rFonts w:asciiTheme="minorHAnsi" w:hAnsiTheme="minorHAnsi"/>
              <w:sz w:val="22"/>
              <w:szCs w:val="22"/>
              <w:lang w:val="en-AU"/>
            </w:rPr>
            <w:t xml:space="preserve"> and provide the services you currently offer</w:t>
          </w:r>
          <w:r>
            <w:rPr>
              <w:rFonts w:asciiTheme="minorHAnsi" w:hAnsiTheme="minorHAnsi"/>
              <w:sz w:val="22"/>
              <w:szCs w:val="22"/>
              <w:lang w:val="en-AU"/>
            </w:rPr>
            <w:t>? Please explain why/why not.</w:t>
          </w:r>
        </w:p>
        <w:p w14:paraId="53234BBF" w14:textId="77777777" w:rsidR="00BC0225" w:rsidRPr="005D0F8D" w:rsidRDefault="00BC0225" w:rsidP="00BC0225">
          <w:pPr>
            <w:pStyle w:val="BoxText"/>
            <w:rPr>
              <w:rFonts w:asciiTheme="minorHAnsi" w:hAnsiTheme="minorHAnsi"/>
              <w:sz w:val="22"/>
              <w:szCs w:val="22"/>
            </w:rPr>
          </w:pPr>
        </w:p>
        <w:p w14:paraId="3F8F2794" w14:textId="39A01CBE" w:rsidR="008959DD" w:rsidRPr="00D430AE" w:rsidRDefault="006B7967"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BFCDB00"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3" w:history="1">
              <w:r w:rsidR="00553AD0" w:rsidRPr="00553AD0">
                <w:rPr>
                  <w:rStyle w:val="Hyperlink"/>
                  <w:b w:val="0"/>
                  <w:bCs/>
                  <w:sz w:val="20"/>
                  <w:szCs w:val="20"/>
                </w:rPr>
                <w:t>Quick guide on providing confidential information to the ACCC</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footerReference w:type="default" r:id="rId14"/>
      <w:headerReference w:type="first" r:id="rId15"/>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76875" w14:textId="77777777" w:rsidR="006B7967" w:rsidRDefault="006B7967" w:rsidP="004B4412">
      <w:pPr>
        <w:spacing w:before="0"/>
      </w:pPr>
      <w:r>
        <w:separator/>
      </w:r>
    </w:p>
  </w:endnote>
  <w:endnote w:type="continuationSeparator" w:id="0">
    <w:p w14:paraId="401DBCEA" w14:textId="77777777" w:rsidR="006B7967" w:rsidRDefault="006B7967" w:rsidP="004B4412">
      <w:pPr>
        <w:spacing w:before="0"/>
      </w:pPr>
      <w:r>
        <w:continuationSeparator/>
      </w:r>
    </w:p>
  </w:endnote>
  <w:endnote w:type="continuationNotice" w:id="1">
    <w:p w14:paraId="29C619DD" w14:textId="77777777" w:rsidR="006B7967" w:rsidRDefault="006B7967">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39852" w14:textId="77777777" w:rsidR="006B7967" w:rsidRDefault="006B7967" w:rsidP="004B4412">
      <w:pPr>
        <w:spacing w:before="0"/>
      </w:pPr>
      <w:r>
        <w:separator/>
      </w:r>
    </w:p>
  </w:footnote>
  <w:footnote w:type="continuationSeparator" w:id="0">
    <w:p w14:paraId="0AEC5938" w14:textId="77777777" w:rsidR="006B7967" w:rsidRDefault="006B7967" w:rsidP="004B4412">
      <w:pPr>
        <w:spacing w:before="0"/>
      </w:pPr>
      <w:r>
        <w:continuationSeparator/>
      </w:r>
    </w:p>
  </w:footnote>
  <w:footnote w:type="continuationNotice" w:id="1">
    <w:p w14:paraId="0B588809" w14:textId="77777777" w:rsidR="006B7967" w:rsidRDefault="006B7967">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27B8"/>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5EF5"/>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68F"/>
    <w:rsid w:val="002F294A"/>
    <w:rsid w:val="002F29A8"/>
    <w:rsid w:val="002F4ED7"/>
    <w:rsid w:val="002F7986"/>
    <w:rsid w:val="00300B1C"/>
    <w:rsid w:val="00303C4A"/>
    <w:rsid w:val="00304691"/>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3DF4"/>
    <w:rsid w:val="003D4A29"/>
    <w:rsid w:val="003D5061"/>
    <w:rsid w:val="003D595E"/>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0FEE"/>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55EE"/>
    <w:rsid w:val="0042642A"/>
    <w:rsid w:val="00426C66"/>
    <w:rsid w:val="00426D22"/>
    <w:rsid w:val="0042770A"/>
    <w:rsid w:val="00430154"/>
    <w:rsid w:val="004302B5"/>
    <w:rsid w:val="00430403"/>
    <w:rsid w:val="004304C2"/>
    <w:rsid w:val="00430EA0"/>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5D61"/>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9BA"/>
    <w:rsid w:val="00564A4D"/>
    <w:rsid w:val="00564E52"/>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3DEF"/>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31D"/>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0F8D"/>
    <w:rsid w:val="005D1056"/>
    <w:rsid w:val="005D1401"/>
    <w:rsid w:val="005D1D9B"/>
    <w:rsid w:val="005D1E37"/>
    <w:rsid w:val="005D35D7"/>
    <w:rsid w:val="005D39F3"/>
    <w:rsid w:val="005D5168"/>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5B6"/>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25"/>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967"/>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4491"/>
    <w:rsid w:val="007050EC"/>
    <w:rsid w:val="0070527F"/>
    <w:rsid w:val="00707081"/>
    <w:rsid w:val="00707441"/>
    <w:rsid w:val="00707563"/>
    <w:rsid w:val="00707643"/>
    <w:rsid w:val="007101A5"/>
    <w:rsid w:val="00711387"/>
    <w:rsid w:val="007128ED"/>
    <w:rsid w:val="00712AA6"/>
    <w:rsid w:val="007138C4"/>
    <w:rsid w:val="007140E9"/>
    <w:rsid w:val="0071578D"/>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5E4B"/>
    <w:rsid w:val="007D6067"/>
    <w:rsid w:val="007D691E"/>
    <w:rsid w:val="007D6B1A"/>
    <w:rsid w:val="007E04BE"/>
    <w:rsid w:val="007E0DB6"/>
    <w:rsid w:val="007E236C"/>
    <w:rsid w:val="007E24C9"/>
    <w:rsid w:val="007E26A9"/>
    <w:rsid w:val="007E2D53"/>
    <w:rsid w:val="007E3F53"/>
    <w:rsid w:val="007E48BF"/>
    <w:rsid w:val="007E4904"/>
    <w:rsid w:val="007E4CB5"/>
    <w:rsid w:val="007E5D3E"/>
    <w:rsid w:val="007E6088"/>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0826"/>
    <w:rsid w:val="008411A5"/>
    <w:rsid w:val="008426F8"/>
    <w:rsid w:val="008439BE"/>
    <w:rsid w:val="00843C53"/>
    <w:rsid w:val="008445A6"/>
    <w:rsid w:val="00844E8F"/>
    <w:rsid w:val="008452AF"/>
    <w:rsid w:val="00847A25"/>
    <w:rsid w:val="00850589"/>
    <w:rsid w:val="00851209"/>
    <w:rsid w:val="008518F6"/>
    <w:rsid w:val="00852FE1"/>
    <w:rsid w:val="00853C91"/>
    <w:rsid w:val="00855335"/>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8E4"/>
    <w:rsid w:val="008819F1"/>
    <w:rsid w:val="00881AA2"/>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3540"/>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1B01"/>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26EF"/>
    <w:rsid w:val="00982B02"/>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629"/>
    <w:rsid w:val="00994747"/>
    <w:rsid w:val="00995CDB"/>
    <w:rsid w:val="009962BA"/>
    <w:rsid w:val="009A0013"/>
    <w:rsid w:val="009A0540"/>
    <w:rsid w:val="009A13A3"/>
    <w:rsid w:val="009A46E3"/>
    <w:rsid w:val="009A4964"/>
    <w:rsid w:val="009A4F19"/>
    <w:rsid w:val="009A7399"/>
    <w:rsid w:val="009B0C64"/>
    <w:rsid w:val="009B19F4"/>
    <w:rsid w:val="009B3ABA"/>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0312"/>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4436"/>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D25"/>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A98"/>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0225"/>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4D7"/>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C8F"/>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1AF3"/>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40D"/>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126"/>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302"/>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33DF"/>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2201"/>
    <w:rsid w:val="00EB3199"/>
    <w:rsid w:val="00EB3615"/>
    <w:rsid w:val="00EB3A1C"/>
    <w:rsid w:val="00EB6361"/>
    <w:rsid w:val="00EB6BAD"/>
    <w:rsid w:val="00EC0053"/>
    <w:rsid w:val="00EC0A05"/>
    <w:rsid w:val="00EC0DA1"/>
    <w:rsid w:val="00EC2824"/>
    <w:rsid w:val="00EC2F4B"/>
    <w:rsid w:val="00EC3A55"/>
    <w:rsid w:val="00EC3F22"/>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22D"/>
    <w:rsid w:val="00EF0EA8"/>
    <w:rsid w:val="00EF223E"/>
    <w:rsid w:val="00EF42BA"/>
    <w:rsid w:val="00EF4484"/>
    <w:rsid w:val="00EF45B5"/>
    <w:rsid w:val="00EF5110"/>
    <w:rsid w:val="00EF5148"/>
    <w:rsid w:val="00EF693F"/>
    <w:rsid w:val="00F00D04"/>
    <w:rsid w:val="00F00E7B"/>
    <w:rsid w:val="00F02787"/>
    <w:rsid w:val="00F035D1"/>
    <w:rsid w:val="00F0504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control-regime-quick-guide-for-businesses-providing-confidential-information-to-the-accc"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accc.gov.au/general-confidentiality-claims-template"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mailto:mergers@accc.gov.au" TargetMode="Externa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796</Words>
  <Characters>4540</Characters>
  <Application>Microsoft Office Word</Application>
  <DocSecurity>0</DocSecurity>
  <Lines>37</Lines>
  <Paragraphs>10</Paragraphs>
  <ScaleCrop>false</ScaleCrop>
  <Company/>
  <LinksUpToDate>false</LinksUpToDate>
  <CharactersWithSpaces>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2026-07-28T01:59:00Z</dcterms:created>
  <dcterms:modified xsi:type="dcterms:W3CDTF">2026-07-28T02:00:00Z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2026-07-28T02:00:17Z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d6bb3f19-e158-459c-88fa-453f5f6567fd</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