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1083C">
      <w:pPr>
        <w:pStyle w:val="nwcTitle1"/>
      </w:pPr>
      <w:r w:rsidRPr="003A7982">
        <w:t>Введение</w:t>
      </w:r>
    </w:p>
    <w:p w:rsidR="00112C9E" w:rsidRPr="003A7982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этом,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силу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приложения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могут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взаимодействовать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оборудованием,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обеспечить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полную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поддержку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многопоточности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такой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библиотеке.</w:t>
      </w:r>
    </w:p>
    <w:p w:rsidR="00557184" w:rsidRPr="003A7982" w:rsidRDefault="00BA59EE" w:rsidP="00557184">
      <w:pPr>
        <w:pStyle w:val="nwcTitle1"/>
      </w:pPr>
      <w:r w:rsidRPr="003A7982">
        <w:t xml:space="preserve"> </w:t>
      </w:r>
      <w:r w:rsidR="00557184" w:rsidRPr="003A7982">
        <w:t>Специальная</w:t>
      </w:r>
      <w:r w:rsidRPr="003A7982">
        <w:t xml:space="preserve"> </w:t>
      </w:r>
      <w:r w:rsidR="00557184" w:rsidRPr="003A7982">
        <w:t>часть</w:t>
      </w:r>
    </w:p>
    <w:p w:rsidR="00557184" w:rsidRPr="003A7982" w:rsidRDefault="00557184" w:rsidP="00A44A10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557184" w:rsidRPr="003A7982" w:rsidRDefault="00557184" w:rsidP="00557184">
      <w:pPr>
        <w:pStyle w:val="nwcText15"/>
        <w:rPr>
          <w:lang w:val="ru-RU"/>
        </w:rPr>
      </w:pPr>
    </w:p>
    <w:p w:rsidR="00557184" w:rsidRPr="003A7982" w:rsidRDefault="00557184" w:rsidP="00A44A10">
      <w:pPr>
        <w:pStyle w:val="nwcTitle2"/>
      </w:pP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A44A10" w:rsidRPr="003A7982" w:rsidRDefault="00A44A10" w:rsidP="00A44A10">
      <w:pPr>
        <w:pStyle w:val="nwcText15"/>
        <w:rPr>
          <w:rFonts w:eastAsiaTheme="majorEastAsia"/>
          <w:lang w:val="ru-RU"/>
        </w:rPr>
      </w:pPr>
    </w:p>
    <w:p w:rsidR="00557184" w:rsidRPr="003A7982" w:rsidRDefault="00557184" w:rsidP="00A44A10">
      <w:pPr>
        <w:pStyle w:val="nwcTitle3"/>
      </w:pPr>
      <w:r w:rsidRPr="003A7982">
        <w:lastRenderedPageBreak/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</w:p>
    <w:p w:rsidR="004364A9" w:rsidRPr="003A7982" w:rsidRDefault="009F506F" w:rsidP="00A44A10">
      <w:pPr>
        <w:pStyle w:val="nwcTitle3"/>
      </w:pPr>
      <w:r w:rsidRPr="003A7982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Функцией инициализации библиотеки является функция tioInit. До её вызова запрещается вызов любой другой функции библиотеки, за исключением функции tioGetVersion. В задачи tioInit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Прототип функции tioInit: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3179"/>
      </w:tblGrid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int</w:t>
            </w:r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r w:rsidRPr="003A7982">
              <w:rPr>
                <w:rFonts w:eastAsia="WenQuanYi Micro Hei"/>
                <w:kern w:val="1"/>
              </w:rPr>
              <w:t>tioInit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  <w:lang w:val="en-US"/>
              </w:rPr>
            </w:pPr>
            <w:r w:rsidRPr="003A7982">
              <w:rPr>
                <w:rFonts w:eastAsia="WenQuanYi Micro Hei"/>
                <w:kern w:val="1"/>
              </w:rPr>
              <w:t>const char* version</w:t>
            </w:r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="WenQuanYi Micro Hei"/>
                <w:kern w:val="1"/>
              </w:rPr>
              <w:t>const char* help,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="WenQuanYi Micro Hei"/>
                <w:kern w:val="1"/>
              </w:rPr>
              <w:t xml:space="preserve">const </w:t>
            </w:r>
            <w:hyperlink w:history="1">
              <w:r w:rsidRPr="003A7982">
                <w:rPr>
                  <w:kern w:val="1"/>
                </w:rPr>
                <w:t>tio_param</w:t>
              </w:r>
            </w:hyperlink>
            <w:r w:rsidRPr="003A7982">
              <w:rPr>
                <w:kern w:val="1"/>
              </w:rPr>
              <w:t xml:space="preserve"> </w:t>
            </w:r>
            <w:r w:rsidRPr="003A7982">
              <w:rPr>
                <w:rFonts w:eastAsia="WenQuanYi Micro Hei"/>
                <w:kern w:val="1"/>
              </w:rPr>
              <w:t>_param[],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r w:rsidRPr="003A7982">
              <w:rPr>
                <w:rFonts w:eastAsia="WenQuanYi Micro Hei"/>
                <w:kern w:val="1"/>
              </w:rPr>
              <w:t>int argc,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r w:rsidRPr="003A7982">
              <w:rPr>
                <w:rFonts w:eastAsia="WenQuanYi Micro Hei"/>
                <w:kern w:val="1"/>
              </w:rPr>
              <w:t>char *argv[]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version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2. help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_param[] - список параметров принимаемых приложением и тех ключей для параметров, что используются в данном приложении. Признаком конца списка параметров является структура </w:t>
      </w:r>
      <w:hyperlink w:history="1">
        <w:r w:rsidRPr="003A7982">
          <w:rPr>
            <w:kern w:val="1"/>
            <w:lang w:val="ru-RU"/>
          </w:rPr>
          <w:t>tio_param</w:t>
        </w:r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у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r w:rsidR="00BD4DD0">
        <w:rPr>
          <w:rFonts w:eastAsia="WenQuanYi Micro Hei"/>
          <w:kern w:val="1"/>
        </w:rPr>
        <w:t xml:space="preserve">tio_param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4. argc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lastRenderedPageBreak/>
        <w:t>5. argv[]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661C03" w:rsidP="004364A9">
      <w:pPr>
        <w:pStyle w:val="nwcText15"/>
        <w:rPr>
          <w:rFonts w:eastAsia="WenQuanYi Micro Hei"/>
          <w:kern w:val="1"/>
          <w:lang w:val="ru-RU"/>
        </w:rPr>
      </w:pPr>
      <w:hyperlink w:history="1">
        <w:r w:rsidR="004364A9" w:rsidRPr="003A7982">
          <w:rPr>
            <w:kern w:val="1"/>
            <w:lang w:val="ru-RU"/>
          </w:rPr>
          <w:t>tio_param</w:t>
        </w:r>
      </w:hyperlink>
      <w:r w:rsidR="004364A9" w:rsidRPr="003A7982">
        <w:rPr>
          <w:kern w:val="1"/>
          <w:lang w:val="ru-RU"/>
        </w:rPr>
        <w:t xml:space="preserve"> </w:t>
      </w:r>
      <w:r w:rsidR="004364A9" w:rsidRPr="003A7982">
        <w:rPr>
          <w:rFonts w:eastAsia="WenQuanYi Micro Hei"/>
          <w:kern w:val="1"/>
          <w:lang w:val="ru-RU"/>
        </w:rPr>
        <w:t>представляет собой структуру вида: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typedef struct _tio_param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{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    char *key; 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    char *name;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    char* description;</w:t>
      </w:r>
    </w:p>
    <w:p w:rsidR="004364A9" w:rsidRPr="003A7982" w:rsidRDefault="004364A9" w:rsidP="004364A9">
      <w:pPr>
        <w:pStyle w:val="nwcText15"/>
        <w:rPr>
          <w:rFonts w:eastAsia="WenQuanYi Micro Hei" w:cs="Lohit Hindi"/>
          <w:kern w:val="1"/>
          <w:lang w:val="ru-RU" w:eastAsia="hi-IN" w:bidi="hi-IN"/>
        </w:rPr>
      </w:pPr>
      <w:r w:rsidRPr="003A7982">
        <w:rPr>
          <w:rFonts w:eastAsia="WenQuanYi Micro Hei" w:cs="Lohit Hindi"/>
          <w:kern w:val="1"/>
          <w:lang w:val="ru-RU" w:eastAsia="hi-IN" w:bidi="hi-IN"/>
        </w:rPr>
        <w:t xml:space="preserve">} </w:t>
      </w:r>
      <w:hyperlink w:history="1">
        <w:r w:rsidRPr="003A7982">
          <w:rPr>
            <w:kern w:val="1"/>
            <w:lang w:val="ru-RU"/>
          </w:rPr>
          <w:t>tio_param</w:t>
        </w:r>
      </w:hyperlink>
      <w:r w:rsidRPr="003A7982">
        <w:rPr>
          <w:rFonts w:eastAsia="WenQuanYi Micro Hei" w:cs="Lohit Hindi"/>
          <w:kern w:val="1"/>
          <w:lang w:val="ru-RU" w:eastAsia="hi-IN" w:bidi="hi-IN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Где key — ключ, используемый при вызове из командной строки, name - имя параметра, используемое при взаимодействии приложения с библиотекой, а description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0"/>
      <w:r w:rsidRPr="003A7982">
        <w:rPr>
          <w:rFonts w:eastAsia="WenQuanYi Micro Hei"/>
          <w:kern w:val="1"/>
          <w:lang w:val="ru-RU"/>
        </w:rPr>
        <w:t>help</w:t>
      </w:r>
      <w:commentRangeEnd w:id="0"/>
      <w:r w:rsidR="00864A74">
        <w:rPr>
          <w:rStyle w:val="af5"/>
          <w:rFonts w:asciiTheme="minorHAnsi" w:hAnsiTheme="minorHAnsi"/>
        </w:rPr>
        <w:commentReference w:id="0"/>
      </w:r>
      <w:r w:rsidRPr="003A7982">
        <w:rPr>
          <w:rFonts w:eastAsia="WenQuanYi Micro Hei"/>
          <w:kern w:val="1"/>
          <w:lang w:val="ru-RU"/>
        </w:rPr>
        <w:t xml:space="preserve">», «version» и начинаться с «tio-». </w:t>
      </w:r>
      <w:r w:rsidR="00864A74" w:rsidRPr="003A7982">
        <w:rPr>
          <w:rFonts w:eastAsia="WenQuanYi Micro Hei"/>
          <w:kern w:val="1"/>
          <w:lang w:val="ru-RU"/>
        </w:rPr>
        <w:t>Символы</w:t>
      </w:r>
      <w:r w:rsidRPr="003A7982">
        <w:rPr>
          <w:rFonts w:eastAsia="WenQuanYi Micro Hei"/>
          <w:kern w:val="1"/>
          <w:lang w:val="ru-RU"/>
        </w:rPr>
        <w:t xml:space="preserve"> минус в начале ключа и двоеточие в его конце несут служебную информацию и </w:t>
      </w:r>
      <w:commentRangeStart w:id="1"/>
      <w:r w:rsidR="00864A74" w:rsidRPr="003A7982">
        <w:rPr>
          <w:rFonts w:eastAsia="WenQuanYi Micro Hei"/>
          <w:kern w:val="1"/>
          <w:lang w:val="ru-RU"/>
        </w:rPr>
        <w:t>интерпретируются</w:t>
      </w:r>
      <w:commentRangeEnd w:id="1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>.</w:t>
      </w:r>
    </w:p>
    <w:p w:rsidR="009F506F" w:rsidRPr="003A7982" w:rsidRDefault="009F506F" w:rsidP="004364A9">
      <w:pPr>
        <w:pStyle w:val="nwcText15"/>
        <w:rPr>
          <w:lang w:val="ru-RU"/>
        </w:rPr>
      </w:pPr>
      <w:r w:rsidRPr="003A7982">
        <w:rPr>
          <w:lang w:val="ru-RU"/>
        </w:rPr>
        <w:t xml:space="preserve"> 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r w:rsidRPr="003A7982">
        <w:rPr>
          <w:color w:val="000000"/>
          <w:lang w:val="ru-RU"/>
        </w:rPr>
        <w:t>tioGet*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tioGetDef*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lastRenderedPageBreak/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означающих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long</w:t>
      </w:r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double</w:t>
      </w:r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char</w:t>
      </w:r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char*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(string)</w:t>
      </w:r>
    </w:p>
    <w:p w:rsidR="005D50DC" w:rsidRPr="003A7982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содержатся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commentRangeStart w:id="2"/>
      <w:r w:rsidRPr="003A7982">
        <w:rPr>
          <w:color w:val="000000"/>
          <w:lang w:val="ru-RU"/>
        </w:rPr>
        <w:t>таблице</w:t>
      </w:r>
      <w:r w:rsidR="00BA59EE" w:rsidRPr="003A7982">
        <w:rPr>
          <w:color w:val="000000"/>
          <w:lang w:val="ru-RU"/>
        </w:rPr>
        <w:t xml:space="preserve"> </w:t>
      </w:r>
      <w:commentRangeEnd w:id="2"/>
      <w:r w:rsidR="0078172B" w:rsidRPr="003A7982">
        <w:rPr>
          <w:rStyle w:val="af5"/>
          <w:rFonts w:asciiTheme="minorHAnsi" w:hAnsiTheme="minorHAnsi"/>
          <w:lang w:val="ru-RU"/>
        </w:rPr>
        <w:commentReference w:id="2"/>
      </w:r>
      <w:r w:rsidRPr="003A7982">
        <w:rPr>
          <w:color w:val="000000"/>
          <w:lang w:val="ru-RU"/>
        </w:rPr>
        <w:t>2.1</w:t>
      </w:r>
      <w:r w:rsidR="00B41FA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приведенной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E8394D" w:rsidRPr="00E8394D" w:rsidRDefault="00E8394D" w:rsidP="00E8394D">
      <w:pPr>
        <w:pStyle w:val="nwcText10"/>
        <w:jc w:val="center"/>
        <w:rPr>
          <w:b/>
        </w:rPr>
      </w:pPr>
      <w:r w:rsidRPr="00E8394D">
        <w:rPr>
          <w:b/>
        </w:rPr>
        <w:t xml:space="preserve">Таблица </w:t>
      </w:r>
      <w:r w:rsidR="00586685">
        <w:rPr>
          <w:b/>
        </w:rPr>
        <w:t>2.1</w:t>
      </w: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tioGetS</w:t>
      </w:r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tioGetDefS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int</w:t>
            </w:r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tioGetS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buff,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buff_len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name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buff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buff_len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tioGetS заносит в buff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lastRenderedPageBreak/>
              <w:t>int tioGetDefS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const char* default,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buff,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buff_len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>Функция получения параметра командной строки в форме последовательности символов. name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default – значение параметра, связанного с именем name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buff – указатель на адрес памяти, куда функция поместит значение искомого параметра в виде последовательности символов. buff_len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namе </w:t>
      </w:r>
      <w:r w:rsidR="00227DF0" w:rsidRPr="003A7982">
        <w:rPr>
          <w:lang w:val="ru-RU"/>
        </w:rPr>
        <w:t xml:space="preserve">получить не удалось, то в буфер buff  присваивается значение параметра default.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tioGetDefS заносит в buff нулевой символ.</w:t>
      </w:r>
    </w:p>
    <w:p w:rsidR="005D0BBB" w:rsidRPr="003A7982" w:rsidRDefault="00CF071B" w:rsidP="00227DF0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 tioGetL и tioGetDefL</w:t>
      </w:r>
    </w:p>
    <w:p w:rsidR="005048BC" w:rsidRPr="003A7982" w:rsidRDefault="00997EC1" w:rsidP="00997EC1">
      <w:pPr>
        <w:pStyle w:val="nwcText15"/>
        <w:ind w:firstLine="0"/>
        <w:rPr>
          <w:lang w:val="ru-RU"/>
        </w:rPr>
      </w:pPr>
      <w:r w:rsidRPr="003A7982">
        <w:rPr>
          <w:lang w:val="ru-RU"/>
        </w:rPr>
        <w:t xml:space="preserve">long </w:t>
      </w:r>
      <w:r w:rsidR="005048BC" w:rsidRPr="003A7982">
        <w:rPr>
          <w:lang w:val="ru-RU"/>
        </w:rPr>
        <w:t>tioGetL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>с именем name.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от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long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long</w:t>
      </w:r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long, возвращается </w:t>
      </w:r>
      <w:r w:rsidR="00112380" w:rsidRPr="003A7982">
        <w:rPr>
          <w:shd w:val="clear" w:color="auto" w:fill="FBFCFD"/>
          <w:lang w:val="ru-RU"/>
        </w:rPr>
        <w:t>максимально допустимое значение для типа long</w:t>
      </w:r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r w:rsidRPr="003A7982">
        <w:rPr>
          <w:lang w:val="ru-RU"/>
        </w:rPr>
        <w:t>tioGetError()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long</w:t>
            </w:r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r w:rsidRPr="003A7982">
              <w:rPr>
                <w:rFonts w:eastAsiaTheme="majorEastAsia"/>
              </w:rPr>
              <w:t>tioGetDefL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</w:rPr>
              <w:t>const long default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name.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от </w:t>
      </w:r>
      <w:r w:rsidRPr="003A7982">
        <w:rPr>
          <w:shd w:val="clear" w:color="auto" w:fill="FBFCFD"/>
          <w:lang w:val="ru-RU"/>
        </w:rPr>
        <w:lastRenderedPageBreak/>
        <w:t>минимально допустимого для типа long до предшествующего максимально допустимому значению для типа long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long, возвращается значение по умолчанию присвоенное при вызове функции параметру default.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r w:rsidRPr="003A7982">
        <w:rPr>
          <w:lang w:val="ru-RU"/>
        </w:rPr>
        <w:t>tioGetError()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>Функции tioGetC И tioGetDefC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b/>
              </w:rPr>
            </w:pPr>
            <w:r w:rsidRPr="003A7982">
              <w:rPr>
                <w:color w:val="000000"/>
                <w:shd w:val="clear" w:color="auto" w:fill="FFFFFF"/>
              </w:rPr>
              <w:t>unsigned char</w:t>
            </w:r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r w:rsidRPr="003A7982">
              <w:rPr>
                <w:rFonts w:eastAsiaTheme="majorEastAsia"/>
                <w:shd w:val="clear" w:color="auto" w:fill="FFFFFF"/>
              </w:rPr>
              <w:t>tioGetC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>ункция возвращает значение символа, переданного из командной строки и связанного с именем name.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unsigned char,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>Код ошибки может быть получен при помощи вызова tioGetError.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2324BE" w:rsidP="00754081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unsigned char</w:t>
            </w:r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r w:rsidRPr="003A7982">
              <w:rPr>
                <w:rFonts w:eastAsiaTheme="majorEastAsia"/>
              </w:rPr>
              <w:t>tioGetDefC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</w:rPr>
              <w:t>с</w:t>
            </w:r>
            <w:r w:rsidR="00E00FF2" w:rsidRPr="003A7982">
              <w:rPr>
                <w:rFonts w:eastAsiaTheme="majorEastAsia"/>
              </w:rPr>
              <w:t>onst</w:t>
            </w:r>
            <w:r w:rsidRPr="003A7982">
              <w:rPr>
                <w:rFonts w:eastAsiaTheme="majorEastAsia"/>
              </w:rPr>
              <w:t xml:space="preserve"> unsigned</w:t>
            </w:r>
            <w:r w:rsidR="00E00FF2" w:rsidRPr="003A7982">
              <w:rPr>
                <w:rFonts w:eastAsiaTheme="majorEastAsia"/>
              </w:rPr>
              <w:t xml:space="preserve"> </w:t>
            </w:r>
            <w:r w:rsidR="002324BE" w:rsidRPr="003A7982">
              <w:rPr>
                <w:rFonts w:eastAsiaTheme="majorEastAsia"/>
              </w:rPr>
              <w:t xml:space="preserve">char </w:t>
            </w:r>
            <w:r w:rsidR="00E00FF2" w:rsidRPr="003A7982">
              <w:rPr>
                <w:rFonts w:eastAsiaTheme="majorEastAsia"/>
              </w:rPr>
              <w:t>default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значению переданному из командной строки и связанному с именем name. В случае, если получить значение, связанное с именем name не удалось, то возвращаемое значение будет взято из параметра default.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>Код ошибки может быть получен при помощи вызова tioGetError.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 tioGetD И tioGetDefD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double</w:t>
            </w:r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r w:rsidRPr="003A7982">
              <w:rPr>
                <w:rFonts w:eastAsiaTheme="majorEastAsia"/>
              </w:rPr>
              <w:t>tioGetD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t>Функция возвр</w:t>
      </w:r>
      <w:r w:rsidR="00FC0C32" w:rsidRPr="003A7982">
        <w:rPr>
          <w:lang w:val="ru-RU"/>
        </w:rPr>
        <w:t>ащает число с плавающей запятой, переданное в программу с параметром name.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double,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 xml:space="preserve">В случае неуспешного </w:t>
      </w:r>
      <w:r w:rsidR="001540BD" w:rsidRPr="003A7982">
        <w:rPr>
          <w:lang w:val="ru-RU"/>
        </w:rPr>
        <w:lastRenderedPageBreak/>
        <w:t>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double.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>Код ошибки может быть получен при помощи вызова tioGetError.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double</w:t>
            </w:r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r w:rsidRPr="003A7982">
              <w:rPr>
                <w:rFonts w:eastAsiaTheme="majorEastAsia"/>
              </w:rPr>
              <w:t>tioGetDefD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</w:rPr>
              <w:t xml:space="preserve">const </w:t>
            </w:r>
            <w:r w:rsidR="00690922" w:rsidRPr="003A7982">
              <w:rPr>
                <w:rFonts w:eastAsiaTheme="majorEastAsia"/>
              </w:rPr>
              <w:t xml:space="preserve">double </w:t>
            </w:r>
            <w:r w:rsidRPr="003A7982">
              <w:rPr>
                <w:rFonts w:eastAsiaTheme="majorEastAsia"/>
              </w:rPr>
              <w:t>default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>, связанного с именем name</w:t>
      </w:r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double, за исключением значения максимально допустимого для данного типа данных. В случае если по каким либо причинам получить значение параметра по его имени не удалось, функция возвращает значение по умолчанию, определенное в параметре default.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>Код ошибки может быть получен при помощи вызова tioGetError.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r w:rsidRPr="003A7982">
        <w:rPr>
          <w:lang w:val="ru-RU"/>
        </w:rPr>
        <w:t>void* tioTableBegin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r w:rsidRPr="003A7982">
        <w:rPr>
          <w:lang w:val="ru-RU"/>
        </w:rPr>
        <w:t>void* tioTableRecord ( void *td,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r w:rsidRPr="003A7982">
        <w:rPr>
          <w:lang w:val="ru-RU"/>
        </w:rPr>
        <w:t>int tioTableEnd( void *td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r w:rsidRPr="003A7982">
        <w:rPr>
          <w:lang w:val="ru-RU"/>
        </w:rPr>
        <w:lastRenderedPageBreak/>
        <w:t>tioTableBegin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format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 (&amp;). 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Функция tioTableRecord предназначена для добавления новой строки в таблицу, передаваемую  с параметром td.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Функция tioTableEnd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>а tioTable.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Между вызовами функций tioTable*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3A7982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val="ru-RU" w:eastAsia="hi-IN" w:bidi="hi-IN"/>
        </w:rPr>
      </w:pPr>
      <w:r w:rsidRPr="003A7982">
        <w:rPr>
          <w:rFonts w:eastAsia="WenQuanYi Micro Hei" w:cs="Lohit Hindi"/>
          <w:kern w:val="1"/>
          <w:lang w:val="ru-RU" w:eastAsia="hi-IN" w:bidi="hi-IN"/>
        </w:rPr>
        <w:t xml:space="preserve">int </w:t>
      </w:r>
      <w:r w:rsidRPr="003A7982">
        <w:rPr>
          <w:kern w:val="1"/>
          <w:lang w:val="ru-RU"/>
        </w:rPr>
        <w:t>tioPrint(const char* messge)</w:t>
      </w:r>
      <w:r w:rsidRPr="003A7982">
        <w:rPr>
          <w:rFonts w:eastAsia="WenQuanYi Micro Hei" w:cs="Lohit Hindi"/>
          <w:kern w:val="1"/>
          <w:lang w:val="ru-RU" w:eastAsia="hi-IN" w:bidi="hi-IN"/>
        </w:rPr>
        <w:t>;</w:t>
      </w:r>
    </w:p>
    <w:p w:rsidR="002063B5" w:rsidRPr="003A7982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int tioPrintF(const char* template, ... );</w:t>
      </w:r>
    </w:p>
    <w:p w:rsidR="00A44A10" w:rsidRPr="003A7982" w:rsidRDefault="00A44A10" w:rsidP="009F506F">
      <w:pPr>
        <w:rPr>
          <w:lang w:val="ru-RU"/>
        </w:rPr>
      </w:pPr>
    </w:p>
    <w:p w:rsidR="00A44A10" w:rsidRPr="003A7982" w:rsidRDefault="00A44A10" w:rsidP="00A44A10">
      <w:pPr>
        <w:pStyle w:val="nwcTitle2"/>
      </w:pPr>
      <w:r w:rsidRPr="003A7982">
        <w:lastRenderedPageBreak/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A44A10">
      <w:pPr>
        <w:pStyle w:val="nwcTitle2"/>
      </w:pPr>
      <w:r w:rsidRPr="003A7982">
        <w:t>Прототипирование</w:t>
      </w:r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3B3350" w:rsidRDefault="00F41E3A" w:rsidP="003B3350">
      <w:pPr>
        <w:pStyle w:val="nwcText15"/>
      </w:pPr>
      <w:r w:rsidRPr="003B3350">
        <w:t>Пример 1</w:t>
      </w:r>
    </w:p>
    <w:p w:rsidR="003B3350" w:rsidRPr="003B3350" w:rsidRDefault="00F41E3A" w:rsidP="003B3350">
      <w:pPr>
        <w:pStyle w:val="nwcText15"/>
      </w:pPr>
      <w:r w:rsidRPr="003B3350">
        <w:t>Есть функция, решающая квадратное уравнение. Стоит задача протестировать правильно ли она вычисляет корни.</w:t>
      </w:r>
      <w:r w:rsidR="00ED35F7" w:rsidRPr="003B3350">
        <w:t xml:space="preserve"> 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-3=0</m:t>
        </m:r>
      </m:oMath>
      <w:r w:rsidR="00ED35F7" w:rsidRPr="003B3350">
        <w:t xml:space="preserve">. Значит параметр a равен 1, параметр b равен 2 и параметр c </w:t>
      </w:r>
      <w:r w:rsidR="003B3350">
        <w:rPr>
          <w:lang w:val="ru-RU"/>
        </w:rPr>
        <w:t>равен</w:t>
      </w:r>
      <w:r w:rsidR="00ED35F7" w:rsidRPr="003B3350">
        <w:t xml:space="preserve"> -3.  Известно, что корнями данного уравнения являются 1 и -3. Для того чтобы что бы убедиться в корректности работы функции решения квадратных уравнений, напишем тест, использующий функции разработанной библиотеки.</w:t>
      </w:r>
    </w:p>
    <w:p w:rsidR="00F41E3A" w:rsidRDefault="00ED35F7" w:rsidP="003B3350">
      <w:pPr>
        <w:pStyle w:val="nwcText15"/>
        <w:rPr>
          <w:lang w:val="ru-RU"/>
        </w:rPr>
      </w:pPr>
      <w:r w:rsidRPr="003B3350"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>
        <w:t xml:space="preserve"> b</w:t>
      </w:r>
      <w:r w:rsidR="003B3350">
        <w:rPr>
          <w:lang w:val="ru-RU"/>
        </w:rPr>
        <w:t>,</w:t>
      </w:r>
      <w:r w:rsidR="003B3350">
        <w:t xml:space="preserve"> c</w:t>
      </w:r>
      <w:r w:rsidR="003B3350">
        <w:rPr>
          <w:lang w:val="ru-RU"/>
        </w:rPr>
        <w:t>, первый корень, второй корень передаются при вызове теста из командной строки. Строка, запускающая тест, должна выглятеть так:</w:t>
      </w:r>
    </w:p>
    <w:p w:rsidR="003B3350" w:rsidRDefault="003B3350" w:rsidP="003B3350">
      <w:pPr>
        <w:pStyle w:val="nwcText15"/>
      </w:pPr>
      <w:r>
        <w:rPr>
          <w:lang w:val="ru-RU"/>
        </w:rPr>
        <w:t>имя_пользователя</w:t>
      </w:r>
      <w:r>
        <w:t>@</w:t>
      </w:r>
      <w:r>
        <w:rPr>
          <w:lang w:val="ru-RU"/>
        </w:rPr>
        <w:t>имя_компьютера</w:t>
      </w:r>
      <w:r>
        <w:t>:/</w:t>
      </w:r>
      <w:r>
        <w:rPr>
          <w:lang w:val="ru-RU"/>
        </w:rPr>
        <w:t>путь_к_тесту</w:t>
      </w:r>
      <w:r>
        <w:t>$ ./</w:t>
      </w:r>
      <w:r w:rsidRPr="003B3350">
        <w:rPr>
          <w:lang w:val="ru-RU"/>
        </w:rPr>
        <w:t>quadratic-equation</w:t>
      </w:r>
      <w:r>
        <w:t xml:space="preserve"> –a 1 –b 2 –c -3 --root1 1 --root2 -3</w:t>
      </w:r>
    </w:p>
    <w:p w:rsidR="003B3350" w:rsidRDefault="003B3350" w:rsidP="003B3350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>
        <w:t xml:space="preserve"> b</w:t>
      </w:r>
      <w:r>
        <w:rPr>
          <w:lang w:val="ru-RU"/>
        </w:rPr>
        <w:t>,</w:t>
      </w:r>
      <w:r>
        <w:t xml:space="preserve"> c</w:t>
      </w:r>
      <w:r>
        <w:rPr>
          <w:lang w:val="ru-RU"/>
        </w:rPr>
        <w:t xml:space="preserve">. Получившиеся результаты работы фукнции решения квадратного уравнения сравнивает с параметрами </w:t>
      </w:r>
      <w:r>
        <w:t xml:space="preserve">root1 </w:t>
      </w:r>
      <w:r>
        <w:rPr>
          <w:lang w:val="ru-RU"/>
        </w:rPr>
        <w:t xml:space="preserve">и </w:t>
      </w:r>
      <w:r>
        <w:t>root2</w:t>
      </w:r>
      <w:r>
        <w:rPr>
          <w:lang w:val="ru-RU"/>
        </w:rPr>
        <w:t>. На основании этого тестирующая программа принимает решение тест пройден успешно, или тестируемая функция дает неверные результаты.</w:t>
      </w:r>
    </w:p>
    <w:p w:rsidR="003B3350" w:rsidRPr="003B3350" w:rsidRDefault="003B3350" w:rsidP="003B3350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>
        <w:t xml:space="preserve"> </w:t>
      </w:r>
      <w:r>
        <w:rPr>
          <w:lang w:val="ru-RU"/>
        </w:rPr>
        <w:t xml:space="preserve"> </w:t>
      </w:r>
    </w:p>
    <w:p w:rsidR="00044D08" w:rsidRPr="003A7982" w:rsidRDefault="00044D08" w:rsidP="00044D08">
      <w:pPr>
        <w:pStyle w:val="nwcTitle1"/>
      </w:pPr>
      <w:r w:rsidRPr="003A7982">
        <w:lastRenderedPageBreak/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044D08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560CFB">
      <w:pPr>
        <w:pStyle w:val="nwcTitle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Пояснить почему</w:t>
      </w:r>
    </w:p>
  </w:comment>
  <w:comment w:id="1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 это тоже</w:t>
      </w:r>
    </w:p>
  </w:comment>
  <w:comment w:id="2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57184"/>
    <w:rsid w:val="000434BB"/>
    <w:rsid w:val="00044D08"/>
    <w:rsid w:val="00054F5E"/>
    <w:rsid w:val="00082134"/>
    <w:rsid w:val="000B0BC9"/>
    <w:rsid w:val="000F39FC"/>
    <w:rsid w:val="001003A2"/>
    <w:rsid w:val="00112380"/>
    <w:rsid w:val="00112C9E"/>
    <w:rsid w:val="001540BD"/>
    <w:rsid w:val="00182F3E"/>
    <w:rsid w:val="001A28B0"/>
    <w:rsid w:val="001A3B51"/>
    <w:rsid w:val="001B49E3"/>
    <w:rsid w:val="001C2BC7"/>
    <w:rsid w:val="001C5398"/>
    <w:rsid w:val="002063B5"/>
    <w:rsid w:val="00216C5A"/>
    <w:rsid w:val="00220501"/>
    <w:rsid w:val="00227DF0"/>
    <w:rsid w:val="002324BE"/>
    <w:rsid w:val="00243A89"/>
    <w:rsid w:val="002505C7"/>
    <w:rsid w:val="00251883"/>
    <w:rsid w:val="00267CFD"/>
    <w:rsid w:val="00285C73"/>
    <w:rsid w:val="002906F8"/>
    <w:rsid w:val="002D3E97"/>
    <w:rsid w:val="002E2D15"/>
    <w:rsid w:val="002E35E2"/>
    <w:rsid w:val="002E7108"/>
    <w:rsid w:val="003134EB"/>
    <w:rsid w:val="0031705C"/>
    <w:rsid w:val="003268DE"/>
    <w:rsid w:val="00332200"/>
    <w:rsid w:val="00332C92"/>
    <w:rsid w:val="00341DDB"/>
    <w:rsid w:val="003523B2"/>
    <w:rsid w:val="003A6DBE"/>
    <w:rsid w:val="003A7982"/>
    <w:rsid w:val="003B0795"/>
    <w:rsid w:val="003B3350"/>
    <w:rsid w:val="003F1307"/>
    <w:rsid w:val="00416205"/>
    <w:rsid w:val="004364A9"/>
    <w:rsid w:val="00496254"/>
    <w:rsid w:val="00496ADB"/>
    <w:rsid w:val="004B1336"/>
    <w:rsid w:val="004E2F9C"/>
    <w:rsid w:val="004F2933"/>
    <w:rsid w:val="004F4740"/>
    <w:rsid w:val="004F53A2"/>
    <w:rsid w:val="005048BC"/>
    <w:rsid w:val="0051685E"/>
    <w:rsid w:val="00550ACB"/>
    <w:rsid w:val="00557184"/>
    <w:rsid w:val="00560CFB"/>
    <w:rsid w:val="005659CD"/>
    <w:rsid w:val="00571CEF"/>
    <w:rsid w:val="005721D5"/>
    <w:rsid w:val="0057692F"/>
    <w:rsid w:val="00586685"/>
    <w:rsid w:val="005A0812"/>
    <w:rsid w:val="005C1ACE"/>
    <w:rsid w:val="005D0BBB"/>
    <w:rsid w:val="005D50DC"/>
    <w:rsid w:val="005F4F3A"/>
    <w:rsid w:val="006269C3"/>
    <w:rsid w:val="00632351"/>
    <w:rsid w:val="00640A05"/>
    <w:rsid w:val="00650FB0"/>
    <w:rsid w:val="00661C03"/>
    <w:rsid w:val="006624CF"/>
    <w:rsid w:val="0068468F"/>
    <w:rsid w:val="00690922"/>
    <w:rsid w:val="00694595"/>
    <w:rsid w:val="006A5EEC"/>
    <w:rsid w:val="006D0F60"/>
    <w:rsid w:val="006D1D6B"/>
    <w:rsid w:val="006D54D8"/>
    <w:rsid w:val="006D6C9C"/>
    <w:rsid w:val="006F3A81"/>
    <w:rsid w:val="006F443E"/>
    <w:rsid w:val="00714531"/>
    <w:rsid w:val="00717270"/>
    <w:rsid w:val="00725BC3"/>
    <w:rsid w:val="00745E07"/>
    <w:rsid w:val="00767F03"/>
    <w:rsid w:val="0078172B"/>
    <w:rsid w:val="0078778D"/>
    <w:rsid w:val="00790657"/>
    <w:rsid w:val="007950E7"/>
    <w:rsid w:val="007A13C9"/>
    <w:rsid w:val="007C1F49"/>
    <w:rsid w:val="007E27F2"/>
    <w:rsid w:val="007E7AE8"/>
    <w:rsid w:val="00842204"/>
    <w:rsid w:val="00851487"/>
    <w:rsid w:val="00864A74"/>
    <w:rsid w:val="008810E6"/>
    <w:rsid w:val="00895DE3"/>
    <w:rsid w:val="008A7620"/>
    <w:rsid w:val="008C3F8C"/>
    <w:rsid w:val="008E1CFF"/>
    <w:rsid w:val="008F0826"/>
    <w:rsid w:val="008F38E5"/>
    <w:rsid w:val="008F65D0"/>
    <w:rsid w:val="00900A53"/>
    <w:rsid w:val="00903AFC"/>
    <w:rsid w:val="0092683A"/>
    <w:rsid w:val="00960092"/>
    <w:rsid w:val="00961E57"/>
    <w:rsid w:val="00966EF9"/>
    <w:rsid w:val="00984DAE"/>
    <w:rsid w:val="009918AE"/>
    <w:rsid w:val="00997EC1"/>
    <w:rsid w:val="009B4EE4"/>
    <w:rsid w:val="009B7953"/>
    <w:rsid w:val="009F4BE5"/>
    <w:rsid w:val="009F506F"/>
    <w:rsid w:val="00A03594"/>
    <w:rsid w:val="00A36919"/>
    <w:rsid w:val="00A41024"/>
    <w:rsid w:val="00A428F9"/>
    <w:rsid w:val="00A44A10"/>
    <w:rsid w:val="00A83520"/>
    <w:rsid w:val="00A9053E"/>
    <w:rsid w:val="00AA088D"/>
    <w:rsid w:val="00AB1713"/>
    <w:rsid w:val="00AC2625"/>
    <w:rsid w:val="00AD4407"/>
    <w:rsid w:val="00AE601B"/>
    <w:rsid w:val="00AF62AD"/>
    <w:rsid w:val="00B20DA6"/>
    <w:rsid w:val="00B24DF1"/>
    <w:rsid w:val="00B33E16"/>
    <w:rsid w:val="00B375D4"/>
    <w:rsid w:val="00B415A2"/>
    <w:rsid w:val="00B41FA7"/>
    <w:rsid w:val="00B647B2"/>
    <w:rsid w:val="00B77DC0"/>
    <w:rsid w:val="00B9442E"/>
    <w:rsid w:val="00BA59EE"/>
    <w:rsid w:val="00BD4DD0"/>
    <w:rsid w:val="00BD6E72"/>
    <w:rsid w:val="00C04317"/>
    <w:rsid w:val="00C27E95"/>
    <w:rsid w:val="00C379A1"/>
    <w:rsid w:val="00C44DF7"/>
    <w:rsid w:val="00C73A16"/>
    <w:rsid w:val="00C81DED"/>
    <w:rsid w:val="00C92AEB"/>
    <w:rsid w:val="00CC5305"/>
    <w:rsid w:val="00CF071B"/>
    <w:rsid w:val="00CF0984"/>
    <w:rsid w:val="00D24E50"/>
    <w:rsid w:val="00D53917"/>
    <w:rsid w:val="00D92B1D"/>
    <w:rsid w:val="00D94249"/>
    <w:rsid w:val="00E00FF2"/>
    <w:rsid w:val="00E1083C"/>
    <w:rsid w:val="00E636BB"/>
    <w:rsid w:val="00E8394D"/>
    <w:rsid w:val="00E86D58"/>
    <w:rsid w:val="00E91C60"/>
    <w:rsid w:val="00E96052"/>
    <w:rsid w:val="00ED35F7"/>
    <w:rsid w:val="00EE27AA"/>
    <w:rsid w:val="00F11B63"/>
    <w:rsid w:val="00F24BF8"/>
    <w:rsid w:val="00F330DA"/>
    <w:rsid w:val="00F37FFE"/>
    <w:rsid w:val="00F4028D"/>
    <w:rsid w:val="00F41E3A"/>
    <w:rsid w:val="00F44861"/>
    <w:rsid w:val="00F65ED6"/>
    <w:rsid w:val="00F73AB5"/>
    <w:rsid w:val="00F74C14"/>
    <w:rsid w:val="00F95718"/>
    <w:rsid w:val="00FB64A6"/>
    <w:rsid w:val="00FC0C32"/>
    <w:rsid w:val="00FC6228"/>
    <w:rsid w:val="00FC7CFE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FADB-F0E3-4734-A80E-56D125A1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10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user</cp:lastModifiedBy>
  <cp:revision>180</cp:revision>
  <dcterms:created xsi:type="dcterms:W3CDTF">2012-11-08T22:16:00Z</dcterms:created>
  <dcterms:modified xsi:type="dcterms:W3CDTF">2012-11-21T10:40:00Z</dcterms:modified>
</cp:coreProperties>
</file>