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1"/>
        <w:tabs>
          <w:tab w:leader="none" w:pos="0" w:val="left"/>
          <w:tab w:leader="none" w:pos="708" w:val="left"/>
        </w:tabs>
        <w:ind w:hanging="15" w:left="0" w:right="0"/>
        <w:spacing w:after="60" w:before="240"/>
      </w:pPr>
      <w:r>
        <w:rPr>
          <w:rFonts w:ascii="Liberation Serif" w:hAnsi="Liberation Serif"/>
          <w:lang w:val="ru-RU"/>
        </w:rPr>
        <w:t>Охрана труда и окружающей среды.</w:t>
      </w:r>
    </w:p>
    <w:p>
      <w:pPr>
        <w:pStyle w:val="style42"/>
        <w:jc w:val="center"/>
        <w:ind w:hanging="0" w:left="0" w:right="0"/>
      </w:pPr>
      <w:r>
        <w:rPr>
          <w:lang w:val="ru-RU"/>
        </w:rPr>
        <w:t>(часть дипломной работы)</w:t>
      </w:r>
    </w:p>
    <w:p>
      <w:pPr>
        <w:pStyle w:val="style41"/>
        <w:ind w:hanging="0" w:left="0" w:right="0"/>
      </w:pPr>
      <w:r>
        <w:rPr>
          <w:rFonts w:ascii="Liberation Serif" w:hAnsi="Liberation Serif"/>
          <w:lang w:val="ru-RU"/>
        </w:rPr>
        <w:t xml:space="preserve"> </w:t>
      </w:r>
      <w:r>
        <w:rPr>
          <w:rFonts w:ascii="Liberation Serif" w:hAnsi="Liberation Serif"/>
          <w:lang w:val="ru-RU"/>
        </w:rPr>
        <w:t>Разработка мероприятий по обеспечению благоприятных санитарно-гигиенических условий труда инженера</w:t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1"/>
        <w:widowControl/>
        <w:ind w:hanging="0" w:left="0" w:right="0"/>
        <w:spacing w:line="100" w:lineRule="atLeast"/>
      </w:pPr>
      <w:r>
        <w:rPr>
          <w:color w:val="00000A"/>
          <w:rFonts w:ascii="Liberation Serif" w:hAnsi="Liberation Serif"/>
          <w:lang w:val="ru-RU"/>
        </w:rPr>
        <w:t>Черновик</w:t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p>
      <w:pPr>
        <w:pStyle w:val="style42"/>
      </w:pPr>
      <w:r>
        <w:rPr/>
      </w:r>
    </w:p>
    <w:tbl>
      <w:tblPr>
        <w:tblBorders/>
        <w:jc w:val="right"/>
      </w:tblPr>
      <w:tblGrid>
        <w:gridCol w:w="4141"/>
      </w:tblGrid>
      <w:tr>
        <w:trPr>
          <w:cantSplit w:val="false"/>
        </w:trPr>
        <w:tc>
          <w:tcPr>
            <w:tcBorders/>
            <w:shd w:fill="FFFFFF"/>
            <w:tcW w:type="dxa" w:w="41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3"/>
              <w:jc w:val="left"/>
            </w:pPr>
            <w:r>
              <w:rPr>
                <w:rFonts w:cs=""/>
              </w:rPr>
              <w:t>выполнил: Гусев М.С.</w:t>
            </w:r>
          </w:p>
          <w:p>
            <w:pPr>
              <w:pStyle w:val="style53"/>
              <w:jc w:val="left"/>
            </w:pPr>
            <w:r>
              <w:rPr>
                <w:rFonts w:cs=""/>
              </w:rPr>
              <w:t>факультет: 3</w:t>
            </w:r>
          </w:p>
          <w:p>
            <w:pPr>
              <w:pStyle w:val="style53"/>
              <w:jc w:val="left"/>
            </w:pPr>
            <w:r>
              <w:rPr>
                <w:rFonts w:cs=""/>
              </w:rPr>
              <w:t>группа: 03-627</w:t>
            </w:r>
          </w:p>
          <w:p>
            <w:pPr>
              <w:pStyle w:val="style53"/>
              <w:jc w:val="left"/>
            </w:pPr>
            <w:r>
              <w:rPr>
                <w:rFonts w:cs=""/>
              </w:rPr>
              <w:t>телефон: 89099795935</w:t>
            </w:r>
          </w:p>
          <w:p>
            <w:pPr>
              <w:pStyle w:val="style53"/>
              <w:jc w:val="left"/>
            </w:pPr>
            <w:r>
              <w:rPr>
                <w:rFonts w:cs=""/>
              </w:rPr>
              <w:t>дата: 8 ноября 2012</w:t>
            </w:r>
          </w:p>
        </w:tc>
      </w:tr>
      <w:tr>
        <w:trPr>
          <w:cantSplit w:val="false"/>
        </w:trPr>
        <w:tc>
          <w:tcPr>
            <w:tcBorders/>
            <w:shd w:fill="FFFFFF"/>
            <w:tcW w:type="dxa" w:w="41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3"/>
              <w:jc w:val="left"/>
            </w:pPr>
            <w:r>
              <w:rPr/>
            </w:r>
          </w:p>
          <w:p>
            <w:pPr>
              <w:pStyle w:val="style53"/>
              <w:jc w:val="left"/>
            </w:pPr>
            <w:r>
              <w:rPr>
                <w:rFonts w:cs=""/>
              </w:rPr>
              <w:t xml:space="preserve">преподаватель: </w:t>
            </w:r>
            <w:r>
              <w:rPr>
                <w:rFonts w:cs=""/>
                <w:lang w:bidi="en-US" w:eastAsia="en-US" w:val="ru-RU"/>
              </w:rPr>
              <w:t>Асейкина Н.С.</w:t>
            </w:r>
          </w:p>
        </w:tc>
      </w:tr>
    </w:tbl>
    <w:p>
      <w:pPr>
        <w:pStyle w:val="style42"/>
        <w:jc w:val="both"/>
        <w:widowControl/>
        <w:ind w:firstLine="709" w:left="0" w:right="0"/>
        <w:spacing w:line="100" w:lineRule="atLeast"/>
      </w:pPr>
      <w:r>
        <w:rPr/>
      </w:r>
    </w:p>
    <w:p>
      <w:pPr>
        <w:pStyle w:val="style42"/>
        <w:jc w:val="both"/>
        <w:widowControl/>
        <w:ind w:firstLine="709" w:left="0" w:right="0"/>
        <w:spacing w:line="100" w:lineRule="atLeast"/>
      </w:pPr>
      <w:r>
        <w:rPr/>
      </w:r>
    </w:p>
    <w:p>
      <w:pPr>
        <w:pStyle w:val="style42"/>
        <w:jc w:val="center"/>
        <w:widowControl/>
        <w:ind w:firstLine="15" w:left="0" w:right="0"/>
        <w:spacing w:line="100" w:lineRule="atLeast"/>
      </w:pPr>
      <w:r>
        <w:rPr>
          <w:color w:val="00000A"/>
          <w:sz w:val="24"/>
          <w:szCs w:val="24"/>
          <w:lang w:val="ru-RU"/>
        </w:rPr>
        <w:t>Москва</w:t>
      </w:r>
      <w:r>
        <w:rPr/>
        <w:t xml:space="preserve"> 2012г.</w:t>
      </w:r>
    </w:p>
    <w:p>
      <w:pPr>
        <w:pStyle w:val="style42"/>
        <w:jc w:val="center"/>
        <w:widowControl/>
        <w:ind w:firstLine="15" w:left="0" w:right="0"/>
        <w:pageBreakBefore/>
        <w:spacing w:line="100" w:lineRule="atLeast"/>
      </w:pPr>
      <w:r>
        <w:rPr/>
      </w:r>
    </w:p>
    <w:p>
      <w:pPr>
        <w:pStyle w:val="style1"/>
        <w:ind w:hanging="360" w:left="360" w:right="0"/>
      </w:pPr>
      <w:r>
        <w:rPr>
          <w:lang w:val="ru-RU"/>
        </w:rPr>
        <w:t>Введение</w:t>
      </w:r>
    </w:p>
    <w:p>
      <w:pPr>
        <w:pStyle w:val="style0"/>
      </w:pPr>
      <w:r>
        <w:rPr>
          <w:lang w:val="ru-RU"/>
        </w:rPr>
        <w:t>Содержание дипломной работы заключается в создании библиотеки функций унификации  процессов обработки входных параметров и систематизации выходных данных в средствах тестирования и диагностики программных средств и оборудования. Целью данного раздела является оценка и проверка на соответствие нормам и правилам освещенности рабочего помещения, микроклимата и визуальных параметров монитора для выработки необходимых мероприятий по обеспечению благоприятных санитарно-гигиенических условий труда.</w:t>
      </w:r>
    </w:p>
    <w:p>
      <w:pPr>
        <w:pStyle w:val="style1"/>
        <w:numPr>
          <w:ilvl w:val="0"/>
          <w:numId w:val="3"/>
        </w:numPr>
      </w:pPr>
      <w:r>
        <w:rPr>
          <w:lang w:val="ru-RU"/>
        </w:rPr>
        <w:t>Анализ условий труда инженера-программиста</w:t>
      </w:r>
    </w:p>
    <w:p>
      <w:pPr>
        <w:pStyle w:val="style2"/>
        <w:numPr>
          <w:ilvl w:val="1"/>
          <w:numId w:val="2"/>
        </w:numPr>
        <w:ind w:firstLine="709" w:left="0" w:right="0"/>
      </w:pPr>
      <w:r>
        <w:rPr>
          <w:lang w:val="ru-RU"/>
        </w:rPr>
        <w:t>Характеристика условий труда инженера-программиста</w:t>
      </w:r>
    </w:p>
    <w:p>
      <w:pPr>
        <w:pStyle w:val="style3"/>
        <w:numPr>
          <w:ilvl w:val="2"/>
          <w:numId w:val="2"/>
        </w:numPr>
      </w:pPr>
      <w:r>
        <w:rPr>
          <w:lang w:val="ru-RU"/>
        </w:rPr>
        <w:t>Характеристика труда</w:t>
      </w:r>
    </w:p>
    <w:p>
      <w:pPr>
        <w:pStyle w:val="style0"/>
      </w:pPr>
      <w:r>
        <w:rPr>
          <w:lang w:val="ru-RU"/>
        </w:rPr>
        <w:t>Основным видом работы является работа в офисе за персональным компьютером. Такая работа производится сидя, сопровождается незначительным физическим напряжением (категория 1а согласно ГОСТ 12.1.005-88, Приложение 1) и характеризуется как зрительная работа средней точности (СНиП 23-05-95).</w:t>
      </w:r>
    </w:p>
    <w:p>
      <w:pPr>
        <w:pStyle w:val="style0"/>
      </w:pPr>
      <w:r>
        <w:rPr>
          <w:lang w:val="ru-RU"/>
        </w:rPr>
        <w:t>Продолжительность рабочего дня – 8 часов, с получасовым перерывом на обед.</w:t>
      </w:r>
    </w:p>
    <w:p>
      <w:pPr>
        <w:pStyle w:val="style3"/>
        <w:numPr>
          <w:ilvl w:val="2"/>
          <w:numId w:val="2"/>
        </w:numPr>
      </w:pPr>
      <w:r>
        <w:rPr>
          <w:lang w:val="ru-RU"/>
        </w:rPr>
        <w:t>Характеристика технических средств</w:t>
      </w:r>
    </w:p>
    <w:p>
      <w:pPr>
        <w:pStyle w:val="style0"/>
      </w:pPr>
      <w:r>
        <w:rPr>
          <w:lang w:val="ru-RU"/>
        </w:rPr>
        <w:t>Используемое для работы оборудование:</w:t>
      </w:r>
    </w:p>
    <w:p>
      <w:pPr>
        <w:pStyle w:val="style48"/>
        <w:numPr>
          <w:ilvl w:val="0"/>
          <w:numId w:val="4"/>
        </w:numPr>
      </w:pPr>
      <w:r>
        <w:rPr>
          <w:lang w:val="ru-RU"/>
        </w:rPr>
        <w:t>персональный компьютер</w:t>
      </w:r>
    </w:p>
    <w:p>
      <w:pPr>
        <w:pStyle w:val="style48"/>
        <w:numPr>
          <w:ilvl w:val="0"/>
          <w:numId w:val="4"/>
        </w:numPr>
      </w:pPr>
      <w:r>
        <w:rPr>
          <w:lang w:val="ru-RU"/>
        </w:rPr>
        <w:t xml:space="preserve">монитор – </w:t>
      </w:r>
      <w:r>
        <w:rPr/>
        <w:t>Samsung …</w:t>
      </w:r>
    </w:p>
    <w:p>
      <w:pPr>
        <w:pStyle w:val="style48"/>
        <w:numPr>
          <w:ilvl w:val="0"/>
          <w:numId w:val="4"/>
        </w:numPr>
      </w:pPr>
      <w:r>
        <w:rPr>
          <w:lang w:val="ru-RU"/>
        </w:rPr>
        <w:t>принтер</w:t>
      </w:r>
      <w:r>
        <w:rPr/>
        <w:t xml:space="preserve"> – </w:t>
      </w:r>
      <w:r>
        <w:rPr>
          <w:lang w:val="ru-RU"/>
        </w:rPr>
        <w:t>.</w:t>
      </w:r>
    </w:p>
    <w:p>
      <w:pPr>
        <w:pStyle w:val="style3"/>
        <w:numPr>
          <w:ilvl w:val="2"/>
          <w:numId w:val="2"/>
        </w:numPr>
      </w:pPr>
      <w:r>
        <w:rPr>
          <w:lang w:val="ru-RU"/>
        </w:rPr>
        <w:t>Количество работающих людей</w:t>
      </w:r>
    </w:p>
    <w:p>
      <w:pPr>
        <w:pStyle w:val="style0"/>
      </w:pPr>
      <w:r>
        <w:rPr>
          <w:lang w:val="ru-RU"/>
        </w:rPr>
        <w:t>В помещении работают 6 человек.</w:t>
      </w:r>
    </w:p>
    <w:p>
      <w:pPr>
        <w:pStyle w:val="style3"/>
        <w:numPr>
          <w:ilvl w:val="2"/>
          <w:numId w:val="2"/>
        </w:numPr>
      </w:pPr>
      <w:r>
        <w:rPr>
          <w:lang w:val="ru-RU"/>
        </w:rPr>
        <w:t>Характеристика помещения</w:t>
      </w:r>
    </w:p>
    <w:p>
      <w:pPr>
        <w:pStyle w:val="style0"/>
      </w:pPr>
      <w:r>
        <w:rPr>
          <w:lang w:val="ru-RU"/>
        </w:rPr>
        <w:t>Работа ведется в помещении длиной 7 и шириной 6 метров. В помещении есть два оконных проема, каждый проем длиной 2,3 метра и высотой 2 метра.</w:t>
      </w:r>
    </w:p>
    <w:p>
      <w:pPr>
        <w:pStyle w:val="style0"/>
      </w:pPr>
      <w:r>
        <w:rPr>
          <w:lang w:val="ru-RU"/>
        </w:rPr>
        <w:t>Согласно ГОСТ 12.1.007-76 «вредные вещества» вредные вещества подразделяются на 4 класса опасности:</w:t>
      </w:r>
    </w:p>
    <w:p>
      <w:pPr>
        <w:pStyle w:val="style48"/>
        <w:numPr>
          <w:ilvl w:val="0"/>
          <w:numId w:val="5"/>
        </w:numPr>
      </w:pPr>
      <w:r>
        <w:rPr>
          <w:lang w:val="ru-RU"/>
        </w:rPr>
        <w:t>1-й – вещества чрезвычайно опасные;</w:t>
      </w:r>
    </w:p>
    <w:p>
      <w:pPr>
        <w:pStyle w:val="style48"/>
        <w:numPr>
          <w:ilvl w:val="0"/>
          <w:numId w:val="5"/>
        </w:numPr>
      </w:pPr>
      <w:r>
        <w:rPr>
          <w:lang w:val="ru-RU"/>
        </w:rPr>
        <w:t>2-й – вещества высоко опасные;</w:t>
      </w:r>
    </w:p>
    <w:p>
      <w:pPr>
        <w:pStyle w:val="style48"/>
        <w:numPr>
          <w:ilvl w:val="0"/>
          <w:numId w:val="5"/>
        </w:numPr>
      </w:pPr>
      <w:r>
        <w:rPr>
          <w:lang w:val="ru-RU"/>
        </w:rPr>
        <w:t>3-й – вещества умеренно опасные;</w:t>
      </w:r>
    </w:p>
    <w:p>
      <w:pPr>
        <w:pStyle w:val="style48"/>
        <w:numPr>
          <w:ilvl w:val="0"/>
          <w:numId w:val="5"/>
        </w:numPr>
      </w:pPr>
      <w:r>
        <w:rPr>
          <w:lang w:val="ru-RU"/>
        </w:rPr>
        <w:t>4-й – вещества малоопасные;</w:t>
      </w:r>
    </w:p>
    <w:p>
      <w:pPr>
        <w:pStyle w:val="style0"/>
      </w:pPr>
      <w:r>
        <w:rPr>
          <w:lang w:val="ru-RU"/>
        </w:rPr>
        <w:t>В производственном помещении отсутствуют установки, агрегаты, выделяющие вредные вещества с 1-й по 3-ю категорий, также производственное помещение не соединено напрямую с помещениями, в которых содержатся или выделяются вредные вещества. Таким образом, помещение не требует каких-либо мер по устранению вредных веществ.</w:t>
      </w:r>
    </w:p>
    <w:p>
      <w:pPr>
        <w:pStyle w:val="style0"/>
      </w:pPr>
      <w:r>
        <w:rPr>
          <w:lang w:val="ru-RU"/>
        </w:rPr>
        <w:t>Производственное оборудование находящееся в производственном помещении создает виброускорение менее 0,05 м/с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 и по виброскорости менее 0,2*10</w:t>
      </w:r>
      <w:r>
        <w:rPr>
          <w:vertAlign w:val="superscript"/>
          <w:lang w:val="ru-RU"/>
        </w:rPr>
        <w:t>-2</w:t>
      </w:r>
      <w:r>
        <w:rPr>
          <w:lang w:val="ru-RU"/>
        </w:rPr>
        <w:t xml:space="preserve"> м/с. Согласно ГОСТ 12.1.012-90 «вибрации» значения вибраций создаваемых производственным оборудованием находятся в допустимых значениях.</w:t>
      </w:r>
    </w:p>
    <w:p>
      <w:pPr>
        <w:pStyle w:val="style0"/>
      </w:pPr>
      <w:r>
        <w:rPr/>
        <w:t xml:space="preserve">Помещения и здания в целом делятся по степени пожаро или взрывоопасности на пять категорий в соответствии с ОНТП-24. </w:t>
      </w:r>
      <w:r>
        <w:rPr>
          <w:lang w:val="ru-RU"/>
        </w:rPr>
        <w:t xml:space="preserve">Рассматриваемое помещение относится к </w:t>
      </w:r>
      <w:r>
        <w:rPr>
          <w:rStyle w:val="style28"/>
          <w:lang w:val="ru-RU"/>
        </w:rPr>
        <w:t>Категории Д</w:t>
      </w:r>
      <w:r>
        <w:rPr>
          <w:lang w:val="ru-RU"/>
        </w:rPr>
        <w:t xml:space="preserve"> - это помещения, в которых негорючие вещества находятся в практически холодном состоянии (насосные оросительные станции; теплицы, кроме отапливаемых газом, цехи по переработке овощей, молока, рыбы, мяса).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>
          <w:lang w:val="ru-RU"/>
        </w:rPr>
        <w:t>Разработка мероприятий по уменьшению отрицательного воздействия производственных факторов</w:t>
      </w:r>
    </w:p>
    <w:p>
      <w:pPr>
        <w:pStyle w:val="style42"/>
      </w:pPr>
      <w:r>
        <w:rPr/>
      </w:r>
    </w:p>
    <w:p>
      <w:pPr>
        <w:pStyle w:val="style0"/>
      </w:pPr>
      <w:r>
        <w:rP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504" w:left="1224"/>
      </w:pPr>
    </w:lvl>
    <w:lvl w:ilvl="3">
      <w:start w:val="1"/>
      <w:numFmt w:val="decimal"/>
      <w:lvlJc w:val="left"/>
      <w:lvlText w:val="%1.%2.%3.%4."/>
      <w:pPr>
        <w:ind w:hanging="648" w:left="1728"/>
      </w:pPr>
    </w:lvl>
    <w:lvl w:ilvl="4">
      <w:start w:val="1"/>
      <w:numFmt w:val="decimal"/>
      <w:lvlJc w:val="left"/>
      <w:lvlText w:val="%1.%2.%3.%4.%5."/>
      <w:pPr>
        <w:ind w:hanging="792" w:left="2232"/>
      </w:pPr>
    </w:lvl>
    <w:lvl w:ilvl="5">
      <w:start w:val="1"/>
      <w:numFmt w:val="decimal"/>
      <w:lvlJc w:val="left"/>
      <w:lvlText w:val="%1.%2.%3.%4.%5.%6."/>
      <w:pPr>
        <w:ind w:hanging="936" w:left="2736"/>
      </w:pPr>
    </w:lvl>
    <w:lvl w:ilvl="6">
      <w:start w:val="1"/>
      <w:numFmt w:val="decimal"/>
      <w:lvlJc w:val="left"/>
      <w:lvlText w:val="%1.%2.%3.%4.%5.%6.%7."/>
      <w:pPr>
        <w:ind w:hanging="1080" w:left="3240"/>
      </w:pPr>
    </w:lvl>
    <w:lvl w:ilvl="7">
      <w:start w:val="1"/>
      <w:numFmt w:val="decimal"/>
      <w:lvlJc w:val="left"/>
      <w:lvlText w:val="%1.%2.%3.%4.%5.%6.%7.%8."/>
      <w:pPr>
        <w:ind w:hanging="1224" w:left="3744"/>
      </w:pPr>
    </w:lvl>
    <w:lvl w:ilvl="8">
      <w:start w:val="1"/>
      <w:numFmt w:val="decimal"/>
      <w:lvlJc w:val="left"/>
      <w:lvlText w:val="%1.%2.%3.%4.%5.%6.%7.%8.%9."/>
      <w:pPr>
        <w:ind w:hanging="1440" w:left="4320"/>
      </w:pPr>
    </w:lvl>
  </w:abstractNum>
  <w:abstractNum w:abstractNumId="4">
    <w:lvl w:ilvl="0">
      <w:start w:val="1"/>
      <w:numFmt w:val="bullet"/>
      <w:lvlJc w:val="left"/>
      <w:lvlText w:val="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49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69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58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09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29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69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189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Jc w:val="left"/>
      <w:lvlText w:val="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49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69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58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09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29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69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189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both"/>
      <w:widowControl/>
      <w:tabs>
        <w:tab w:leader="none" w:pos="708" w:val="left"/>
      </w:tabs>
      <w:suppressAutoHyphens w:val="true"/>
      <w:ind w:firstLine="709" w:left="0" w:right="0"/>
      <w:spacing w:after="0" w:before="0" w:line="100" w:lineRule="atLeast"/>
    </w:pPr>
    <w:rPr>
      <w:color w:val="00000A"/>
      <w:sz w:val="24"/>
      <w:szCs w:val="24"/>
      <w:rFonts w:ascii="Liberation Serif" w:cs="Lohit Hindi" w:eastAsia="WenQuanYi Micro Hei" w:hAnsi="Liberation Serif"/>
      <w:lang w:bidi="hi-IN" w:eastAsia="zh-CN" w:val="ru-RU"/>
    </w:rPr>
  </w:style>
  <w:style w:styleId="style1" w:type="paragraph">
    <w:name w:val="Заголовок 1"/>
    <w:basedOn w:val="style0"/>
    <w:next w:val="style42"/>
    <w:pPr>
      <w:ind w:firstLine="709" w:left="0" w:right="0"/>
      <w:keepNext/>
      <w:spacing w:after="60" w:before="240"/>
    </w:pPr>
    <w:rPr>
      <w:sz w:val="32"/>
      <w:b/>
      <w:szCs w:val="32"/>
      <w:bCs/>
      <w:rFonts w:ascii="Arial" w:cs="" w:hAnsi="Arial"/>
    </w:rPr>
  </w:style>
  <w:style w:styleId="style2" w:type="paragraph">
    <w:name w:val="Заголовок 2"/>
    <w:basedOn w:val="style0"/>
    <w:next w:val="style42"/>
    <w:pPr>
      <w:outlineLvl w:val="1"/>
      <w:numPr>
        <w:ilvl w:val="1"/>
        <w:numId w:val="1"/>
      </w:numPr>
      <w:keepNext/>
      <w:spacing w:after="60" w:before="240"/>
    </w:pPr>
    <w:rPr>
      <w:sz w:val="28"/>
      <w:i/>
      <w:b/>
      <w:szCs w:val="28"/>
      <w:iCs/>
      <w:bCs/>
      <w:rFonts w:ascii="Arial" w:cs="" w:hAnsi="Arial"/>
    </w:rPr>
  </w:style>
  <w:style w:styleId="style3" w:type="paragraph">
    <w:name w:val="Заголовок 3"/>
    <w:basedOn w:val="style0"/>
    <w:next w:val="style42"/>
    <w:pPr>
      <w:outlineLvl w:val="2"/>
      <w:numPr>
        <w:ilvl w:val="2"/>
        <w:numId w:val="1"/>
      </w:numPr>
      <w:keepNext/>
      <w:spacing w:after="60" w:before="240"/>
    </w:pPr>
    <w:rPr>
      <w:sz w:val="26"/>
      <w:b/>
      <w:szCs w:val="26"/>
      <w:bCs/>
      <w:rFonts w:ascii="Arial" w:cs="" w:hAnsi="Arial"/>
    </w:rPr>
  </w:style>
  <w:style w:styleId="style4" w:type="paragraph">
    <w:name w:val="Заголовок 4"/>
    <w:basedOn w:val="style0"/>
    <w:next w:val="style42"/>
    <w:pPr>
      <w:outlineLvl w:val="3"/>
      <w:numPr>
        <w:ilvl w:val="3"/>
        <w:numId w:val="1"/>
      </w:numPr>
      <w:keepNext/>
      <w:spacing w:after="60" w:before="240"/>
    </w:pPr>
    <w:rPr>
      <w:sz w:val="28"/>
      <w:i/>
      <w:b/>
      <w:szCs w:val="28"/>
      <w:iCs/>
      <w:bCs/>
    </w:rPr>
  </w:style>
  <w:style w:styleId="style5" w:type="paragraph">
    <w:name w:val="Заголовок 5"/>
    <w:basedOn w:val="style0"/>
    <w:next w:val="style42"/>
    <w:pPr>
      <w:outlineLvl w:val="4"/>
      <w:numPr>
        <w:ilvl w:val="4"/>
        <w:numId w:val="1"/>
      </w:numPr>
      <w:spacing w:after="60" w:before="240"/>
    </w:pPr>
    <w:rPr>
      <w:sz w:val="26"/>
      <w:i/>
      <w:b/>
      <w:szCs w:val="26"/>
      <w:iCs/>
      <w:bCs/>
    </w:rPr>
  </w:style>
  <w:style w:styleId="style6" w:type="paragraph">
    <w:name w:val="Заголовок 6"/>
    <w:basedOn w:val="style0"/>
    <w:next w:val="style42"/>
    <w:pPr>
      <w:outlineLvl w:val="5"/>
      <w:numPr>
        <w:ilvl w:val="5"/>
        <w:numId w:val="1"/>
      </w:numPr>
      <w:spacing w:after="60" w:before="240"/>
    </w:pPr>
    <w:rPr>
      <w:sz w:val="22"/>
      <w:b/>
      <w:szCs w:val="22"/>
      <w:bCs/>
    </w:rPr>
  </w:style>
  <w:style w:styleId="style7" w:type="paragraph">
    <w:name w:val="Заголовок 7"/>
    <w:basedOn w:val="style0"/>
    <w:next w:val="style42"/>
    <w:pPr>
      <w:outlineLvl w:val="6"/>
      <w:numPr>
        <w:ilvl w:val="6"/>
        <w:numId w:val="1"/>
      </w:numPr>
      <w:spacing w:after="60" w:before="240"/>
    </w:pPr>
    <w:rPr>
      <w:sz w:val="18"/>
      <w:b/>
      <w:szCs w:val="18"/>
      <w:bCs/>
    </w:rPr>
  </w:style>
  <w:style w:styleId="style8" w:type="paragraph">
    <w:name w:val="Заголовок 8"/>
    <w:basedOn w:val="style0"/>
    <w:next w:val="style42"/>
    <w:pPr>
      <w:outlineLvl w:val="7"/>
      <w:numPr>
        <w:ilvl w:val="7"/>
        <w:numId w:val="1"/>
      </w:numPr>
      <w:spacing w:after="60" w:before="240"/>
    </w:pPr>
    <w:rPr>
      <w:sz w:val="18"/>
      <w:i/>
      <w:b/>
      <w:szCs w:val="18"/>
      <w:iCs/>
      <w:bCs/>
    </w:rPr>
  </w:style>
  <w:style w:styleId="style9" w:type="paragraph">
    <w:name w:val="Заголовок 9"/>
    <w:basedOn w:val="style0"/>
    <w:next w:val="style42"/>
    <w:pPr>
      <w:outlineLvl w:val="8"/>
      <w:numPr>
        <w:ilvl w:val="8"/>
        <w:numId w:val="1"/>
      </w:numPr>
      <w:spacing w:after="60" w:before="240"/>
    </w:pPr>
    <w:rPr>
      <w:sz w:val="22"/>
      <w:b/>
      <w:szCs w:val="22"/>
      <w:bCs/>
      <w:rFonts w:ascii="Arial" w:cs="" w:hAnsi="Arial"/>
    </w:rPr>
  </w:style>
  <w:style w:styleId="style15" w:type="character">
    <w:name w:val="Default Paragraph Font"/>
    <w:next w:val="style15"/>
    <w:rPr/>
  </w:style>
  <w:style w:styleId="style16" w:type="character">
    <w:name w:val="Название Знак"/>
    <w:basedOn w:val="style15"/>
    <w:next w:val="style16"/>
    <w:rPr>
      <w:sz w:val="36"/>
      <w:b/>
      <w:szCs w:val="32"/>
      <w:bCs/>
      <w:rFonts w:ascii="Arial" w:cs="" w:hAnsi="Arial"/>
    </w:rPr>
  </w:style>
  <w:style w:styleId="style17" w:type="character">
    <w:name w:val="Заголовок 1 Знак"/>
    <w:basedOn w:val="style15"/>
    <w:next w:val="style17"/>
    <w:rPr>
      <w:sz w:val="32"/>
      <w:b/>
      <w:szCs w:val="32"/>
      <w:bCs/>
      <w:rFonts w:ascii="Arial" w:cs="" w:hAnsi="Arial"/>
    </w:rPr>
  </w:style>
  <w:style w:styleId="style18" w:type="character">
    <w:name w:val="Заголовок 2 Знак"/>
    <w:basedOn w:val="style15"/>
    <w:next w:val="style18"/>
    <w:rPr>
      <w:sz w:val="28"/>
      <w:b/>
      <w:szCs w:val="28"/>
      <w:iCs/>
      <w:bCs/>
      <w:rFonts w:ascii="Arial" w:cs="" w:hAnsi="Arial"/>
    </w:rPr>
  </w:style>
  <w:style w:styleId="style19" w:type="character">
    <w:name w:val="Заголовок 3 Знак"/>
    <w:basedOn w:val="style15"/>
    <w:next w:val="style19"/>
    <w:rPr>
      <w:sz w:val="26"/>
      <w:b/>
      <w:szCs w:val="26"/>
      <w:bCs/>
      <w:rFonts w:ascii="Arial" w:cs="" w:hAnsi="Arial"/>
    </w:rPr>
  </w:style>
  <w:style w:styleId="style20" w:type="character">
    <w:name w:val="Заголовок 4 Знак"/>
    <w:basedOn w:val="style15"/>
    <w:next w:val="style20"/>
    <w:rPr>
      <w:sz w:val="28"/>
      <w:b/>
      <w:szCs w:val="28"/>
      <w:bCs/>
    </w:rPr>
  </w:style>
  <w:style w:styleId="style21" w:type="character">
    <w:name w:val="Заголовок 5 Знак"/>
    <w:basedOn w:val="style15"/>
    <w:next w:val="style21"/>
    <w:rPr>
      <w:sz w:val="26"/>
      <w:i/>
      <w:b/>
      <w:szCs w:val="26"/>
      <w:iCs/>
      <w:bCs/>
    </w:rPr>
  </w:style>
  <w:style w:styleId="style22" w:type="character">
    <w:name w:val="Заголовок 6 Знак"/>
    <w:basedOn w:val="style15"/>
    <w:next w:val="style22"/>
    <w:rPr>
      <w:b/>
      <w:bCs/>
    </w:rPr>
  </w:style>
  <w:style w:styleId="style23" w:type="character">
    <w:name w:val="Заголовок 7 Знак"/>
    <w:basedOn w:val="style15"/>
    <w:next w:val="style23"/>
    <w:rPr>
      <w:sz w:val="24"/>
      <w:szCs w:val="24"/>
    </w:rPr>
  </w:style>
  <w:style w:styleId="style24" w:type="character">
    <w:name w:val="Заголовок 8 Знак"/>
    <w:basedOn w:val="style15"/>
    <w:next w:val="style24"/>
    <w:rPr>
      <w:sz w:val="24"/>
      <w:i/>
      <w:szCs w:val="24"/>
      <w:iCs/>
    </w:rPr>
  </w:style>
  <w:style w:styleId="style25" w:type="character">
    <w:name w:val="Заголовок 9 Знак"/>
    <w:basedOn w:val="style15"/>
    <w:next w:val="style25"/>
    <w:rPr>
      <w:rFonts w:ascii="Arial" w:cs="" w:hAnsi="Arial"/>
    </w:rPr>
  </w:style>
  <w:style w:styleId="style26" w:type="character">
    <w:name w:val="Подзаголовок Знак"/>
    <w:basedOn w:val="style15"/>
    <w:next w:val="style26"/>
    <w:rPr>
      <w:sz w:val="32"/>
      <w:szCs w:val="24"/>
      <w:rFonts w:ascii="Arial" w:cs="" w:hAnsi="Arial"/>
    </w:rPr>
  </w:style>
  <w:style w:styleId="style27" w:type="character">
    <w:name w:val="Выделение жирным"/>
    <w:basedOn w:val="style15"/>
    <w:next w:val="style27"/>
    <w:rPr>
      <w:b/>
      <w:bCs/>
    </w:rPr>
  </w:style>
  <w:style w:styleId="style28" w:type="character">
    <w:name w:val="Выделение"/>
    <w:basedOn w:val="style15"/>
    <w:next w:val="style28"/>
    <w:rPr>
      <w:i/>
      <w:b/>
      <w:iCs/>
      <w:rFonts w:ascii="Arial" w:hAnsi="Arial"/>
    </w:rPr>
  </w:style>
  <w:style w:styleId="style29" w:type="character">
    <w:name w:val="Цитата 2 Знак"/>
    <w:basedOn w:val="style15"/>
    <w:next w:val="style29"/>
    <w:rPr>
      <w:sz w:val="24"/>
      <w:i/>
      <w:szCs w:val="24"/>
    </w:rPr>
  </w:style>
  <w:style w:styleId="style30" w:type="character">
    <w:name w:val="Выделенная цитата Знак"/>
    <w:basedOn w:val="style15"/>
    <w:next w:val="style30"/>
    <w:rPr>
      <w:sz w:val="24"/>
      <w:i/>
      <w:b/>
    </w:rPr>
  </w:style>
  <w:style w:styleId="style31" w:type="character">
    <w:name w:val="Subtle Emphasis"/>
    <w:next w:val="style31"/>
    <w:rPr>
      <w:color w:val="5A5A5A"/>
      <w:i/>
    </w:rPr>
  </w:style>
  <w:style w:styleId="style32" w:type="character">
    <w:name w:val="Intense Emphasis"/>
    <w:basedOn w:val="style15"/>
    <w:next w:val="style32"/>
    <w:rPr>
      <w:sz w:val="24"/>
      <w:i/>
      <w:u w:val="single"/>
      <w:b/>
      <w:szCs w:val="24"/>
    </w:rPr>
  </w:style>
  <w:style w:styleId="style33" w:type="character">
    <w:name w:val="Subtle Reference"/>
    <w:basedOn w:val="style15"/>
    <w:next w:val="style33"/>
    <w:rPr>
      <w:sz w:val="24"/>
      <w:u w:val="single"/>
      <w:szCs w:val="24"/>
    </w:rPr>
  </w:style>
  <w:style w:styleId="style34" w:type="character">
    <w:name w:val="Intense Reference"/>
    <w:basedOn w:val="style15"/>
    <w:next w:val="style34"/>
    <w:rPr>
      <w:sz w:val="24"/>
      <w:u w:val="single"/>
      <w:b/>
    </w:rPr>
  </w:style>
  <w:style w:styleId="style35" w:type="character">
    <w:name w:val="Book Title"/>
    <w:basedOn w:val="style15"/>
    <w:next w:val="style35"/>
    <w:rPr>
      <w:sz w:val="24"/>
      <w:i/>
      <w:b/>
      <w:szCs w:val="24"/>
      <w:rFonts w:ascii="Arial" w:cs="" w:hAnsi="Arial"/>
    </w:rPr>
  </w:style>
  <w:style w:styleId="style36" w:type="character">
    <w:name w:val="ListLabel 1"/>
    <w:next w:val="style36"/>
    <w:rPr>
      <w:rFonts w:cs="Courier New"/>
    </w:rPr>
  </w:style>
  <w:style w:styleId="style37" w:type="character">
    <w:name w:val="ListLabel 2"/>
    <w:next w:val="style37"/>
    <w:rPr>
      <w:sz w:val="20"/>
    </w:rPr>
  </w:style>
  <w:style w:styleId="style38" w:type="character">
    <w:name w:val="ListLabel 3"/>
    <w:next w:val="style38"/>
    <w:rPr>
      <w:rFonts w:cs="Symbol"/>
    </w:rPr>
  </w:style>
  <w:style w:styleId="style39" w:type="character">
    <w:name w:val="ListLabel 4"/>
    <w:next w:val="style39"/>
    <w:rPr>
      <w:rFonts w:cs="Courier New"/>
    </w:rPr>
  </w:style>
  <w:style w:styleId="style40" w:type="character">
    <w:name w:val="ListLabel 5"/>
    <w:next w:val="style40"/>
    <w:rPr>
      <w:rFonts w:cs="Wingdings"/>
    </w:rPr>
  </w:style>
  <w:style w:styleId="style41" w:type="paragraph">
    <w:name w:val="Заголовок"/>
    <w:basedOn w:val="style0"/>
    <w:next w:val="style42"/>
    <w:pPr>
      <w:jc w:val="center"/>
      <w:ind w:firstLine="709" w:left="0" w:right="0"/>
      <w:keepNext/>
      <w:spacing w:after="60" w:before="240"/>
    </w:pPr>
    <w:rPr>
      <w:sz w:val="36"/>
      <w:b/>
      <w:szCs w:val="32"/>
      <w:bCs/>
      <w:rFonts w:ascii="Arial" w:cs="" w:eastAsia="WenQuanYi Micro Hei" w:hAnsi="Arial"/>
    </w:rPr>
  </w:style>
  <w:style w:styleId="style42" w:type="paragraph">
    <w:name w:val="Основной текст"/>
    <w:basedOn w:val="style0"/>
    <w:next w:val="style42"/>
    <w:pPr>
      <w:spacing w:after="120" w:before="0"/>
    </w:pPr>
    <w:rPr/>
  </w:style>
  <w:style w:styleId="style43" w:type="paragraph">
    <w:name w:val="Список"/>
    <w:basedOn w:val="style42"/>
    <w:next w:val="style43"/>
    <w:pPr/>
    <w:rPr>
      <w:rFonts w:cs="Lohit Hindi"/>
    </w:rPr>
  </w:style>
  <w:style w:styleId="style44" w:type="paragraph">
    <w:name w:val="Название"/>
    <w:basedOn w:val="style0"/>
    <w:next w:val="style44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45" w:type="paragraph">
    <w:name w:val="Указатель"/>
    <w:basedOn w:val="style0"/>
    <w:next w:val="style45"/>
    <w:pPr>
      <w:suppressLineNumbers/>
    </w:pPr>
    <w:rPr>
      <w:rFonts w:cs="Lohit Hindi"/>
    </w:rPr>
  </w:style>
  <w:style w:styleId="style46" w:type="paragraph">
    <w:name w:val="Подзаголовок"/>
    <w:basedOn w:val="style0"/>
    <w:next w:val="style42"/>
    <w:pPr>
      <w:jc w:val="center"/>
      <w:spacing w:after="60" w:before="0"/>
    </w:pPr>
    <w:rPr>
      <w:sz w:val="32"/>
      <w:i/>
      <w:szCs w:val="28"/>
      <w:iCs/>
      <w:rFonts w:ascii="Arial" w:cs="" w:hAnsi="Arial"/>
    </w:rPr>
  </w:style>
  <w:style w:styleId="style47" w:type="paragraph">
    <w:name w:val="No Spacing"/>
    <w:basedOn w:val="style0"/>
    <w:next w:val="style47"/>
    <w:pPr/>
    <w:rPr>
      <w:szCs w:val="32"/>
    </w:rPr>
  </w:style>
  <w:style w:styleId="style48" w:type="paragraph">
    <w:name w:val="List Paragraph"/>
    <w:basedOn w:val="style0"/>
    <w:next w:val="style48"/>
    <w:pPr>
      <w:ind w:firstLine="709" w:left="720" w:right="0"/>
    </w:pPr>
    <w:rPr/>
  </w:style>
  <w:style w:styleId="style49" w:type="paragraph">
    <w:name w:val="Quote"/>
    <w:basedOn w:val="style0"/>
    <w:next w:val="style49"/>
    <w:pPr/>
    <w:rPr>
      <w:i/>
    </w:rPr>
  </w:style>
  <w:style w:styleId="style50" w:type="paragraph">
    <w:name w:val="Intense Quote"/>
    <w:basedOn w:val="style0"/>
    <w:next w:val="style50"/>
    <w:pPr>
      <w:ind w:firstLine="709" w:left="720" w:right="720"/>
    </w:pPr>
    <w:rPr>
      <w:i/>
      <w:b/>
      <w:szCs w:val="22"/>
    </w:rPr>
  </w:style>
  <w:style w:styleId="style51" w:type="paragraph">
    <w:name w:val="Заголовок оглавления"/>
    <w:basedOn w:val="style1"/>
    <w:next w:val="style51"/>
    <w:pPr>
      <w:ind w:firstLine="709" w:left="0" w:right="0"/>
      <w:suppressLineNumbers/>
    </w:pPr>
    <w:rPr>
      <w:sz w:val="32"/>
      <w:b/>
      <w:szCs w:val="32"/>
      <w:bCs/>
    </w:rPr>
  </w:style>
  <w:style w:styleId="style52" w:type="paragraph">
    <w:name w:val="Normal (Web)"/>
    <w:basedOn w:val="style0"/>
    <w:next w:val="style52"/>
    <w:pPr>
      <w:jc w:val="left"/>
      <w:ind w:hanging="0" w:left="0" w:right="0"/>
      <w:spacing w:after="28" w:before="28"/>
    </w:pPr>
    <w:rPr>
      <w:rFonts w:ascii="Times New Roman" w:eastAsia="Times New Roman" w:hAnsi="Times New Roman"/>
      <w:lang w:bidi="ar-SA" w:eastAsia="ru-RU" w:val="ru-RU"/>
    </w:rPr>
  </w:style>
  <w:style w:styleId="style53" w:type="paragraph">
    <w:name w:val="Содержимое таблицы"/>
    <w:basedOn w:val="style0"/>
    <w:next w:val="style5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LibreOffice/3.3$Linux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2012-11-07T17:31:00.00Z</dcterms:created>
  <dc:creator>nwcfang</dc:creator>
  <cp:lastModifiedBy>nwcfang</cp:lastModifiedBy>
  <dcterms:modified xsi:type="dcterms:W3CDTF">2012-11-07T19:01:00.00Z</dcterms:modified>
  <cp:revision>3</cp:revision>
</cp:coreProperties>
</file>