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>L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 xml:space="preserve">ab </w:t>
      </w:r>
      <w:r>
        <w:rPr>
          <w:rFonts w:hint="default" w:asciiTheme="majorAscii" w:hAnsiTheme="majorAscii"/>
          <w:b/>
          <w:bCs/>
          <w:sz w:val="30"/>
          <w:szCs w:val="30"/>
          <w:lang w:val="en-US" w:eastAsia="zh-CN"/>
        </w:rPr>
        <w:t>0</w:t>
      </w:r>
      <w:r>
        <w:rPr>
          <w:rFonts w:hint="eastAsia" w:asciiTheme="majorAscii" w:hAnsiTheme="majorAscii"/>
          <w:b/>
          <w:bCs/>
          <w:sz w:val="30"/>
          <w:szCs w:val="30"/>
          <w:lang w:val="en-US" w:eastAsia="zh-CN"/>
        </w:rPr>
        <w:t xml:space="preserve"> Report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哈夫曼树类的实现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哈夫曼树节点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：如下图，一个简单的结构体，包含了节点的权重（词频）、值（在这里是节点的字典序）以及左右子节点指针。其中为了实现节点的优先级比较，构造一个自定义函数compare，表示词频较小、词频相等时字典序较小的节点的优先级更高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41275</wp:posOffset>
            </wp:positionV>
            <wp:extent cx="6106160" cy="2026285"/>
            <wp:effectExtent l="0" t="0" r="8890" b="1206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哈夫曼树的构建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：如下图，先实现单字符哈夫曼编码树的构建。先遍历文本建立词频数组，然后依次塞入优先级队列，最后从堆中不断取出优先级最高的节点来构建哈夫曼树。其中需要注意节点值data应该更新为子节点的较小值（字典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849630</wp:posOffset>
            </wp:positionV>
            <wp:extent cx="5230495" cy="3738245"/>
            <wp:effectExtent l="0" t="0" r="8255" b="1460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再实现多字符编码树的构造函数。同样建立词频数组，但是是连续2字符的词频。然后进行排序，选出词频最大的三个词放进数组top3中。最后根据这三个词构建最终词频，基本思路就是对于每一个字符位，先搜索2字符是否存在编码，没有的话就建立单字符的词频。最后的建树过程和单字符树一样，不再赘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left"/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20955</wp:posOffset>
            </wp:positionV>
            <wp:extent cx="5560060" cy="3606165"/>
            <wp:effectExtent l="0" t="0" r="2540" b="13335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3. 各功能函数的实现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见下图。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Parsetext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函数大致思路为：用二进制格式读取文件，一个一个字符读取然后转换为string；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Output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函数大致思路为：用文件流直接输出到文件里；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Codingtable2string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函数大致思路为：遍历编码表，一个一个按格式添加到字符串尾部；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454660</wp:posOffset>
            </wp:positionV>
            <wp:extent cx="4932680" cy="4483735"/>
            <wp:effectExtent l="0" t="0" r="1270" b="12065"/>
            <wp:wrapSquare wrapText="bothSides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Loadcodingtable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函数大致思路为：先把文件读成字符串，然后遍历。i指向了每一个编码的空格位置，j指向了末尾的换行符位置，然后用substr函数读入键和值加入编码表；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Compress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函数大致思路为：字符串遍历一次转换为string形式的编码，然后对齐到8位，再一次遍历把字符串形式转换为char形式的字节流。最后把字节流大小这个值用小端法转换成字节流，合并然后返回。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170180</wp:posOffset>
            </wp:positionV>
            <wp:extent cx="6432550" cy="5029200"/>
            <wp:effectExtent l="0" t="0" r="6350" b="0"/>
            <wp:wrapSquare wrapText="bothSides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实验结果分析</w:t>
      </w: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见下表。其中我的三个测试文件分别为：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lorem.txt, essay.txt, ebook.txt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，lorem文本是一段乱数假文，文本较短；essay文本是一篇完整的学术论文，文本较长；ebook文本是一本完整的小说作品，文本最长。测试文件的文本都比较贴近生活实际，字符分布较均匀随机，没有过于重复的词频。</w:t>
      </w:r>
    </w:p>
    <w:tbl>
      <w:tblPr>
        <w:tblStyle w:val="3"/>
        <w:tblpPr w:leftFromText="180" w:rightFromText="180" w:vertAnchor="text" w:horzAnchor="page" w:tblpX="1434" w:tblpY="283"/>
        <w:tblOverlap w:val="never"/>
        <w:tblW w:w="9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105"/>
        <w:gridCol w:w="2127"/>
        <w:gridCol w:w="2114"/>
        <w:gridCol w:w="1541"/>
        <w:gridCol w:w="1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0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测试文件</w:t>
            </w:r>
          </w:p>
        </w:tc>
        <w:tc>
          <w:tcPr>
            <w:tcW w:w="110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原字节数</w:t>
            </w:r>
          </w:p>
        </w:tc>
        <w:tc>
          <w:tcPr>
            <w:tcW w:w="212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单字符压缩后字节数</w:t>
            </w:r>
          </w:p>
        </w:tc>
        <w:tc>
          <w:tcPr>
            <w:tcW w:w="211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多字符压缩后字节数</w:t>
            </w:r>
          </w:p>
        </w:tc>
        <w:tc>
          <w:tcPr>
            <w:tcW w:w="15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单字符压缩率</w:t>
            </w:r>
          </w:p>
        </w:tc>
        <w:tc>
          <w:tcPr>
            <w:tcW w:w="16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多字符压缩率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test_a</w:t>
            </w:r>
          </w:p>
        </w:tc>
        <w:tc>
          <w:tcPr>
            <w:tcW w:w="11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12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11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45.45%</w:t>
            </w:r>
          </w:p>
        </w:tc>
        <w:tc>
          <w:tcPr>
            <w:tcW w:w="16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27.27%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test_b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106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56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52.83%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50.94%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test_c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140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77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57.14%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test_d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1238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674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662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54.44%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lorem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578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305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305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52.77%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52.77%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essay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53,235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33,330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32,701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62.61%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61.43%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ebook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623,869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352,589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351,614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56.52%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Ascii" w:hAnsiTheme="maj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56.36%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由表可知：在不同的文本大小下，多字符压缩方式比单字符压缩效果要好。且随着文本大小逐渐增大，两种方式的压缩率逐渐趋于一致。从理论上分析，当文本字数很大时，出现的两字符串的种类也趋于均匀随机（如52个字母只能组成2500左右个字符串），此时两字符的字符串与单字符没有本质上的区别，压缩率也就趋于一致。另外，由于我们始终固定了词频最高的3个两字符进行编码，3这个量在文本量极大时几乎可以忽略，也就几乎不会对压缩效果产生影响。经试验，若把3改为和文本量相关的数值，可以一定程度上提高多字符的压缩效果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可能更优的压缩策略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经相关资料的查阅，发现被7zip软件所采用的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LZMA算法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是一种较优的压缩策略。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LZMA算法的大致流程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为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初始化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字典压缩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预测分析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范围编码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压缩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解压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LZMA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具有低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压缩率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、数据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通用性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  <w:t>较快的解压速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度等优势。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Theme="majorAscii" w:hAnsiTheme="maj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除此之外，</w:t>
      </w: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t>上文所提到的方式</w:t>
      </w:r>
      <w:r>
        <w:rPr>
          <w:rFonts w:hint="eastAsia" w:asciiTheme="majorAscii" w:hAnsiTheme="majorAscii"/>
          <w:b w:val="0"/>
          <w:bCs w:val="0"/>
          <w:sz w:val="21"/>
          <w:szCs w:val="21"/>
          <w:lang w:val="en-US" w:eastAsia="zh-CN"/>
        </w:rPr>
        <w:t>也可以显著提高压缩率。如：将选择个数由3改为min(text.size()/10,1000)后，ebook多字节压缩后字节数降低为311.2k，essay字节数降为28.6k，lorem降为288。a,b,c,d文件因为文本量较小没有什么显著差异。这说明合适的选择策略会提高哈夫曼压缩的效率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A40BB"/>
    <w:multiLevelType w:val="singleLevel"/>
    <w:tmpl w:val="224A40B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4280F14E"/>
    <w:multiLevelType w:val="multilevel"/>
    <w:tmpl w:val="4280F1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Tc4MzhjNjE3YjkzMGM1OTI2OTEwZjZiYjU5ZWUifQ=="/>
  </w:docVars>
  <w:rsids>
    <w:rsidRoot w:val="00000000"/>
    <w:rsid w:val="35DB2967"/>
    <w:rsid w:val="631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2024-02-29T12:12:00Z</dcterms:created>
  <dc:creator>Administrator</dc:creator>
  <cp:lastModifiedBy>朱涵</cp:lastModifiedBy>
  <dcterms:modified xsi:type="dcterms:W3CDTF">2024-03-01T06:02:59Z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D29EC3FA82E643B9ACAADAC63BDC0E73_12</vt:lpwstr>
  </property>
</Properties>
</file>