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B0A05">
      <w:pPr>
        <w:pStyle w:val="13"/>
        <w:jc w:val="both"/>
        <w:rPr>
          <w:rFonts w:hint="eastAsia" w:eastAsiaTheme="majorEastAsia"/>
          <w:color w:val="auto"/>
          <w:lang w:val="en-US" w:eastAsia="zh-CN"/>
        </w:rPr>
      </w:pPr>
      <w:r>
        <w:rPr>
          <w:rFonts w:hint="eastAsia"/>
          <w:color w:val="auto"/>
        </w:rPr>
        <w:t>应用系统体系架构 — 作业</w:t>
      </w:r>
      <w:r>
        <w:rPr>
          <w:rFonts w:hint="eastAsia"/>
          <w:color w:val="auto"/>
          <w:lang w:val="en-US" w:eastAsia="zh-CN"/>
        </w:rPr>
        <w:t>2</w:t>
      </w:r>
    </w:p>
    <w:p w14:paraId="78DB6728">
      <w:pPr>
        <w:pStyle w:val="2"/>
        <w:numPr>
          <w:ilvl w:val="0"/>
          <w:numId w:val="0"/>
        </w:numPr>
        <w:ind w:left="360"/>
        <w:jc w:val="both"/>
        <w:rPr>
          <w:color w:val="auto"/>
        </w:rPr>
      </w:pPr>
      <w:r>
        <w:rPr>
          <w:rFonts w:hint="eastAsia"/>
          <w:color w:val="auto"/>
        </w:rPr>
        <w:t>学号：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</w:t>
      </w:r>
      <w:r>
        <w:rPr>
          <w:rFonts w:hint="eastAsia"/>
          <w:color w:val="auto"/>
          <w:u w:val="single"/>
          <w:lang w:val="en-US" w:eastAsia="zh-CN"/>
        </w:rPr>
        <w:t>522031910213</w:t>
      </w:r>
      <w:r>
        <w:rPr>
          <w:color w:val="auto"/>
          <w:u w:val="single"/>
        </w:rPr>
        <w:t xml:space="preserve">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姓名：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  <w:lang w:val="en-US" w:eastAsia="zh-CN"/>
        </w:rPr>
        <w:t>朱涵</w:t>
      </w:r>
      <w:r>
        <w:rPr>
          <w:color w:val="auto"/>
          <w:u w:val="single"/>
        </w:rPr>
        <w:t xml:space="preserve">       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得分：</w:t>
      </w:r>
    </w:p>
    <w:p w14:paraId="2D2EB837">
      <w:pPr>
        <w:pStyle w:val="3"/>
        <w:numPr>
          <w:ilvl w:val="0"/>
          <w:numId w:val="0"/>
        </w:numPr>
        <w:ind w:left="3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 w:asciiTheme="majorHAnsi" w:hAnsiTheme="majorHAnsi" w:eastAsiaTheme="majorEastAsia" w:cstheme="majorBidi"/>
          <w:color w:val="2E2E2E" w:themeColor="accent2"/>
          <w:sz w:val="22"/>
          <w:szCs w:val="26"/>
          <w:lang w:val="en-US" w:eastAsia="zh-CN" w:bidi="ar-SA"/>
          <w14:textFill>
            <w14:solidFill>
              <w14:schemeClr w14:val="accent2"/>
            </w14:solidFill>
          </w14:textFill>
        </w:rPr>
        <w:t>A.</w:t>
      </w:r>
      <w:r>
        <w:rPr>
          <w:rFonts w:hint="eastAsia"/>
          <w:lang w:val="en-US" w:eastAsia="zh-CN"/>
        </w:rPr>
        <w:t xml:space="preserve"> </w:t>
      </w:r>
    </w:p>
    <w:p w14:paraId="05425E5F">
      <w:pPr>
        <w:pStyle w:val="3"/>
        <w:numPr>
          <w:ilvl w:val="0"/>
          <w:numId w:val="0"/>
        </w:numPr>
        <w:ind w:left="360" w:leftChars="0" w:firstLine="71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在我的addOrder方法中应有四个需要使用事务保持原子性的子方法 分别是修改书籍库存和销售量的saveBook、写入order的saveOrder和写入orderItem的saveOrderItem、和删除对应购物车项的deleteCartItem。</w:t>
      </w:r>
    </w:p>
    <w:p w14:paraId="2E17BD26">
      <w:pPr>
        <w:pStyle w:val="3"/>
        <w:numPr>
          <w:ilvl w:val="0"/>
          <w:numId w:val="0"/>
        </w:numPr>
        <w:ind w:left="360" w:leftChars="0" w:firstLine="71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使用@Transaction对这三个方法进行注解时 都选择</w:t>
      </w:r>
      <w:r>
        <w:rPr>
          <w:rFonts w:hint="eastAsia"/>
          <w:b/>
          <w:bCs/>
          <w:lang w:val="en-US" w:eastAsia="zh-CN"/>
        </w:rPr>
        <w:t>默认的REQUIRED</w:t>
      </w:r>
      <w:r>
        <w:rPr>
          <w:rFonts w:hint="eastAsia"/>
          <w:lang w:val="en-US" w:eastAsia="zh-CN"/>
        </w:rPr>
        <w:t>传播行为 这样使得子方法都可以加入父方法的事务之中 做到发生回滚就全部方法都回滚 如果设置为REQUIRED_NEW 某一个子方法内发生了回滚 子方法外的其他子方法和父方法都不会回滚 这是不符合设计原则的 比如saveOrder内部发生回滚 订单没有成功写入 其他数据（比如book和order）却成功写入了  导致了数据不一致</w:t>
      </w:r>
    </w:p>
    <w:p w14:paraId="053180A7">
      <w:pPr>
        <w:pStyle w:val="3"/>
        <w:numPr>
          <w:ilvl w:val="0"/>
          <w:numId w:val="0"/>
        </w:numPr>
        <w:ind w:left="360" w:leftChars="0" w:firstLine="71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下表是实际测试出的结果。由于orderItem需要从属的orderId 所以必须先写入order后再写入orderItems。</w:t>
      </w:r>
    </w:p>
    <w:p w14:paraId="778C6514">
      <w:pPr>
        <w:pStyle w:val="3"/>
        <w:numPr>
          <w:ilvl w:val="0"/>
          <w:numId w:val="0"/>
        </w:numPr>
        <w:ind w:left="360" w:leftChars="0" w:firstLine="71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唯一与课件中有区别的是当后者设置为REQUIRED_NEW时 会出现异常 推测是因为saveOrder方法加入了父方法的事务 在整个方法结束前不会提交 而saveOrderItems新建了一个事务 在父方法的事务未提交前就进行了保存操作 此时数据库内的order表里缺少对应的记录 并且新的事务也读取不到未提交的数据 导致orderItems的外键无法正确建立 于是无法进行下去 则报错了</w:t>
      </w:r>
    </w:p>
    <w:p w14:paraId="63871767">
      <w:pPr>
        <w:pStyle w:val="3"/>
        <w:numPr>
          <w:ilvl w:val="0"/>
          <w:numId w:val="0"/>
        </w:numPr>
        <w:ind w:left="360" w:leftChars="0" w:firstLine="71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另外有一个小疑惑  如果助教方便的话可以在canvas的评价里解答一下 非常感谢：</w:t>
      </w:r>
    </w:p>
    <w:p w14:paraId="6B2A6C3D">
      <w:pPr>
        <w:pStyle w:val="3"/>
        <w:numPr>
          <w:ilvl w:val="0"/>
          <w:numId w:val="0"/>
        </w:numPr>
        <w:ind w:left="360" w:leftChars="0" w:firstLine="71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我原本的实现是往Order对象里添加OrderItems 然后只调用OrderDAO对order进行保存 由于设置了级联 会一并把orderItems也保存到数据库里 似乎没有必要分开调用两个不同的DAO来分别保存订单和订单项 不知道这两者有什么区别</w:t>
      </w:r>
    </w:p>
    <w:tbl>
      <w:tblPr>
        <w:tblStyle w:val="18"/>
        <w:tblpPr w:leftFromText="180" w:rightFromText="180" w:vertAnchor="text" w:horzAnchor="page" w:tblpXSpec="center" w:tblpY="298"/>
        <w:tblOverlap w:val="never"/>
        <w:tblW w:w="89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76"/>
        <w:gridCol w:w="1713"/>
        <w:gridCol w:w="2335"/>
        <w:gridCol w:w="2282"/>
      </w:tblGrid>
      <w:tr w14:paraId="63E38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729298DE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addOrder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6A742F86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saveOrder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13A65999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saveOrderItems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4BAFB54B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</w:t>
            </w:r>
          </w:p>
        </w:tc>
      </w:tr>
      <w:tr w14:paraId="3BB6A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28B6C8E8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1D2A26BA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49824807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28DBE213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订单和订单项都成功保存</w:t>
            </w:r>
          </w:p>
        </w:tc>
      </w:tr>
      <w:tr w14:paraId="503E8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5BEAE950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 = 10 / 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657EE81D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4C0163C0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2C4FCF70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整个事务回滚</w:t>
            </w:r>
          </w:p>
        </w:tc>
      </w:tr>
      <w:tr w14:paraId="73707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0D797378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41DC9D72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 = 10 / 0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6A72E73A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472BAE13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整个事务回滚</w:t>
            </w:r>
          </w:p>
        </w:tc>
      </w:tr>
      <w:tr w14:paraId="1FC31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61D7CD05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08F36C4D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6705E54D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 = 10 / 0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5F6F61AC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整个事务回滚</w:t>
            </w:r>
          </w:p>
        </w:tc>
      </w:tr>
      <w:tr w14:paraId="2E5B03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666F2980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00FECECD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120B62F8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 REQUIRES_NEW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6C40C7C9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订单项回滚 订单等其他数据成功保存</w:t>
            </w:r>
          </w:p>
        </w:tc>
      </w:tr>
      <w:tr w14:paraId="47857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5DDC0D35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 = 10 / 0，在saveOrderItems之前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42A9ACF8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41E2EC79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 REQUIRES_NEW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461CBEDC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整个事务回滚</w:t>
            </w:r>
          </w:p>
        </w:tc>
      </w:tr>
      <w:tr w14:paraId="460E2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5BC67C5C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 = 10 / 0，在saveOrderItems之后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73E51B3B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5903438E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 REQUIRES_NEW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5AFF0B2A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订单项成功保存 订单等其他数据回滚</w:t>
            </w:r>
          </w:p>
        </w:tc>
      </w:tr>
      <w:tr w14:paraId="3AA48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19A545A6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3049EEE6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 = 10 / 0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6798D876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 REQUIRES_NEW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78F7BA00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整个事务回滚</w:t>
            </w:r>
          </w:p>
        </w:tc>
      </w:tr>
      <w:tr w14:paraId="6E54D5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1BB95D60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3B854405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正常</w:t>
            </w:r>
          </w:p>
        </w:tc>
        <w:tc>
          <w:tcPr>
            <w:tcW w:w="23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1F89E74E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 = 10 / 0</w:t>
            </w:r>
          </w:p>
          <w:p w14:paraId="35F55EE6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REQUIRES_NEW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</w:tcPr>
          <w:p w14:paraId="13946F3D">
            <w:pPr>
              <w:pStyle w:val="3"/>
              <w:keepNext w:val="0"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360" w:leftChars="0"/>
              <w:jc w:val="center"/>
              <w:textAlignment w:val="auto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订单项数据回滚 订单等其他数据成功保存</w:t>
            </w:r>
          </w:p>
        </w:tc>
      </w:tr>
    </w:tbl>
    <w:p w14:paraId="0FBFD037">
      <w:pPr>
        <w:pStyle w:val="3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01EB4D88">
      <w:pPr>
        <w:pStyle w:val="3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 w14:paraId="5E570EDA">
      <w:pPr>
        <w:pStyle w:val="3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选用第三种方式返回响应。</w:t>
      </w:r>
    </w:p>
    <w:p w14:paraId="2838919B">
      <w:pPr>
        <w:pStyle w:val="3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 w14:paraId="52E33333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在后端配置一个websocket的端点 这个端点不会收到消息 只需要封装一个sendToUser函数用于给前端的用户推送消息即可 sessionMap采用uid做键 </w:t>
      </w:r>
    </w:p>
    <w:p w14:paraId="548389A9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实现端点后 在finishOrder的监听器中向用户发送消息 如果处理成功 发送“订单成功处理” 否则发送“订单处理失败+{异常信息}”</w:t>
      </w:r>
    </w:p>
    <w:p w14:paraId="275A21D8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前端在购物车页面加入websocket 使得进入购物车页面后与ws端点建立连接 关闭页面后关闭连接 避免不必要的资源浪费 为onmessage方法配置一个简单的alert 用户将会在收到消息时看到一个提醒框</w:t>
      </w:r>
    </w:p>
    <w:p w14:paraId="150C73B5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11E9EDC8">
      <w:pPr>
        <w:pStyle w:val="3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消息格式：</w:t>
      </w:r>
    </w:p>
    <w:p w14:paraId="571FEA90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简单的字符串 “订单成功处理”或者“订单处理失败+{异常信息}” 前端只需要直接呈现即可 后续若需要更详细的信息 可以封装为自定义的Result 前端解析为json后进行呈现</w:t>
      </w:r>
    </w:p>
    <w:p w14:paraId="7DD1C8DB">
      <w:pPr>
        <w:pStyle w:val="3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Topic配置项：</w:t>
      </w:r>
    </w:p>
    <w:p w14:paraId="5C6E4052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两个topic AddOrder负责接受controller发送的消息 然后调用service层的addOrder方法进行业务处理 然后把结果封装好发送给FinishOrder话题 FinishOrder监听器会根据结果的状态码调用websocket的发送消息方法给前端</w:t>
      </w:r>
    </w:p>
    <w:p w14:paraId="21130A9A">
      <w:pPr>
        <w:pStyle w:val="3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订单处理结果呈现：</w:t>
      </w:r>
    </w:p>
    <w:p w14:paraId="68321A40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目前简单的使用alert方法告知用户是否成功 以及订单处理失败的原因</w:t>
      </w:r>
    </w:p>
    <w:p w14:paraId="1403C41E">
      <w:pPr>
        <w:pStyle w:val="3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3种处理方式的优劣：</w:t>
      </w:r>
    </w:p>
    <w:p w14:paraId="73349A07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使用nodejs前端直接连接kafka</w:t>
      </w:r>
    </w:p>
    <w:p w14:paraId="55A9BBEF">
      <w:pPr>
        <w:pStyle w:val="3"/>
        <w:numPr>
          <w:ilvl w:val="0"/>
          <w:numId w:val="0"/>
        </w:numPr>
        <w:ind w:left="72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优点：无需其他中间件 直接通过前端连接消息队列获取对应topic的消息 比较方便</w:t>
      </w:r>
    </w:p>
    <w:p w14:paraId="04A95B5B">
      <w:pPr>
        <w:pStyle w:val="3"/>
        <w:numPr>
          <w:ilvl w:val="0"/>
          <w:numId w:val="0"/>
        </w:numPr>
        <w:ind w:left="72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缺点：需要手动刷新 对于用户不友好 不知道何时处理完</w:t>
      </w:r>
    </w:p>
    <w:p w14:paraId="716CDC39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使用ajax请求</w:t>
      </w:r>
    </w:p>
    <w:p w14:paraId="3E9558C9">
      <w:pPr>
        <w:pStyle w:val="3"/>
        <w:numPr>
          <w:ilvl w:val="0"/>
          <w:numId w:val="0"/>
        </w:numPr>
        <w:ind w:left="72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优点：编写代码简单 直接在前端调用get的方法即可</w:t>
      </w:r>
    </w:p>
    <w:p w14:paraId="36E6AE28">
      <w:pPr>
        <w:pStyle w:val="3"/>
        <w:numPr>
          <w:ilvl w:val="0"/>
          <w:numId w:val="0"/>
        </w:numPr>
        <w:ind w:left="72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缺点：需要定时发送请求  不知道何时处理完  轮询会浪费带宽资源</w:t>
      </w:r>
    </w:p>
    <w:p w14:paraId="70D071E9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使用websocket推送</w:t>
      </w:r>
    </w:p>
    <w:p w14:paraId="0257FEEC">
      <w:pPr>
        <w:pStyle w:val="3"/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优点：后端处理完业务后自动推送给前端 用户只需要等待结果即可 无需任何操作 即时反馈 且建立连接后使用心跳维持 数据传输开销比较小</w:t>
      </w:r>
    </w:p>
    <w:p w14:paraId="43E9F85E">
      <w:pPr>
        <w:pStyle w:val="3"/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2415540</wp:posOffset>
            </wp:positionH>
            <wp:positionV relativeFrom="paragraph">
              <wp:posOffset>427355</wp:posOffset>
            </wp:positionV>
            <wp:extent cx="3246120" cy="2332990"/>
            <wp:effectExtent l="0" t="0" r="11430" b="1016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缺点：需要编写websocket端点 增加代码复杂性   某些浏览器可能不支持ws  兼容性不好</w:t>
      </w:r>
    </w:p>
    <w:p w14:paraId="382B1AFE">
      <w:pPr>
        <w:pStyle w:val="3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4460B8C">
      <w:pPr>
        <w:pStyle w:val="3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右图是订单处理成功后的响应结果：</w:t>
      </w: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53B9F"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9150D50"/>
    <w:rsid w:val="48A5640C"/>
    <w:rsid w:val="5D393588"/>
    <w:rsid w:val="694243BA"/>
    <w:rsid w:val="78296CC9"/>
    <w:rsid w:val="7C61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2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3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4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5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6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27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28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29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0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4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3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2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1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4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0">
    <w:name w:val="Strong"/>
    <w:basedOn w:val="19"/>
    <w:semiHidden/>
    <w:unhideWhenUsed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19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3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4">
    <w:name w:val="标题 3 字符"/>
    <w:basedOn w:val="19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5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6">
    <w:name w:val="标题 5 字符"/>
    <w:basedOn w:val="19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7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8">
    <w:name w:val="标题 7 字符"/>
    <w:basedOn w:val="19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9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0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1">
    <w:name w:val="页眉 字符"/>
    <w:basedOn w:val="19"/>
    <w:link w:val="15"/>
    <w:qFormat/>
    <w:uiPriority w:val="99"/>
  </w:style>
  <w:style w:type="character" w:customStyle="1" w:styleId="32">
    <w:name w:val="页脚 字符"/>
    <w:basedOn w:val="19"/>
    <w:link w:val="14"/>
    <w:qFormat/>
    <w:uiPriority w:val="99"/>
  </w:style>
  <w:style w:type="character" w:customStyle="1" w:styleId="33">
    <w:name w:val="标题 字符"/>
    <w:basedOn w:val="19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4">
    <w:name w:val="日期 字符"/>
    <w:basedOn w:val="19"/>
    <w:link w:val="12"/>
    <w:qFormat/>
    <w:uiPriority w:val="2"/>
    <w:rPr>
      <w:sz w:val="28"/>
    </w:rPr>
  </w:style>
  <w:style w:type="character" w:customStyle="1" w:styleId="35">
    <w:name w:val="Intense Emphasis"/>
    <w:basedOn w:val="19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6">
    <w:name w:val="Intense Quote"/>
    <w:basedOn w:val="1"/>
    <w:next w:val="1"/>
    <w:link w:val="37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7">
    <w:name w:val="明显引用 字符"/>
    <w:basedOn w:val="19"/>
    <w:link w:val="36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8">
    <w:name w:val="Intense Reference"/>
    <w:basedOn w:val="19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39">
    <w:name w:val="Quote"/>
    <w:basedOn w:val="1"/>
    <w:next w:val="1"/>
    <w:link w:val="40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0">
    <w:name w:val="引用 字符"/>
    <w:basedOn w:val="19"/>
    <w:link w:val="39"/>
    <w:semiHidden/>
    <w:qFormat/>
    <w:uiPriority w:val="29"/>
    <w:rPr>
      <w:i/>
      <w:iCs/>
    </w:rPr>
  </w:style>
  <w:style w:type="character" w:customStyle="1" w:styleId="41">
    <w:name w:val="Subtle Emphasis"/>
    <w:basedOn w:val="19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2">
    <w:name w:val="Subtle Reference"/>
    <w:basedOn w:val="19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4">
    <w:name w:val="副标题 字符"/>
    <w:basedOn w:val="19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styleId="45">
    <w:name w:val="Placeholder Text"/>
    <w:basedOn w:val="19"/>
    <w:semiHidden/>
    <w:qFormat/>
    <w:uiPriority w:val="99"/>
    <w:rPr>
      <w:color w:val="808080"/>
    </w:rPr>
  </w:style>
  <w:style w:type="character" w:customStyle="1" w:styleId="46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7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48">
    <w:name w:val="apple-converted-space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3</Pages>
  <Words>1331</Words>
  <Characters>1888</Characters>
  <Lines>1</Lines>
  <Paragraphs>1</Paragraphs>
  <TotalTime>10</TotalTime>
  <ScaleCrop>false</ScaleCrop>
  <LinksUpToDate>false</LinksUpToDate>
  <CharactersWithSpaces>2033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朱涵</cp:lastModifiedBy>
  <dcterms:modified xsi:type="dcterms:W3CDTF">2024-10-16T09:02:05Z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C49CFAE94D4D46F2A07EF5C4E018DF54_12</vt:lpwstr>
  </property>
</Properties>
</file>