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Guidelines for Safe AI Use at Work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Microsoft 365 Copilot Edition</w:t>
      </w:r>
    </w:p>
    <w:p>
      <w:pPr>
        <w:spacing w:before="0" w:after="4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17"/>
          <w:szCs w:val="17"/>
        </w:rPr>
        <w:t xml:space="preserve">AI 101 Training Series  |  LachesisAI  |  Req 5944 – Texas DIR</w:t>
      </w:r>
    </w:p>
    <w:p>
      <w:pPr>
        <w:spacing w:before="0" w:after="2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000"/>
        <w:gridCol w:w="1912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 Version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 Current As Of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Next Review</w:t>
            </w:r>
          </w:p>
        </w:tc>
        <w:tc>
          <w:tcPr>
            <w:tcW w:type="dxa" w:w="19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Prepared By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v2.0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March 2026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March 23, 2026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March 2027</w:t>
            </w:r>
          </w:p>
        </w:tc>
        <w:tc>
          <w:tcPr>
            <w:tcW w:type="dxa" w:w="19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Nathan Weber / LachesisAI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7F6000" w:sz="6"/>
              <w:left w:val="thick" w:color="7F6000" w:sz="12"/>
              <w:bottom w:val="single" w:color="7F6000" w:sz="6"/>
              <w:right w:val="none" w:color="7F6000" w:sz="0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F6000"/>
                <w:sz w:val="17"/>
                <w:szCs w:val="17"/>
              </w:rPr>
              <w:t xml:space="preserve">Content currency: Regulatory and compliance information reflects applicable law and Microsoft policy as of March 23, 2026. Key dates: TDPSA effective July 1, 2024; EU AI Act enforcement for most provisions begins August 2, 2026. Organizations should verify current regulatory requirements with qualified legal counsel. Microsoft policy details: learn.microsoft.com/en-us/copilot/microsoft-365/microsoft-365-copilot-privacy</w:t>
            </w:r>
          </w:p>
        </w:tc>
      </w:tr>
    </w:tbl>
    <w:p>
      <w:pPr>
        <w:spacing w:before="0" w:after="20"/>
      </w:pPr>
      <w:r>
        <w:t xml:space="preserve"/>
      </w:r>
    </w:p>
    <w:p>
      <w:pPr>
        <w:pBdr>
          <w:bottom w:val="single" w:color="1F4E79" w:sz="8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1. INTRODUCTION — WHY AI GOVERNANCE MATTERS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AI tools like Microsoft 365 Copilot deliver measurable productivity benefits — enterprise case studies document 29% faster document drafting, 43 minutes saved per user per day (NHS, 2025), and 116% ROI over three years (Forrester TEI, March 2025). Realizing these benefits responsibly requires every user to understand the boundaries, risks, and obligations that accompany AI adoption.</w:t>
      </w:r>
    </w:p>
    <w:p>
      <w:pPr>
        <w:spacing w:before="0" w:after="4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establishes guidelines for safe, compliant, and ethical use of Microsoft 365 Copilot in a professional environment. It applies to all personnel with licensed access to M365 Copilot features.</w:t>
      </w:r>
    </w:p>
    <w:p>
      <w:pPr>
        <w:spacing w:before="0" w:after="20"/>
      </w:pPr>
      <w:r>
        <w:t xml:space="preserve"/>
      </w:r>
    </w:p>
    <w:p>
      <w:pPr>
        <w:pBdr>
          <w:bottom w:val="single" w:color="1F4E79" w:sz="8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 HOW MICROSOFT PROTECTS YOUR DATA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2.1 Tenant Isolation and Data Boundaries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Your prompts, retrieved data, and Copilot responses stay within your organization's Microsoft 365 tenant boundary — they do not leave your environment for external processing.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Copilot uses Azure OpenAI Service (not public OpenAI models). Your organizational data is processed within Microsoft's secure Azure infrastructure.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Microsoft does not use your prompts, responses, or interaction history to train, retrain, or fine-tune any AI foundation model. This is a contractual and architectural commitment.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Copilot enforces your existing permissions. It cannot access files, emails, or documents you don't already have rights to view. There is no elevated service account with tenant-wide access.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All data is encrypted at rest (AES-256) and in transit (TLS). Session data is subject to your organization's retention and deletion policies.</w:t>
      </w:r>
    </w:p>
    <w:p>
      <w:pPr>
        <w:spacing w:before="0" w:after="4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2.2 Microsoft Purview — Dynamic AI Governance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Microsoft Purview integrates with Copilot to enforce governance policies in real time. Key controls available to administrators:</w:t>
      </w:r>
    </w:p>
    <w:p>
      <w:pPr>
        <w:spacing w:before="0" w:after="3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12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Sensitivity Labels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Copilot inherits and propagates sensitivity labels. A summary generated from a 'Highly Confidential' document automatically receives the same label — preventing inadvertent sharing.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DLP Policies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Loss Prevention policies block sensitive data (PII, PCI, PHI) from being pasted into Copilot prompts or surfaced in outputs.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Audit Logs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Copilot interactions are logged via Microsoft Purview Activity Explorer and Audit solution, enabling security reviews and compliance audits.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DSPM for AI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Security Posture Management maps data flow through Copilot to identify oversharing risks before they result in exposure.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Prompt/Response Deletion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Administrators can request deletion of Copilot interaction data; purged within 30 days of request.</w:t>
            </w:r>
          </w:p>
        </w:tc>
      </w:tr>
    </w:tbl>
    <w:p>
      <w:pPr>
        <w:spacing w:before="0" w:after="20"/>
      </w:pPr>
      <w:r>
        <w:t xml:space="preserve"/>
      </w:r>
    </w:p>
    <w:p>
      <w:pPr>
        <w:pBdr>
          <w:bottom w:val="single" w:color="1F4E79" w:sz="8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 LEGAL AND REGULATORY COMPLIANCE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3.1 Texas Data Privacy and Security Act (TDPSA)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TDPSA (Texas House Bill 4, codified in Chapter 541, Texas Business &amp; Commerce Code) is Texas's comprehensive consumer data privacy law. Key provisions effective as of this document's date:</w:t>
      </w:r>
    </w:p>
    <w:p>
      <w:pPr>
        <w:spacing w:before="0" w:after="3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12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 rights and obligations: July 1, 2024. Universal opt-out recognition: January 1, 2025.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Scope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Businesses processing personal data of 100,000+ Texas consumers annually.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Consumer Rights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Access, correction, deletion, portability, opt-out of sales/profiling — responses required within 45 days.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Sensitive Data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Explicit consent required for biometric, health, or precise geolocation data.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Workplace Application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TDPSA targets consumers outside employment contexts. Employee data is generally exempt — but AI-driven profiling for recruiting/promotion decisions may trigger obligations.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AI at Work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Using Copilot to process employee data for performance assessment or workforce analytics may require data protection assessments and employee notification.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Enforcement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Texas Attorney General exclusively; 30-day cure period; up to $7,500 per violation.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Official Source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Texas Legislature HB 4: capitol.texas.gov/tlodocs/88R/billtext/html/HB00004F.htm</w:t>
            </w:r>
          </w:p>
        </w:tc>
      </w:tr>
    </w:tbl>
    <w:p>
      <w:pPr>
        <w:spacing w:before="0" w:after="3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3.2 EU AI Act (For Organizations with EU Operations)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EU AI Act entered into force August 2, 2024. Compliance timeline for organizations using third-party AI tools like Copilot:</w:t>
      </w:r>
    </w:p>
    <w:p>
      <w:pPr>
        <w:spacing w:before="0" w:after="3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12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Feb 2025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Prohibited AI practices banned (no impact on standard Copilot workplace use).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Aug 2025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 Purpose AI (GPAI) provider obligations took effect — Microsoft's obligations as Copilot provider.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Aug 2, 2026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Most provisions including high-risk system requirements and enforcement become active.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Your Obligations Now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Inform employees they are interacting with AI (transparency). Monitor AI tool operations.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Your Obligations Aug 2026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 Annex III high-risk uses (e.g., AI-driven employment decisions): conduct fundamental rights impact assessments, ensure human oversight, report incidents.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Copilot Risk Classification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Standard workplace productivity use = Low Risk. AI used for employment decisions, credit scoring, or critical infrastructure = potentially High Risk (Annex III).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Official Source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EU AI Act timeline: artificialintelligenceact.eu/implementation-timeline/</w:t>
            </w:r>
          </w:p>
        </w:tc>
      </w:tr>
    </w:tbl>
    <w:p>
      <w:pPr>
        <w:spacing w:before="0" w:after="3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3.3 GDPR (For Organizations Processing EU Personal Data)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Data minimization: collect and process only what is necessary; do not use Copilot to aggregate EU personal data beyond the original purpose.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Data subject rights: individuals may request access, correction, or deletion of their data — Copilot interaction logs containing personal data fall within scope.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Data Protection Impact Assessment (DPIA): required for high-risk processing. AI-driven profiling or large-scale processing of EU personal data via Copilot may require a DPIA.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Enforcement: Data Protection Authorities in each EU member state; fines up to 4% of global annual revenue.</w:t>
      </w:r>
    </w:p>
    <w:p>
      <w:pPr>
        <w:spacing w:before="0" w:after="3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3.4 Texas-Specific Regulated Environments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Organizations in specific Texas-regulated sectors have additional obligations:</w:t>
      </w:r>
    </w:p>
    <w:p>
      <w:pPr>
        <w:spacing w:before="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Electric utilities (NERC CIP): No specific AI/LLM controls exist as of Q1 2026, but CIP-005/007/010/011/013 apply to any cloud data handling and third-party AI vendor vetting. CIP-003-9 (cloud virtualization) is enforceable April 2026. AI tools must not interface directly with BES Cyber Systems without controls.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Healthcare (HIPAA/HITRUST/Texas TAC 202): PHI must not be entered into Copilot prompts under any circumstances. Copilot is not a HIPAA Business Associate by default; organization-specific BAA review required.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State agencies (DIR policies): Texas state agency staff should consult DIR and agency-specific AI use policies. The TDPSA and Texas TAC Chapter 202 apply to all state agency data handling.</w:t>
      </w:r>
    </w:p>
    <w:p>
      <w:pPr>
        <w:spacing w:before="0" w:after="20"/>
      </w:pPr>
      <w:r>
        <w:t xml:space="preserve"/>
      </w:r>
    </w:p>
    <w:p>
      <w:pPr>
        <w:pBdr>
          <w:bottom w:val="single" w:color="1F4E79" w:sz="8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4. MANAGING AI RISKS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4.1 Accuracy — Hallucinations and Verification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Copilot can generate plausible-sounding but factually incorrect information. This is a known behavior of large language models, not a bug.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Never act on Copilot-generated content in high-stakes contexts (financial decisions, legal filings, clinical guidance, regulatory submissions) without independent human verification.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Cross-reference outputs against authoritative sources. Check calculations independently. Verify citations.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Establish a human review step before publishing, sending, or acting on any AI-generated content.</w:t>
      </w:r>
    </w:p>
    <w:p>
      <w:pPr>
        <w:spacing w:before="0" w:after="3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4.2 Data Classification — What Must Not Go Into a Prompt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7F6000" w:sz="6"/>
              <w:left w:val="thick" w:color="7F6000" w:sz="12"/>
              <w:bottom w:val="single" w:color="7F6000" w:sz="6"/>
              <w:right w:val="none" w:color="7F6000" w:sz="0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F6000"/>
                <w:sz w:val="17"/>
                <w:szCs w:val="17"/>
              </w:rPr>
              <w:t xml:space="preserve">PROHIBITED: The following data categories must never be entered into any Copilot prompt field, uploaded file, or chat input, regardless of perceived security: Social Security Numbers | Passwords or credentials | Credit card / banking data | PHI (Protected Health Information) | PII beyond what is operationally necessary | Confidential attorney-client communications | Non-public financial information | Data classified above the user's authorization level</w:t>
            </w:r>
          </w:p>
        </w:tc>
      </w:tr>
    </w:tbl>
    <w:p>
      <w:pPr>
        <w:spacing w:before="0" w:after="3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4.3 Pre-Deployment: SharePoint Permission Hygiene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Because Copilot surfaces any content a user has permission to access, pre-existing oversharing becomes immediately visible. Before broad Copilot deployment, administrators should: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Audit top 100 most-accessed SharePoint sites and prune obsolete or overly broad permissions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Disable the 'Everyone except external users' (EEEU) permission group tenant-wide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Apply Purview sensitivity labels to all confidential documentation before Copilot access is granted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Arial" w:cs="Arial" w:eastAsia="Arial" w:hAnsi="Arial"/>
          <w:sz w:val="19"/>
          <w:szCs w:val="19"/>
        </w:rPr>
        <w:t xml:space="preserve">Configure M365 apps to Current Channel or Monthly Enterprise Channel — Copilot is unsupported on Semi-Annual Enterprise Channel</w:t>
      </w:r>
    </w:p>
    <w:p>
      <w:pPr>
        <w:spacing w:before="0" w:after="20"/>
      </w:pPr>
      <w:r>
        <w:t xml:space="preserve"/>
      </w:r>
    </w:p>
    <w:p>
      <w:pPr>
        <w:pBdr>
          <w:bottom w:val="single" w:color="1F4E79" w:sz="8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5. AI GOVERNANCE FRAMEWORKS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Two frameworks dominate enterprise AI governance for Copilot deployments:</w:t>
      </w:r>
    </w:p>
    <w:p>
      <w:pPr>
        <w:spacing w:before="0" w:after="3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56"/>
        <w:gridCol w:w="415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41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NIST AI RMF 1.0</w:t>
            </w:r>
          </w:p>
        </w:tc>
        <w:tc>
          <w:tcPr>
            <w:tcW w:type="dxa" w:w="41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ISO/IEC 42001:2023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Nature</w:t>
            </w:r>
          </w:p>
        </w:tc>
        <w:tc>
          <w:tcPr>
            <w:tcW w:type="dxa" w:w="41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Voluntary, flexible, non-prescriptive</w:t>
            </w:r>
          </w:p>
        </w:tc>
        <w:tc>
          <w:tcPr>
            <w:tcW w:type="dxa" w:w="41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Certifiable, prescriptive, audit-ready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Structure</w:t>
            </w:r>
          </w:p>
        </w:tc>
        <w:tc>
          <w:tcPr>
            <w:tcW w:type="dxa" w:w="41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core functions: Govern, Map, Measure, Manage</w:t>
            </w:r>
          </w:p>
        </w:tc>
        <w:tc>
          <w:tcPr>
            <w:tcW w:type="dxa" w:w="41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clauses + 38 Annex A controls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Overhead</w:t>
            </w:r>
          </w:p>
        </w:tc>
        <w:tc>
          <w:tcPr>
            <w:tcW w:type="dxa" w:w="41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Lower; adaptable to organization size</w:t>
            </w:r>
          </w:p>
        </w:tc>
        <w:tc>
          <w:tcPr>
            <w:tcW w:type="dxa" w:w="41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High; requires dedicated compliance roles and audit cadences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Best for</w:t>
            </w:r>
          </w:p>
        </w:tc>
        <w:tc>
          <w:tcPr>
            <w:tcW w:type="dxa" w:w="41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Mid-size orgs deploying SaaS AI; rapid adoption with guardrails</w:t>
            </w:r>
          </w:p>
        </w:tc>
        <w:tc>
          <w:tcPr>
            <w:tcW w:type="dxa" w:w="41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Regulated sectors, large enterprises, government contracts requiring certification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41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here — more actionable for most Copilot deployments</w:t>
            </w:r>
          </w:p>
        </w:tc>
        <w:tc>
          <w:tcPr>
            <w:tcW w:type="dxa" w:w="41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Layer on when scaling or entering regulated procurement</w:t>
            </w:r>
          </w:p>
        </w:tc>
      </w:tr>
    </w:tbl>
    <w:p>
      <w:pPr>
        <w:spacing w:before="0" w:after="3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Microsoft Purview Compliance Manager includes native assessment templates mapped to both NIST AI RMF 1.0 and ISO/IEC 42001:2023, enabling automated compliance monitoring against either framework.</w:t>
      </w:r>
    </w:p>
    <w:p>
      <w:pPr>
        <w:spacing w:before="0" w:after="20"/>
      </w:pPr>
      <w:r>
        <w:t xml:space="preserve"/>
      </w:r>
    </w:p>
    <w:p>
      <w:pPr>
        <w:pBdr>
          <w:bottom w:val="single" w:color="1F4E79" w:sz="8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6. BEST PRACTICES SUMMARY</w:t>
      </w:r>
    </w:p>
    <w:p>
      <w:pPr>
        <w:spacing w:before="0" w:after="20"/>
      </w:pPr>
      <w: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12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 approved tools only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 any AI tool is organization-approved before use. Copilot should only be accessed through licensed M365 applications.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Verify before acting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all AI-generated outputs before publishing, sending, or making decisions. You are accountable for the content — not the AI.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Protect sensitive data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input prohibited data categories into prompts. When in doubt, omit it.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Maintain human oversight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augments judgment; it does not replace it. Final decisions on significant matters require human review.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Participate in training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 organization-mandated AI training. Stay current with Copilot updates (monthly release notes).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Report anomalies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unexpected Copilot outputs, suspected data exposure, or security concerns to your IT/security team immediately.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Document AI use</w:t>
            </w:r>
          </w:p>
        </w:tc>
        <w:tc>
          <w:tcPr>
            <w:tcW w:type="dxa" w:w="751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 regulated workflows, maintain records of when and how AI was used in content generation or decision-making.</w:t>
            </w:r>
          </w:p>
        </w:tc>
      </w:tr>
    </w:tbl>
    <w:p>
      <w:pPr>
        <w:spacing w:before="0" w:after="3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Sample deliverables and portfolio materials: github.com/nweberjustai-hub  |  Prepared by: Nathan Weber, PMP CEH PSM  |  LachesisAI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0" w:after="30" w:line="230" w:lineRule="auto"/>
        <w:ind w:left="480" w:hanging="300"/>
      </w:pPr>
      <w:rPr>
        <w:rFonts w:ascii="Arial" w:cs="Arial" w:eastAsia="Arial" w:hAnsi="Arial"/>
        <w:sz w:val="19"/>
        <w:szCs w:val="1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spacing w:before="0" w:after="20"/>
        <w:ind w:left="840" w:hanging="300"/>
      </w:pPr>
      <w:rPr>
        <w:rFonts w:ascii="Arial" w:cs="Arial" w:eastAsia="Arial" w:hAnsi="Arial"/>
        <w:sz w:val="18"/>
        <w:szCs w:val="1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0" w:after="30"/>
        <w:ind w:left="480" w:hanging="300"/>
      </w:pPr>
      <w:rPr>
        <w:rFonts w:ascii="Arial" w:cs="Arial" w:eastAsia="Arial" w:hAnsi="Arial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2026-03-23T20:29:51.919Z</dcterms:created>
  <dcterms:modified xsi:type="dcterms:W3CDTF">2026-03-23T20:29:51.919Z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