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title: "Data Contract &amp; Security Addendum Template"</w:t>
      </w:r>
    </w:p>
    <w:p>
      <w:r>
        <w:t>layout: default</w:t>
      </w:r>
    </w:p>
    <w:p>
      <w:r>
        <w:t>description: "This template provides a data contract and security addendum structure capturing metadata, lineage, access, and control requirements for governed data sources."</w:t>
      </w:r>
    </w:p>
    <w:p>
      <w:r>
        <w:t>---</w:t>
      </w:r>
    </w:p>
    <w:p/>
    <w:p>
      <w:r>
        <w:t># Data Contract &amp; Security Addendum Template</w:t>
      </w:r>
    </w:p>
    <w:p/>
    <w:p>
      <w:r>
        <w:t>## Executive Summary</w:t>
      </w:r>
    </w:p>
    <w:p/>
    <w:p>
      <w:r>
        <w:t>This template provides a data contract and security addendum structure capturing metadata, lineage, access, and control requirements for governed data sources.</w:t>
      </w:r>
    </w:p>
    <w:p/>
    <w:p>
      <w:r>
        <w:t>## Thesis: Early Security Integration</w:t>
      </w:r>
    </w:p>
    <w:p/>
    <w:p>
      <w:r>
        <w:t>This framework highlights the benefits of integrating the CISO and security stakeholders early in the data governance lifecycle. Early collaboration reduces downstream rework, strengthens metadata and classification accuracy, and ensures BI/analytics deliverables are built on trusted, compliant data. This is presented as a recommended best practice to support Austin Energy’s evolving governance model.</w:t>
      </w:r>
    </w:p>
    <w:p/>
    <w:p>
      <w:r>
        <w:t>## Before vs. After Security Integration</w:t>
      </w:r>
    </w:p>
    <w:p/>
    <w:p>
      <w:r>
        <w:t>### Late Security Involvement (Traditional)</w:t>
      </w:r>
    </w:p>
    <w:p>
      <w:r>
        <w:t>- Classification decisions often deferred until after solution build</w:t>
      </w:r>
    </w:p>
    <w:p>
      <w:r>
        <w:t>- IAM roles and access control retrofitted under time pressure</w:t>
      </w:r>
    </w:p>
    <w:p>
      <w:r>
        <w:t>- BI and analytics requirements may conflict with security policies</w:t>
      </w:r>
    </w:p>
    <w:p>
      <w:r>
        <w:t>- Audit and compliance gaps discovered late in the project</w:t>
      </w:r>
    </w:p>
    <w:p>
      <w:r>
        <w:t>- Higher levels of rework, friction, and security “debt”</w:t>
      </w:r>
    </w:p>
    <w:p/>
    <w:p>
      <w:r>
        <w:t>### Early Security Integration (Proposed)</w:t>
      </w:r>
    </w:p>
    <w:p>
      <w:r>
        <w:t>- Classification and handling requirements defined at data intake</w:t>
      </w:r>
    </w:p>
    <w:p>
      <w:r>
        <w:t>- IAM roles, access rules, and ownership models aligned up front</w:t>
      </w:r>
    </w:p>
    <w:p>
      <w:r>
        <w:t>- BI and analytics use cases validated against governed data sets</w:t>
      </w:r>
    </w:p>
    <w:p>
      <w:r>
        <w:t>- Audit, logging, and lineage modeled from the start</w:t>
      </w:r>
    </w:p>
    <w:p>
      <w:r>
        <w:t>- Lower rework, clearer ownership, and improved governance maturity</w:t>
      </w:r>
    </w:p>
    <w:p/>
    <w:p>
      <w:r>
        <w:t>## Why This Matters for Austin Energy</w:t>
      </w:r>
    </w:p>
    <w:p/>
    <w:p>
      <w:r>
        <w:t>Austin Energy operates as a community-owned utility and critical infrastructure provider subject to regulatory oversight and high reliability expectations. Early integration of security and CISO-level stakeholders into data governance ensures that:</w:t>
      </w:r>
    </w:p>
    <w:p/>
    <w:p>
      <w:r>
        <w:t xml:space="preserve">- Data used for reporting and analytics is reliable, auditable, and appropriately controlled  </w:t>
      </w:r>
    </w:p>
    <w:p>
      <w:r>
        <w:t xml:space="preserve">- Governance processes scale as the Data Management &amp; Governance team matures  </w:t>
      </w:r>
    </w:p>
    <w:p>
      <w:r>
        <w:t xml:space="preserve">- Regulatory and compliance considerations (including NERC/CIP and privacy expectations) are addressed proactively rather than reactively  </w:t>
      </w:r>
    </w:p>
    <w:p>
      <w:r>
        <w:t>- Cross-functional teams (data, BI, IT, and security) have a shared, documented model for how data is onboarded and governed</w:t>
      </w:r>
    </w:p>
    <w:p/>
    <w:p>
      <w:r>
        <w:t>## Full Content</w:t>
      </w:r>
    </w:p>
    <w:p/>
    <w:p>
      <w:r>
        <w:t># Data Contract Template (Cybersecurity-Enhanced)</w:t>
      </w:r>
    </w:p>
    <w:p/>
    <w:p>
      <w:r>
        <w:t>| Field | Description |</w:t>
      </w:r>
    </w:p>
    <w:p>
      <w:r>
        <w:t>|-------|-------------|</w:t>
      </w:r>
    </w:p>
    <w:p>
      <w:r>
        <w:t>| **Source System** | Name of upstream source |</w:t>
      </w:r>
    </w:p>
    <w:p>
      <w:r>
        <w:t>| **Owner** | Business data owner |</w:t>
      </w:r>
    </w:p>
    <w:p>
      <w:r>
        <w:t>| **Steward** | Responsible data steward |</w:t>
      </w:r>
    </w:p>
    <w:p>
      <w:r>
        <w:t>| **[SECURITY] Data Classification** | Sensitivity level: Public / Internal / Confidential / Restricted (PII/PHI) |</w:t>
      </w:r>
    </w:p>
    <w:p>
      <w:r>
        <w:t>| **[SECURITY] Regulatory Scope** | Applicable regulations: GDPR / CCPA / HIPAA / PCI-DSS / SOX / Other |</w:t>
      </w:r>
    </w:p>
    <w:p>
      <w:r>
        <w:t>| **Schema** | Column definitions &amp; types, including PII indicators |</w:t>
      </w:r>
    </w:p>
    <w:p>
      <w:r>
        <w:t>| **Transformations** | Business or technical rules; data anonymization/masking rules if applicable |</w:t>
      </w:r>
    </w:p>
    <w:p>
      <w:r>
        <w:t>| **Cadence** | Refresh frequency |</w:t>
      </w:r>
    </w:p>
    <w:p>
      <w:r>
        <w:t>| **Quality Rules** | Alerts, thresholds, expectations |</w:t>
      </w:r>
    </w:p>
    <w:p>
      <w:r>
        <w:t>| **Consumption** | BI dashboards, APIs, reports; consumer approvals required |</w:t>
      </w:r>
    </w:p>
    <w:p>
      <w:r>
        <w:t>| **Retention** | Archive/purge timeline; legal holds |</w:t>
      </w:r>
    </w:p>
    <w:p>
      <w:r>
        <w:t>| **Lineage** | Upstream → Transform → Downstream; for audit tracing |</w:t>
      </w:r>
    </w:p>
    <w:p>
      <w:r>
        <w:t>| **[SECURITY] Encryption** | At-rest: Yes/No, Algorithm; In-transit: Yes/No, Protocol (TLS 1.2+) |</w:t>
      </w:r>
    </w:p>
    <w:p>
      <w:r>
        <w:t>| **[SECURITY] Access Controls** | Role-based access matrix; MFA required: Yes/No; IP restrictions; service accounts |</w:t>
      </w:r>
    </w:p>
    <w:p>
      <w:r>
        <w:t>| **[SECURITY] Audit Logging** | Audit trail retention period; monitored for: access, modification, deletion |</w:t>
      </w:r>
    </w:p>
    <w:p>
      <w:r>
        <w:t>| **[SECURITY] Data Loss Prevention (DLP)** | DLP rules configured: Yes/No; sensitive pattern detection: Yes/No |</w:t>
      </w:r>
    </w:p>
    <w:p>
      <w:r>
        <w:t>| **[SECURITY] Incident Response** | Point of contact for breaches; notification procedures; escalation path to CISO |</w:t>
      </w:r>
    </w:p>
    <w:p>
      <w:r>
        <w:t>| **[SECURITY] Third-Party Processor** | If applicable: processor name, Data Processing Agreement (DPA) executed: Yes/No |</w:t>
      </w:r>
    </w:p>
    <w:p>
      <w:r>
        <w:t>| **[SECURITY] Risk Assessment** | Data risk level (low/medium/high); mitigation controls; residual risk sign-off |</w:t>
      </w:r>
    </w:p>
    <w:p>
      <w:r>
        <w:t>| **[SECURITY] Compliance Evidence** | Audit trail link; SOC 2 / ISO 27001 controls mapped; last audit date |</w:t>
      </w:r>
    </w:p>
    <w:p/>
    <w:p>
      <w:r>
        <w:t>---</w:t>
      </w:r>
    </w:p>
    <w:p/>
    <w:p>
      <w:r>
        <w:t>## Security Addendum Details</w:t>
      </w:r>
    </w:p>
    <w:p/>
    <w:p>
      <w:r>
        <w:t>### Encryption Requirements</w:t>
      </w:r>
    </w:p>
    <w:p>
      <w:r>
        <w:t>- **At-Rest:** Specify algorithm (AES-256 preferred), key management (BYOK/HSM), escrow arrangement</w:t>
      </w:r>
    </w:p>
    <w:p>
      <w:r>
        <w:t>- **In-Transit:** TLS 1.2 minimum; mutual authentication if B2B</w:t>
      </w:r>
    </w:p>
    <w:p/>
    <w:p>
      <w:r>
        <w:t>### Access Control Matrix</w:t>
      </w:r>
    </w:p>
    <w:p>
      <w:r>
        <w:t>| Role | Read | Write | Delete | Approve | Audit |</w:t>
      </w:r>
    </w:p>
    <w:p>
      <w:r>
        <w:t>|------|------|-------|--------|---------|-------|</w:t>
      </w:r>
    </w:p>
    <w:p>
      <w:r>
        <w:t>| Data Analyst (Internal) | ✓ | ✗ | ✗ | ✗ | ✗ |</w:t>
      </w:r>
    </w:p>
    <w:p>
      <w:r>
        <w:t>| Data Engineer | ✓ | ✓ | ✗ | ✗ | ✓ |</w:t>
      </w:r>
    </w:p>
    <w:p>
      <w:r>
        <w:t>| Data Owner | ✓ | ✓ | ✗ | ✓ | ✓ |</w:t>
      </w:r>
    </w:p>
    <w:p>
      <w:r>
        <w:t>| CISO / Security Lead | (audit view only) | ✗ | ✗ | (security sign-off) | ✓ |</w:t>
      </w:r>
    </w:p>
    <w:p>
      <w:r>
        <w:t>| Compliance Officer | (limited view) | ✗ | ✗ | ✗ | ✓ |</w:t>
      </w:r>
    </w:p>
    <w:p/>
    <w:p>
      <w:r>
        <w:t>### Audit Logging Specification</w:t>
      </w:r>
    </w:p>
    <w:p>
      <w:r>
        <w:t>- Event categories: authentication, authorization, access, modification, deletion, export</w:t>
      </w:r>
    </w:p>
    <w:p>
      <w:r>
        <w:t>- Retention: Minimum 1 year; longer for regulated data (GDPR: 3 years; HIPAA: 6 years)</w:t>
      </w:r>
    </w:p>
    <w:p>
      <w:r>
        <w:t>- Immutable storage (write-once-read-many archives)</w:t>
      </w:r>
    </w:p>
    <w:p/>
    <w:p>
      <w:r>
        <w:t>### Incident Response Plan (Template)</w:t>
      </w:r>
    </w:p>
    <w:p>
      <w:r>
        <w:t>**If unauthorized access suspected:**</w:t>
      </w:r>
    </w:p>
    <w:p>
      <w:r>
        <w:t>1. **Isolation:** Disable affected accounts; restrict access</w:t>
      </w:r>
    </w:p>
    <w:p>
      <w:r>
        <w:t xml:space="preserve">2. **Notification Chain:** </w:t>
      </w:r>
    </w:p>
    <w:p>
      <w:r>
        <w:t xml:space="preserve">   - Data Steward → CISO → Legal → Data Owner → Compliance Officer</w:t>
      </w:r>
    </w:p>
    <w:p>
      <w:r>
        <w:t>3. **Investigation:** Determine scope of exposure; review audit logs</w:t>
      </w:r>
    </w:p>
    <w:p>
      <w:r>
        <w:t>4. **Containment:** Revoke compromised credentials; rotate keys</w:t>
      </w:r>
    </w:p>
    <w:p>
      <w:r>
        <w:t>5. **Notification:** Notify affected data subjects per regulatory timeline</w:t>
      </w:r>
    </w:p>
    <w:p>
      <w:r>
        <w:t>6. **Post-Incident:** Root cause analysis; governance update; controls enhancement</w:t>
      </w:r>
    </w:p>
    <w:p/>
    <w:p>
      <w:r>
        <w:t>---</w:t>
      </w:r>
    </w:p>
    <w:p/>
    <w:p>
      <w:r>
        <w:t xml:space="preserve">© 2025 Nathan Weber  </w:t>
      </w:r>
    </w:p>
    <w:p>
      <w:r>
        <w:t xml:space="preserve">Licensed under the MIT License.  </w:t>
      </w:r>
    </w:p>
    <w:p>
      <w:r>
        <w:t xml:space="preserve">This material is provided freely for educational, professional, and portfolio purposes.  </w:t>
      </w:r>
    </w:p>
    <w:p>
      <w:r>
        <w:t>*Enhanced with security controls per ISO 27001:2022 and NIST CSF 2.0.*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