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A.X 4.0 Light 기반 낚시성 점수 및</w:t>
        <w:br/>
        <w:t>Integrated Gradients(XAI) 명세</w:t>
      </w:r>
    </w:p>
    <w:p/>
    <w:p>
      <w:pPr>
        <w:pStyle w:val="Heading2"/>
      </w:pPr>
      <w:r>
        <w:t>1. 입력 구조 및 낚시성 점수 정의</w:t>
      </w:r>
    </w:p>
    <w:p>
      <w:r>
        <w:rPr>
          <w:b/>
        </w:rPr>
        <w:t xml:space="preserve">요약: </w:t>
      </w:r>
      <w:r>
        <w:t>A.X 4.0 Light 언어모델을 이용해 뉴스 기사에 대한 낚시성(clickbait) 여부를 0/1로 분류하고, 다음 토큰이 "1"일 확률을 낚시성 점수로 사용한다. 설명(XAI)은 이 점수의 마진 score = logit(1)−logit(0)에 대해 계산한다.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모델</w:t>
            </w:r>
          </w:p>
        </w:tc>
        <w:tc>
          <w:tcPr>
            <w:tcW w:type="dxa" w:w="4320"/>
          </w:tcPr>
          <w:p>
            <w:r>
              <w:t>skt/A.X-4.0-Light (HuggingFace AutoModelForCausalLM 기반 causal LM)</w:t>
              <w:br/>
              <w:t>토크나이저: 동일 체크포인트의 AutoTokenizer.</w:t>
            </w:r>
          </w:p>
        </w:tc>
      </w:tr>
      <w:tr>
        <w:tc>
          <w:tcPr>
            <w:tcW w:type="dxa" w:w="4320"/>
          </w:tcPr>
          <w:p>
            <w:r>
              <w:t>입력 JSON 스키마</w:t>
            </w:r>
          </w:p>
        </w:tc>
        <w:tc>
          <w:tcPr>
            <w:tcW w:type="dxa" w:w="4320"/>
          </w:tcPr>
          <w:p>
            <w:r>
              <w:t>newsCategory: 문자열 (예: "연예")</w:t>
              <w:br/>
              <w:t>newsTitle: 문자열 (기사 제목)</w:t>
              <w:br/>
              <w:t>newsContent: 문자열 (기사 본문 전체 텍스트)</w:t>
            </w:r>
          </w:p>
        </w:tc>
      </w:tr>
      <w:tr>
        <w:tc>
          <w:tcPr>
            <w:tcW w:type="dxa" w:w="4320"/>
          </w:tcPr>
          <w:p>
            <w:r>
              <w:t>프롬프트 구성 (요약)</w:t>
            </w:r>
          </w:p>
        </w:tc>
        <w:tc>
          <w:tcPr>
            <w:tcW w:type="dxa" w:w="4320"/>
          </w:tcPr>
          <w:p>
            <w:r>
              <w:t>[system]</w:t>
              <w:br/>
              <w:t xml:space="preserve">  너는 온라인 뉴스 기사의 낚시성(clickbait) 여부를 판정하는 이진 분류기다.</w:t>
              <w:br/>
              <w:t xml:space="preserve">  - 1 = 낚시성이 강한 기사, 0 = 낚시성이 약하거나 거의 없는 기사.</w:t>
              <w:br/>
              <w:t xml:space="preserve">  - 출력은 반드시 "0" 또는 "1" 한 글자 숫자만 내보낸다.</w:t>
              <w:br/>
              <w:br/>
              <w:t>[user]</w:t>
              <w:br/>
              <w:t xml:space="preserve">  다음 뉴스 기사에 대해 낚시성 여부를 판단하라.</w:t>
              <w:br/>
              <w:t xml:space="preserve">  [카테고리]\n{newsCategory}\n\n[제목]\n{newsTitle}\n\n[본문]\n{newsContent}\n</w:t>
              <w:br/>
              <w:t xml:space="preserve">  이 기사가 낚시성이 강하면 1, 그렇지 않으면 0만 출력하라.</w:t>
            </w:r>
          </w:p>
        </w:tc>
      </w:tr>
      <w:tr>
        <w:tc>
          <w:tcPr>
            <w:tcW w:type="dxa" w:w="4320"/>
          </w:tcPr>
          <w:p>
            <w:r>
              <w:t>모델 입력 (prefix)</w:t>
            </w:r>
          </w:p>
        </w:tc>
        <w:tc>
          <w:tcPr>
            <w:tcW w:type="dxa" w:w="4320"/>
          </w:tcPr>
          <w:p>
            <w:r>
              <w:t>위 system/user 메시지를 tokenizer.apply_chat_template(add_generation_prompt=True)로 토크나이즈한 prefix 토큰 시퀀스. 이 prefix 바로 뒤에 생성될 첫 토큰이 "0"/"1" 중 하나라고 가정한다.</w:t>
            </w:r>
          </w:p>
        </w:tc>
      </w:tr>
      <w:tr>
        <w:tc>
          <w:tcPr>
            <w:tcW w:type="dxa" w:w="4320"/>
          </w:tcPr>
          <w:p>
            <w:r>
              <w:t>낚시성 확률 및 마진 점수</w:t>
            </w:r>
          </w:p>
        </w:tc>
        <w:tc>
          <w:tcPr>
            <w:tcW w:type="dxa" w:w="4320"/>
          </w:tcPr>
          <w:p>
            <w:r>
              <w:t>모델 출력 logits ∈ ℝ^{L×V} 중 마지막 위치 L에서의 벡터를 last_logits라 할 때,</w:t>
              <w:br/>
              <w:t xml:space="preserve">  logit("0") = last_logits[id("0")]</w:t>
              <w:br/>
              <w:t xml:space="preserve">  logit("1") = last_logits[id("1")]</w:t>
              <w:br/>
              <w:br/>
              <w:t>two = [logit("0"), logit("1")]에 대해 softmax를 취해</w:t>
              <w:br/>
              <w:t xml:space="preserve">  p0 = softmax(two)[0],  p1 = softmax(two)[1]</w:t>
              <w:br/>
              <w:br/>
              <w:t>낚시성 확률(clickbait score) = p1 ∈ [0,1]</w:t>
              <w:br/>
              <w:t>마진 score = logit("1") − logit("0") (Integrated Gradients의 target 스칼라).</w:t>
            </w:r>
          </w:p>
        </w:tc>
      </w:tr>
    </w:tbl>
    <w:p/>
    <w:p>
      <w:pPr>
        <w:pStyle w:val="Heading2"/>
      </w:pPr>
      <w:r>
        <w:t>2. Integrated Gradients 기반 토큰 중요도 계산</w:t>
      </w:r>
    </w:p>
    <w:p>
      <w:r>
        <w:rPr>
          <w:b/>
        </w:rPr>
        <w:t xml:space="preserve">요약: </w:t>
      </w:r>
      <w:r>
        <w:t>입력 임베딩 공간에서 baseline(0 임베딩)에서 실제 입력까지의 직선 경로를 따라 score = logit(1) − logit(0)의 기울기를 적분해 각 토큰의 기여도를 계산한다. 이는 gradient×input의 경로 적분 버전으로, 단일 지점 gradient보다 더 안정적인 local 설명을 제공한다.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특징 공간 (feature space)</w:t>
            </w:r>
          </w:p>
        </w:tc>
        <w:tc>
          <w:tcPr>
            <w:tcW w:type="dxa" w:w="4320"/>
          </w:tcPr>
          <w:p>
            <w:r>
              <w:t>chat template prefix 토큰 시퀀스에 대한 입력 임베딩 E ∈ ℝ^{L×d}.</w:t>
              <w:br/>
              <w:t>E는 모델 임베딩 레이어 output (get_input_embeddings)으로부터 얻으며, 기사별 batch size = 1로 처리한다.</w:t>
            </w:r>
          </w:p>
        </w:tc>
      </w:tr>
      <w:tr>
        <w:tc>
          <w:tcPr>
            <w:tcW w:type="dxa" w:w="4320"/>
          </w:tcPr>
          <w:p>
            <w:r>
              <w:t>Target 스칼라</w:t>
            </w:r>
          </w:p>
        </w:tc>
        <w:tc>
          <w:tcPr>
            <w:tcW w:type="dxa" w:w="4320"/>
          </w:tcPr>
          <w:p>
            <w:r>
              <w:t>f(E) = score = logit("1") − logit("0")</w:t>
              <w:br/>
              <w:t>(마지막 위치에서의 1 클래스와 0 클래스 로짓 차이; 낚시성 마진).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Baseline 임베딩 x'는 E와 동일한 shape의 0 텐서(모든 토큰이 "비어 있는" 임베딩에 해당).</w:t>
            </w:r>
          </w:p>
        </w:tc>
      </w:tr>
      <w:tr>
        <w:tc>
          <w:tcPr>
            <w:tcW w:type="dxa" w:w="4320"/>
          </w:tcPr>
          <w:p>
            <w:r>
              <w:t>경로 및 근사</w:t>
            </w:r>
          </w:p>
        </w:tc>
        <w:tc>
          <w:tcPr>
            <w:tcW w:type="dxa" w:w="4320"/>
          </w:tcPr>
          <w:p>
            <w:r>
              <w:t>x(α) = x' + α·(E − x'),  α ∈ [0,1]</w:t>
              <w:br/>
              <w:t>α를 0에서 1까지 m_steps개 (예: m_steps = 50)로 균등 분할해, 각 α_k에서</w:t>
              <w:br/>
              <w:t xml:space="preserve">  ∂f(x(α_k)) / ∂x 를 구해 평균을 내고, (E − x')와 요소곱을 취함.</w:t>
              <w:br/>
              <w:br/>
              <w:t>IG(E) ≈ (E − x') ⊙ (1/m_steps) · Σ_k ∂f(x(α_k))/∂x</w:t>
            </w:r>
          </w:p>
        </w:tc>
      </w:tr>
      <w:tr>
        <w:tc>
          <w:tcPr>
            <w:tcW w:type="dxa" w:w="4320"/>
          </w:tcPr>
          <w:p>
            <w:r>
              <w:t>토큰 단위 중요도</w:t>
            </w:r>
          </w:p>
        </w:tc>
        <w:tc>
          <w:tcPr>
            <w:tcW w:type="dxa" w:w="4320"/>
          </w:tcPr>
          <w:p>
            <w:r>
              <w:t>IG 텐서 I ∈ ℝ^{L×d}에 대해, 각 토큰 i의 스칼라 중요도 a_i는</w:t>
              <w:br/>
              <w:t xml:space="preserve">  a_i = Σ_j I_{i,j}</w:t>
              <w:br/>
              <w:t>로 정의한다 (임베딩 차원 j에 대해 합산). a_i &gt; 0이면 score를 증가(낚시성 ↑)시키는 방향, a_i &lt; 0이면 score를 감소(낚시성 ↓)시키는 방향의 기여로 해석한다.</w:t>
            </w:r>
          </w:p>
        </w:tc>
      </w:tr>
      <w:tr>
        <w:tc>
          <w:tcPr>
            <w:tcW w:type="dxa" w:w="4320"/>
          </w:tcPr>
          <w:p>
            <w:r>
              <w:t>완전성(Completeness) 체크</w:t>
            </w:r>
          </w:p>
        </w:tc>
        <w:tc>
          <w:tcPr>
            <w:tcW w:type="dxa" w:w="4320"/>
          </w:tcPr>
          <w:p>
            <w:r>
              <w:t>Integrated Gradients의 성질상 Σ_i a_i는 이론적으로 score (logit(1)−logit(0))에 근접해야 한다.</w:t>
              <w:br/>
              <w:t>실제 구현에서도 기사별로 Σ_i a_i와 score의 차이가 작은지 확인해 sanity-check로 사용한다.</w:t>
            </w:r>
          </w:p>
        </w:tc>
      </w:tr>
    </w:tbl>
    <w:p/>
    <w:p>
      <w:pPr>
        <w:pStyle w:val="Heading2"/>
      </w:pPr>
      <w:r>
        <w:t>3. 기사 영역 필터링 및 단어 단위 설명</w:t>
      </w:r>
    </w:p>
    <w:p>
      <w:r>
        <w:rPr>
          <w:b/>
        </w:rPr>
        <w:t xml:space="preserve">요약: </w:t>
      </w:r>
      <w:r>
        <w:t>system/user 지시문 토큰까지 포함된 prefix 전체에서 IG를 계산하되, 설명 용도(XAI 표)에는 [본문] 이후 실제 기사 텍스트 구간에 해당하는 토큰만 사용하고, 이를 단어/구절(span) 단위로 집계해 사람이 읽기 좋은 설명을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기사 영역 선택</w:t>
            </w:r>
          </w:p>
        </w:tc>
        <w:tc>
          <w:tcPr>
            <w:tcW w:type="dxa" w:w="4320"/>
          </w:tcPr>
          <w:p>
            <w:r>
              <w:t>토큰 시퀀스를 디코딩한 running text에서 "[본문]" 이후부터 "이 기사가 낚시성이 강하면" 지시문이 시작되기 전까지를 기사 본문 영역으로 정의한다.</w:t>
              <w:br/>
              <w:t>이 구간에 해당하는 토큰만 XAI 설명에 포함하고, 나머지(system 프롬프트, 지시문 정의부)는 모델 내부에 영향을 줄 수는 있지만 리포트상 설명에서는 제외한다.</w:t>
            </w:r>
          </w:p>
        </w:tc>
      </w:tr>
      <w:tr>
        <w:tc>
          <w:tcPr>
            <w:tcW w:type="dxa" w:w="4320"/>
          </w:tcPr>
          <w:p>
            <w:r>
              <w:t>단어/구절(span) 집계</w:t>
            </w:r>
          </w:p>
        </w:tc>
        <w:tc>
          <w:tcPr>
            <w:tcW w:type="dxa" w:w="4320"/>
          </w:tcPr>
          <w:p>
            <w:r>
              <w:t>기사 영역 토큰 i의 디코딩 결과를 이어 붙여 단어 또는 짧은 구절 span을 구성하고, 같은 span에 속한 토큰들의 a_i를 합산해 span 중요도 s_k를 계산한다.</w:t>
              <w:br/>
              <w:t>정렬은 |s_k| 내림차순으로 수행하며, 부호는 score 증가(+) / 감소(−) 방향 정보를 제공한다.</w:t>
              <w:br/>
              <w:t>실제 표에서는 상위 K개(예: K=10~20) span을 나열해, 어떤 표현들이 낚시성 점수에 크게 기여하는지 보여준다.</w:t>
            </w:r>
          </w:p>
        </w:tc>
      </w:tr>
      <w:tr>
        <w:tc>
          <w:tcPr>
            <w:tcW w:type="dxa" w:w="4320"/>
          </w:tcPr>
          <w:p>
            <w:r>
              <w:t>Local / Global 활용</w:t>
            </w:r>
          </w:p>
        </w:tc>
        <w:tc>
          <w:tcPr>
            <w:tcW w:type="dxa" w:w="4320"/>
          </w:tcPr>
          <w:p>
            <w:r>
              <w:t>Local: 개별 기사에 대해 상위 span 리스트를 제시해, 해당 기사 점수의 근거를 설명.</w:t>
              <w:br/>
              <w:t>Global: 여러 기사 샘플에서 반복적으로 큰 |s_k|를 갖는 표현(예: "단독 공개", "최대 ~% 할인", "대학생된다", "캠퍼스 커플")을 집계해, 모델이 주로 의존하는 텍스트 패턴을 요약한다.</w:t>
            </w:r>
          </w:p>
        </w:tc>
      </w:tr>
    </w:tbl>
    <w:p/>
    <w:p>
      <w:pPr>
        <w:pStyle w:val="Heading2"/>
      </w:pPr>
      <w:r>
        <w:t>4. 구현 환경 및 한계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프레임워크 / 라이브러리</w:t>
            </w:r>
          </w:p>
        </w:tc>
        <w:tc>
          <w:tcPr>
            <w:tcW w:type="dxa" w:w="4320"/>
          </w:tcPr>
          <w:p>
            <w:r>
              <w:t>Python 3, PyTorch, HuggingFace Transformers (AutoModelForCausalLM, AutoTokenizer).</w:t>
              <w:br/>
              <w:t>모델 체크포인트: "skt/A.X-4.0-Light".</w:t>
            </w:r>
          </w:p>
        </w:tc>
      </w:tr>
      <w:tr>
        <w:tc>
          <w:tcPr>
            <w:tcW w:type="dxa" w:w="4320"/>
          </w:tcPr>
          <w:p>
            <w:r>
              <w:t>실행 환경</w:t>
            </w:r>
          </w:p>
        </w:tc>
        <w:tc>
          <w:tcPr>
            <w:tcW w:type="dxa" w:w="4320"/>
          </w:tcPr>
          <w:p>
            <w:r>
              <w:t>GPU: NVIDIA A100급 (예: Colab Pro/Pro+)</w:t>
              <w:br/>
              <w:t>dtype: GPU에서는 주로 bfloat16, 계산 안정성이 필요한 부분은 float32로 변환.</w:t>
              <w:br/>
              <w:t>배치 크기: 기사 단위 batch size = 1.</w:t>
            </w:r>
          </w:p>
        </w:tc>
      </w:tr>
      <w:tr>
        <w:tc>
          <w:tcPr>
            <w:tcW w:type="dxa" w:w="4320"/>
          </w:tcPr>
          <w:p>
            <w:r>
              <w:t>복잡도 / 비용</w:t>
            </w:r>
          </w:p>
        </w:tc>
        <w:tc>
          <w:tcPr>
            <w:tcW w:type="dxa" w:w="4320"/>
          </w:tcPr>
          <w:p>
            <w:r>
              <w:t>단순 gradient×input 대비 m_steps배의 비용이 든다.</w:t>
              <w:br/>
              <w:t>예: m_steps = 50일 때, 기사 하나당 forward ≈ 51회, backward ≈ 50회로, 순수 점수 계산 대비 약 50배 수준의 추가 비용. TRAITHON 산출물용 오프라인 분석에는 수용 가능한 수준.</w:t>
            </w:r>
          </w:p>
        </w:tc>
      </w:tr>
      <w:tr>
        <w:tc>
          <w:tcPr>
            <w:tcW w:type="dxa" w:w="4320"/>
          </w:tcPr>
          <w:p>
            <w:r>
              <w:t>한계 및 주의점</w:t>
            </w:r>
          </w:p>
        </w:tc>
        <w:tc>
          <w:tcPr>
            <w:tcW w:type="dxa" w:w="4320"/>
          </w:tcPr>
          <w:p>
            <w:r>
              <w:t>- IG는 baseline(0 임베딩) 선택에 따라 값이 일부 달라질 수 있으며, baseline 설계는 도메인에 따라 조정 가능함.</w:t>
              <w:br/>
              <w:t>- 설명은 local(해당 기사 주변) 근사이며, global 해석에는 여러 기사 샘플의 집계가 필요함.</w:t>
              <w:br/>
              <w:t>- 프롬프트 정의부(system/user 설명) 토큰에도 IG가 분포하므로, 리포트에서는 기사 본문 영역만 필터링하여 사용함.</w:t>
              <w:br/>
              <w:t>- 본 방식은 모델 파라미터를 변경하지 않고 inference 로그에서만 계산하는 post-hoc XAI이며, SHAP/LIME 등 Shapley 기반 방법보다 계산 비용이 낮고 LLM 프롬프트 구조를 보존하기 용이하다는 장점이 있음.</w:t>
            </w:r>
          </w:p>
        </w:tc>
      </w:tr>
      <w:tr>
        <w:tc>
          <w:tcPr>
            <w:tcW w:type="dxa" w:w="4320"/>
          </w:tcPr>
          <w:p>
            <w:r>
              <w:t>TRAITHON 산출물 활용</w:t>
            </w:r>
          </w:p>
        </w:tc>
        <w:tc>
          <w:tcPr>
            <w:tcW w:type="dxa" w:w="4320"/>
          </w:tcPr>
          <w:p>
            <w:r>
              <w:t>D4 "모델 설명 가능성 및 해석 가능성 지도"에서 XAI-TXT-CLICKBAIT 계열 항목의 Method(config), Global Signal, Local Case 설명에 공통으로 인용되는 기반 명세로 사용.</w:t>
              <w:br/>
              <w:t>기사별 IG 상위 단어/구절 리스트(.csv 또는 .pdf 캡처)를 Evidence(O)로 첨부하고, 본 문서를 XAI 방법론 공통 명세로 Evidence(B)/참고 문서로 첨부한다.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