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단기 드리프트(NLL) 임곗값·가드레일 보고서 (산출물용)</w:t>
      </w:r>
    </w:p>
    <w:p>
      <w:pPr>
        <w:jc w:val="center"/>
      </w:pPr>
      <w:r>
        <w:t>Adapter ON 기준 / Backtest: 2021-2022 복구 시간 데이터</w:t>
        <w:br/>
        <w:t>작성일: 2026-01-12</w:t>
      </w:r>
    </w:p>
    <w:p/>
    <w:p>
      <w:pPr>
        <w:pStyle w:val="Heading1"/>
      </w:pPr>
      <w:r>
        <w:t>1. 최종 결론(압축 버전)</w:t>
      </w:r>
    </w:p>
    <w:p>
      <w:r>
        <w:rPr>
          <w:b/>
        </w:rPr>
        <w:t xml:space="preserve">운영 임곗값(섹션별, mean_nll_deployed_on): </w:t>
      </w:r>
      <w:r>
        <w:t>EC 3.558751 / ET 3.909962 / GB 3.436861 / IS 3.527919 / LC 4.224508 / PO 3.693775 / SO 3.673025</w:t>
      </w:r>
    </w:p>
    <w:p>
      <w:r>
        <w:t>기사별 mean_nll_deployed_on &gt; T_mean_nll 이면 exceed=1로 카운트한다(PPL은 exp(NLL) 참고용).</w:t>
      </w:r>
    </w:p>
    <w:p>
      <w:r>
        <w:t>일 단위(권장: 섹션별 50개 샘플링)로 다음을 정의한다.</w:t>
      </w:r>
    </w:p>
    <w:p>
      <w:pPr>
        <w:pStyle w:val="ListBullet"/>
      </w:pPr>
      <w:r>
        <w:t>X1(d): 당일 50개 중 exceed 개수</w:t>
      </w:r>
    </w:p>
    <w:p>
      <w:pPr>
        <w:pStyle w:val="ListBullet"/>
      </w:pPr>
      <w:r>
        <w:t>X7(d)=Σ_{j=d-6..d} X1(j) (최근 7일=350개 초과 개수)</w:t>
      </w:r>
    </w:p>
    <w:p>
      <w:r>
        <w:t>상태 머신(가드레일):</w:t>
      </w:r>
    </w:p>
    <w:p>
      <w:pPr>
        <w:pStyle w:val="ListBullet"/>
      </w:pPr>
      <w:r>
        <w:t>WATCH: X7(d) ≥ k_pre</w:t>
      </w:r>
    </w:p>
    <w:p>
      <w:pPr>
        <w:pStyle w:val="ListBullet"/>
      </w:pPr>
      <w:r>
        <w:t>ALERT: WATCH 2일 연속 AND X1(d) ≥ 2</w:t>
      </w:r>
    </w:p>
    <w:p>
      <w:pPr>
        <w:pStyle w:val="ListBullet"/>
      </w:pPr>
      <w:r>
        <w:t>CLEAR: ALERT 이후 X7(d) &lt; k_pre 2일 연속</w:t>
      </w:r>
    </w:p>
    <w:p>
      <w:r>
        <w:t>k_pre: GB=6, SO=6 / EC·ET·IS·PO=7 / LC=8</w:t>
      </w:r>
    </w:p>
    <w:p>
      <w:r>
        <w:t>표본수 부족 예외(운영 안정화):</w:t>
      </w:r>
    </w:p>
    <w:p>
      <w:pPr>
        <w:pStyle w:val="ListBullet"/>
      </w:pPr>
      <w:r>
        <w:t>최근 7일 표본수 n7(d) &lt; 200이면 Insufficient Data로 판단 보류(로그만 기록).</w:t>
      </w:r>
    </w:p>
    <w:p>
      <w:pPr>
        <w:pStyle w:val="ListBullet"/>
      </w:pPr>
      <w:r>
        <w:t>(선택) 표본수 변동이 크면 X7~Binomial(n7, p_tail) 기반 동적 k_pre(d)로 오경보 예산(α=0.01) 유지.</w:t>
      </w:r>
    </w:p>
    <w:p>
      <w:pPr>
        <w:pStyle w:val="Heading1"/>
      </w:pPr>
      <w:r>
        <w:t>2. 왜 단기 드리프트는 NLL로 관리하는가</w:t>
      </w:r>
    </w:p>
    <w:p>
      <w:r>
        <w:t>단기 드리프트는 '짧은 기간에 입력 난이도/형식이 급변해 모델 출력이 불안정해지는 현상'을 빠르게 감지하는 것이 목적이다. mean NLL(negative log-likelihood)은 모델이 해당 입력을 얼마나 '낯설고 어렵게' 보는지(예측 불확실성/난이도 상승)를 기사 단위로 즉시 반영한다.</w:t>
      </w:r>
    </w:p>
    <w:p>
      <w:r>
        <w:t>NLL 사용의 장점:</w:t>
      </w:r>
    </w:p>
    <w:p>
      <w:pPr>
        <w:pStyle w:val="ListBullet"/>
      </w:pPr>
      <w:r>
        <w:t>기사 1건 단위로 계산 가능 → 실시간/근실시간 감지에 적합</w:t>
      </w:r>
    </w:p>
    <w:p>
      <w:pPr>
        <w:pStyle w:val="ListBullet"/>
      </w:pPr>
      <w:r>
        <w:t>희귀한 입력/공격(난독화, 포맷 깨짐 등)이 발생하면 꼬리(tail)로 바로 반영</w:t>
      </w:r>
    </w:p>
    <w:p>
      <w:pPr>
        <w:pStyle w:val="ListBullet"/>
      </w:pPr>
      <w:r>
        <w:t>섹션별로 분포가 달라 운영 임곗값을 분리하기 용이</w:t>
      </w:r>
    </w:p>
    <w:p>
      <w:pPr>
        <w:pStyle w:val="ListBullet"/>
      </w:pPr>
      <w:r>
        <w:t>모델(Adapter ON)과 동일 조건에서 계산되어 운영 일관성 확보</w:t>
      </w:r>
    </w:p>
    <w:p>
      <w:pPr>
        <w:pStyle w:val="Heading1"/>
      </w:pPr>
      <w:r>
        <w:t>3. 장기 드리프트(JSD)의 단기 감지 한계</w:t>
      </w:r>
    </w:p>
    <w:p>
      <w:r>
        <w:t>JSD(Jensen-Shannon Divergence)는 집단 분포(예: 단어/토큰 분포)가 장기적으로 바뀌는지를 보는 데 강점이 있으나, 단기 이상 감지에는 한계가 있다.</w:t>
      </w:r>
    </w:p>
    <w:p>
      <w:pPr>
        <w:pStyle w:val="ListBullet"/>
      </w:pPr>
      <w:r>
        <w:t>표본이 적거나(특히 LC/IS) 시간 버킷이 성기면 분포 추정이 불안정해 변동성이 커짐</w:t>
      </w:r>
    </w:p>
    <w:p>
      <w:pPr>
        <w:pStyle w:val="ListBullet"/>
      </w:pPr>
      <w:r>
        <w:t>희귀하지만 위험한 케이스(극단 꼬리)를 평균적 분포 거리로는 놓칠 수 있음</w:t>
      </w:r>
    </w:p>
    <w:p>
      <w:pPr>
        <w:pStyle w:val="ListBullet"/>
      </w:pPr>
      <w:r>
        <w:t>관측/집계 윈도우가 필요해 탐지 지연이 발생(즉시성 부족)</w:t>
      </w:r>
    </w:p>
    <w:p>
      <w:pPr>
        <w:pStyle w:val="ListBullet"/>
      </w:pPr>
      <w:r>
        <w:t>분포 변화가 곧바로 모델 성능 저하로 연결된다는 보장이 약해 운영 액션으로 연결이 어려움</w:t>
      </w:r>
    </w:p>
    <w:p>
      <w:pPr>
        <w:pStyle w:val="Heading1"/>
      </w:pPr>
      <w:r>
        <w:t>4. NLL 기반 위험 감지 및 임팩트 관리 방식</w:t>
      </w:r>
    </w:p>
    <w:p>
      <w:r>
        <w:t>4.1 지표 정의</w:t>
      </w:r>
    </w:p>
    <w:p>
      <w:pPr>
        <w:pStyle w:val="ListBullet"/>
      </w:pPr>
      <w:r>
        <w:t>mean_nll_deployed_on: Adapter ON 모델로 계산한 기사 단위 평균 NLL</w:t>
      </w:r>
    </w:p>
    <w:p>
      <w:pPr>
        <w:pStyle w:val="ListBullet"/>
      </w:pPr>
      <w:r>
        <w:t>exceed: mean_nll_deployed_on &gt; T_mean_nll 여부(0/1)</w:t>
      </w:r>
    </w:p>
    <w:p>
      <w:pPr>
        <w:pStyle w:val="ListBullet"/>
      </w:pPr>
      <w:r>
        <w:t>X1(d), X7(d): 일/7일 롤링 초과 개수(섹션별)</w:t>
      </w:r>
    </w:p>
    <w:p>
      <w:r>
        <w:t>4.2 운영 액션(요약)</w:t>
      </w:r>
    </w:p>
    <w:p>
      <w:pPr>
        <w:pStyle w:val="ListBullet"/>
      </w:pPr>
      <w:r>
        <w:t>WATCH: 샘플 점검(전처리 실패/길이 급증/특수문자/이슈성 키워드) + 담당자 알림</w:t>
      </w:r>
    </w:p>
    <w:p>
      <w:pPr>
        <w:pStyle w:val="ListBullet"/>
      </w:pPr>
      <w:r>
        <w:t>ALERT: 경고 표시 또는 점수 산출 일시 중단 + 원인분석/에스컬레이션</w:t>
      </w:r>
    </w:p>
    <w:p>
      <w:pPr>
        <w:pStyle w:val="ListBullet"/>
      </w:pPr>
      <w:r>
        <w:t>반복 ALERT: 레퍼런스 재구축 후 동일 절차로 임곗값 재산정(M=50, α=0.01)</w:t>
      </w:r>
    </w:p>
    <w:p>
      <w:pPr>
        <w:pStyle w:val="Heading1"/>
      </w:pPr>
      <w:r>
        <w:t>5. 임곗값 설정 방법론</w:t>
      </w:r>
    </w:p>
    <w:p>
      <w:r>
        <w:t>레퍼런스(검증셋)에서 섹션별 NLL 분포의 꼬리를 안정적으로 추정하기 위해 꼬리 최소 표본수 M=50을 고정한다. 각 섹션에서 NLL 상위 50개가 시작되는 경계값을 단일-기사 임곗값 T_mean_nll로 정의한다.</w:t>
      </w:r>
    </w:p>
    <w:p>
      <w:r>
        <w:t>운영에서는 1일 50개 샘플링, 7일 롤링(총 350개)을 가정하고, 정상(null)에서 X7 ~ Binomial(n_win=350, p_tail=M/n_ref)로 두어 오경보 예산 α_pre=0.01을 만족하는 최소 k_pre를 섹션별로 선택한다(정확 이항 계산).</w:t>
      </w:r>
    </w:p>
    <w:p>
      <w:r>
        <w:t>표본수 변동이 큰 환경에서는(선택) n7(d) 기반 동적 k_pre(d)로 확장 가능.</w:t>
      </w:r>
    </w:p>
    <w:p>
      <w:pPr>
        <w:pStyle w:val="Heading1"/>
      </w:pPr>
      <w:r>
        <w:t>6. 최종 결과(임곗값 및 가드레일 파라미터)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섹션</w:t>
            </w:r>
          </w:p>
        </w:tc>
        <w:tc>
          <w:tcPr>
            <w:tcW w:type="dxa" w:w="1728"/>
          </w:tcPr>
          <w:p>
            <w:r>
              <w:t>T_mean_nll</w:t>
            </w:r>
          </w:p>
        </w:tc>
        <w:tc>
          <w:tcPr>
            <w:tcW w:type="dxa" w:w="1728"/>
          </w:tcPr>
          <w:p>
            <w:r>
              <w:t>T_ppl(참고)</w:t>
            </w:r>
          </w:p>
        </w:tc>
        <w:tc>
          <w:tcPr>
            <w:tcW w:type="dxa" w:w="1728"/>
          </w:tcPr>
          <w:p>
            <w:r>
              <w:t>k_pre</w:t>
            </w:r>
          </w:p>
        </w:tc>
        <w:tc>
          <w:tcPr>
            <w:tcW w:type="dxa" w:w="1728"/>
          </w:tcPr>
          <w:p>
            <w:r>
              <w:t>p_tail</w:t>
            </w:r>
          </w:p>
        </w:tc>
      </w:tr>
      <w:tr>
        <w:tc>
          <w:tcPr>
            <w:tcW w:type="dxa" w:w="1728"/>
          </w:tcPr>
          <w:p>
            <w:r>
              <w:t>EC</w:t>
            </w:r>
          </w:p>
        </w:tc>
        <w:tc>
          <w:tcPr>
            <w:tcW w:type="dxa" w:w="1728"/>
          </w:tcPr>
          <w:p>
            <w:r>
              <w:t>3.558751</w:t>
            </w:r>
          </w:p>
        </w:tc>
        <w:tc>
          <w:tcPr>
            <w:tcW w:type="dxa" w:w="1728"/>
          </w:tcPr>
          <w:p>
            <w:r>
              <w:t>35.119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0.005602</w:t>
            </w:r>
          </w:p>
        </w:tc>
      </w:tr>
      <w:tr>
        <w:tc>
          <w:tcPr>
            <w:tcW w:type="dxa" w:w="1728"/>
          </w:tcPr>
          <w:p>
            <w:r>
              <w:t>ET</w:t>
            </w:r>
          </w:p>
        </w:tc>
        <w:tc>
          <w:tcPr>
            <w:tcW w:type="dxa" w:w="1728"/>
          </w:tcPr>
          <w:p>
            <w:r>
              <w:t>3.909962</w:t>
            </w:r>
          </w:p>
        </w:tc>
        <w:tc>
          <w:tcPr>
            <w:tcW w:type="dxa" w:w="1728"/>
          </w:tcPr>
          <w:p>
            <w:r>
              <w:t>49.897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0.006385</w:t>
            </w:r>
          </w:p>
        </w:tc>
      </w:tr>
      <w:tr>
        <w:tc>
          <w:tcPr>
            <w:tcW w:type="dxa" w:w="1728"/>
          </w:tcPr>
          <w:p>
            <w:r>
              <w:t>GB</w:t>
            </w:r>
          </w:p>
        </w:tc>
        <w:tc>
          <w:tcPr>
            <w:tcW w:type="dxa" w:w="1728"/>
          </w:tcPr>
          <w:p>
            <w:r>
              <w:t>3.436861</w:t>
            </w:r>
          </w:p>
        </w:tc>
        <w:tc>
          <w:tcPr>
            <w:tcW w:type="dxa" w:w="1728"/>
          </w:tcPr>
          <w:p>
            <w:r>
              <w:t>31.089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0.005096</w:t>
            </w:r>
          </w:p>
        </w:tc>
      </w:tr>
      <w:tr>
        <w:tc>
          <w:tcPr>
            <w:tcW w:type="dxa" w:w="1728"/>
          </w:tcPr>
          <w:p>
            <w:r>
              <w:t>IS</w:t>
            </w:r>
          </w:p>
        </w:tc>
        <w:tc>
          <w:tcPr>
            <w:tcW w:type="dxa" w:w="1728"/>
          </w:tcPr>
          <w:p>
            <w:r>
              <w:t>3.527919</w:t>
            </w:r>
          </w:p>
        </w:tc>
        <w:tc>
          <w:tcPr>
            <w:tcW w:type="dxa" w:w="1728"/>
          </w:tcPr>
          <w:p>
            <w:r>
              <w:t>34.053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0.005706</w:t>
            </w:r>
          </w:p>
        </w:tc>
      </w:tr>
      <w:tr>
        <w:tc>
          <w:tcPr>
            <w:tcW w:type="dxa" w:w="1728"/>
          </w:tcPr>
          <w:p>
            <w:r>
              <w:t>LC</w:t>
            </w:r>
          </w:p>
        </w:tc>
        <w:tc>
          <w:tcPr>
            <w:tcW w:type="dxa" w:w="1728"/>
          </w:tcPr>
          <w:p>
            <w:r>
              <w:t>4.224508</w:t>
            </w:r>
          </w:p>
        </w:tc>
        <w:tc>
          <w:tcPr>
            <w:tcW w:type="dxa" w:w="1728"/>
          </w:tcPr>
          <w:p>
            <w:r>
              <w:t>68.341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0.007263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3.693775</w:t>
            </w:r>
          </w:p>
        </w:tc>
        <w:tc>
          <w:tcPr>
            <w:tcW w:type="dxa" w:w="1728"/>
          </w:tcPr>
          <w:p>
            <w:r>
              <w:t>40.196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0.005839</w:t>
            </w:r>
          </w:p>
        </w:tc>
      </w:tr>
      <w:tr>
        <w:tc>
          <w:tcPr>
            <w:tcW w:type="dxa" w:w="1728"/>
          </w:tcPr>
          <w:p>
            <w:r>
              <w:t>SO</w:t>
            </w:r>
          </w:p>
        </w:tc>
        <w:tc>
          <w:tcPr>
            <w:tcW w:type="dxa" w:w="1728"/>
          </w:tcPr>
          <w:p>
            <w:r>
              <w:t>3.673025</w:t>
            </w:r>
          </w:p>
        </w:tc>
        <w:tc>
          <w:tcPr>
            <w:tcW w:type="dxa" w:w="1728"/>
          </w:tcPr>
          <w:p>
            <w:r>
              <w:t>39.371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0.003979</w:t>
            </w:r>
          </w:p>
        </w:tc>
      </w:tr>
    </w:tbl>
    <w:p>
      <w:r>
        <w:t>가드레일 상태 머신은 1절(압축 버전)과 동일하게 운영한다.</w:t>
      </w:r>
    </w:p>
    <w:p>
      <w:pPr>
        <w:pStyle w:val="Heading1"/>
      </w:pPr>
      <w:r>
        <w:t>7. 시간 복구 데이터 기반 Backtest 요약(2021-2022)</w:t>
      </w:r>
    </w:p>
    <w:p>
      <w:r>
        <w:t>복구된 시간정보로 2021-2022 구간을 주/월 단위로 집계하여 중앙값·상위 분위수(Q90/Q95/Q99)와 표본수(Count)를 확인하였다. 다수 섹션에서 Q90/Q95는 임곗값(T)을 넘지 않았고, Q99≥T 교차는 일부 기간에 제한적으로 관측되었다.</w:t>
      </w:r>
    </w:p>
    <w:p>
      <w:r>
        <w:t>주 단위 요약(2021-2022)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섹션</w:t>
            </w:r>
          </w:p>
        </w:tc>
        <w:tc>
          <w:tcPr>
            <w:tcW w:type="dxa" w:w="1728"/>
          </w:tcPr>
          <w:p>
            <w:r>
              <w:t>주 수</w:t>
            </w:r>
          </w:p>
        </w:tc>
        <w:tc>
          <w:tcPr>
            <w:tcW w:type="dxa" w:w="1728"/>
          </w:tcPr>
          <w:p>
            <w:r>
              <w:t>주당 Count(중앙값)</w:t>
            </w:r>
          </w:p>
        </w:tc>
        <w:tc>
          <w:tcPr>
            <w:tcW w:type="dxa" w:w="1728"/>
          </w:tcPr>
          <w:p>
            <w:r>
              <w:t>Q99≥T 주 수</w:t>
            </w:r>
          </w:p>
        </w:tc>
        <w:tc>
          <w:tcPr>
            <w:tcW w:type="dxa" w:w="1728"/>
          </w:tcPr>
          <w:p>
            <w:r>
              <w:t>비율</w:t>
            </w:r>
          </w:p>
        </w:tc>
      </w:tr>
      <w:tr>
        <w:tc>
          <w:tcPr>
            <w:tcW w:type="dxa" w:w="1728"/>
          </w:tcPr>
          <w:p>
            <w:r>
              <w:t>EC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0.060</w:t>
            </w:r>
          </w:p>
        </w:tc>
      </w:tr>
      <w:tr>
        <w:tc>
          <w:tcPr>
            <w:tcW w:type="dxa" w:w="1728"/>
          </w:tcPr>
          <w:p>
            <w:r>
              <w:t>ET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0.125</w:t>
            </w:r>
          </w:p>
        </w:tc>
      </w:tr>
      <w:tr>
        <w:tc>
          <w:tcPr>
            <w:tcW w:type="dxa" w:w="1728"/>
          </w:tcPr>
          <w:p>
            <w:r>
              <w:t>GB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0.085</w:t>
            </w:r>
          </w:p>
        </w:tc>
      </w:tr>
      <w:tr>
        <w:tc>
          <w:tcPr>
            <w:tcW w:type="dxa" w:w="1728"/>
          </w:tcPr>
          <w:p>
            <w:r>
              <w:t>IS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0.048</w:t>
            </w:r>
          </w:p>
        </w:tc>
      </w:tr>
      <w:tr>
        <w:tc>
          <w:tcPr>
            <w:tcW w:type="dxa" w:w="1728"/>
          </w:tcPr>
          <w:p>
            <w:r>
              <w:t>LC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0.056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0.060</w:t>
            </w:r>
          </w:p>
        </w:tc>
      </w:tr>
      <w:tr>
        <w:tc>
          <w:tcPr>
            <w:tcW w:type="dxa" w:w="1728"/>
          </w:tcPr>
          <w:p>
            <w:r>
              <w:t>SO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0.024</w:t>
            </w:r>
          </w:p>
        </w:tc>
      </w:tr>
    </w:tbl>
    <w:p>
      <w:r>
        <w:t>월 단위 요약(2021-2022)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섹션</w:t>
            </w:r>
          </w:p>
        </w:tc>
        <w:tc>
          <w:tcPr>
            <w:tcW w:type="dxa" w:w="1728"/>
          </w:tcPr>
          <w:p>
            <w:r>
              <w:t>월 수</w:t>
            </w:r>
          </w:p>
        </w:tc>
        <w:tc>
          <w:tcPr>
            <w:tcW w:type="dxa" w:w="1728"/>
          </w:tcPr>
          <w:p>
            <w:r>
              <w:t>월당 Count(중앙값)</w:t>
            </w:r>
          </w:p>
        </w:tc>
        <w:tc>
          <w:tcPr>
            <w:tcW w:type="dxa" w:w="1728"/>
          </w:tcPr>
          <w:p>
            <w:r>
              <w:t>Q99≥T 월 수</w:t>
            </w:r>
          </w:p>
        </w:tc>
        <w:tc>
          <w:tcPr>
            <w:tcW w:type="dxa" w:w="1728"/>
          </w:tcPr>
          <w:p>
            <w:r>
              <w:t>비율</w:t>
            </w:r>
          </w:p>
        </w:tc>
      </w:tr>
      <w:tr>
        <w:tc>
          <w:tcPr>
            <w:tcW w:type="dxa" w:w="1728"/>
          </w:tcPr>
          <w:p>
            <w:r>
              <w:t>EC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381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0.050</w:t>
            </w:r>
          </w:p>
        </w:tc>
      </w:tr>
      <w:tr>
        <w:tc>
          <w:tcPr>
            <w:tcW w:type="dxa" w:w="1728"/>
          </w:tcPr>
          <w:p>
            <w:r>
              <w:t>ET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266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</w:tr>
      <w:tr>
        <w:tc>
          <w:tcPr>
            <w:tcW w:type="dxa" w:w="1728"/>
          </w:tcPr>
          <w:p>
            <w:r>
              <w:t>GB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0.105</w:t>
            </w:r>
          </w:p>
        </w:tc>
      </w:tr>
      <w:tr>
        <w:tc>
          <w:tcPr>
            <w:tcW w:type="dxa" w:w="1728"/>
          </w:tcPr>
          <w:p>
            <w:r>
              <w:t>IS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</w:tr>
      <w:tr>
        <w:tc>
          <w:tcPr>
            <w:tcW w:type="dxa" w:w="1728"/>
          </w:tcPr>
          <w:p>
            <w:r>
              <w:t>LC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0.211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</w:tr>
      <w:tr>
        <w:tc>
          <w:tcPr>
            <w:tcW w:type="dxa" w:w="1728"/>
          </w:tcPr>
          <w:p>
            <w:r>
              <w:t>SO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</w:tr>
    </w:tbl>
    <w:p>
      <w:r>
        <w:t>Q99≥T가 관측된 월(이벤트 후보)</w:t>
      </w:r>
    </w:p>
    <w:p>
      <w:pPr>
        <w:pStyle w:val="ListBullet"/>
      </w:pPr>
      <w:r>
        <w:t>EC: 2022-06</w:t>
      </w:r>
    </w:p>
    <w:p>
      <w:pPr>
        <w:pStyle w:val="ListBullet"/>
      </w:pPr>
      <w:r>
        <w:t>GB: 2021-03, 2022-02</w:t>
      </w:r>
    </w:p>
    <w:p>
      <w:pPr>
        <w:pStyle w:val="ListBullet"/>
      </w:pPr>
      <w:r>
        <w:t>IS: 2021-04, 2021-09</w:t>
      </w:r>
    </w:p>
    <w:p>
      <w:pPr>
        <w:pStyle w:val="ListBullet"/>
      </w:pPr>
      <w:r>
        <w:t>LC: 2021-05, 2021-06, 2021-07, 2021-11</w:t>
      </w:r>
    </w:p>
    <w:p>
      <w:pPr>
        <w:pStyle w:val="Heading1"/>
      </w:pPr>
      <w:r>
        <w:t>8. 주요 시각화(근거)</w:t>
      </w:r>
    </w:p>
    <w:p>
      <w:r>
        <w:t>주/월 단위 Q99 교차 비율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q99_cross_fra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1. 2021-2022 주 단위에서 Q99가 임곗값(T)을 넘는 비율(섹션별).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q99_cross_fr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2. 2021-2022 월 단위에서 Q99가 임곗값(T)을 넘는 비율(섹션별).</w:t>
      </w:r>
    </w:p>
    <w:p>
      <w:pPr>
        <w:pStyle w:val="Heading1"/>
      </w:pPr>
      <w:r>
        <w:t>부록 A. 섹션별 NLL 추이 그래프(2021-2022)</w:t>
      </w:r>
    </w:p>
    <w:p>
      <w:r>
        <w:t>각 섹션의 중앙값/상위 분위수(Q90/Q99)와 표본수(Count)를 함께 표시한 결과.</w:t>
      </w:r>
    </w:p>
    <w:p>
      <w:r>
        <w:t>섹션: EC</w:t>
      </w:r>
    </w:p>
    <w:p>
      <w:r>
        <w:drawing>
          <wp:inline xmlns:a="http://schemas.openxmlformats.org/drawingml/2006/main" xmlns:pic="http://schemas.openxmlformats.org/drawingml/2006/picture">
            <wp:extent cx="6035040" cy="29945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l_trend_21_22_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섹션: ET</w:t>
      </w:r>
    </w:p>
    <w:p>
      <w:r>
        <w:drawing>
          <wp:inline xmlns:a="http://schemas.openxmlformats.org/drawingml/2006/main" xmlns:pic="http://schemas.openxmlformats.org/drawingml/2006/picture">
            <wp:extent cx="6035040" cy="29945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l_trend_21_22_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섹션: GB</w:t>
      </w:r>
    </w:p>
    <w:p>
      <w:r>
        <w:drawing>
          <wp:inline xmlns:a="http://schemas.openxmlformats.org/drawingml/2006/main" xmlns:pic="http://schemas.openxmlformats.org/drawingml/2006/picture">
            <wp:extent cx="6035040" cy="29945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l_trend_21_22_G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섹션: IS</w:t>
      </w:r>
    </w:p>
    <w:p>
      <w:r>
        <w:drawing>
          <wp:inline xmlns:a="http://schemas.openxmlformats.org/drawingml/2006/main" xmlns:pic="http://schemas.openxmlformats.org/drawingml/2006/picture">
            <wp:extent cx="6035040" cy="29945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l_trend_21_22_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섹션: LC</w:t>
      </w:r>
    </w:p>
    <w:p>
      <w:r>
        <w:drawing>
          <wp:inline xmlns:a="http://schemas.openxmlformats.org/drawingml/2006/main" xmlns:pic="http://schemas.openxmlformats.org/drawingml/2006/picture">
            <wp:extent cx="6035040" cy="29945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l_trend_21_22_L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섹션: PO</w:t>
      </w:r>
    </w:p>
    <w:p>
      <w:r>
        <w:drawing>
          <wp:inline xmlns:a="http://schemas.openxmlformats.org/drawingml/2006/main" xmlns:pic="http://schemas.openxmlformats.org/drawingml/2006/picture">
            <wp:extent cx="6035040" cy="29945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l_trend_21_22_P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섹션: SO</w:t>
      </w:r>
    </w:p>
    <w:p>
      <w:r>
        <w:drawing>
          <wp:inline xmlns:a="http://schemas.openxmlformats.org/drawingml/2006/main" xmlns:pic="http://schemas.openxmlformats.org/drawingml/2006/picture">
            <wp:extent cx="6035040" cy="29945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l_trend_21_22_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부록 B. 재현 방법(코드 및 증거 파일)</w:t>
      </w:r>
    </w:p>
    <w:p>
      <w:r>
        <w:t>증거 파일(evidence CSV):</w:t>
      </w:r>
    </w:p>
    <w:p>
      <w:pPr>
        <w:pStyle w:val="ListBullet"/>
      </w:pPr>
      <w:r>
        <w:t>drift_thresholds_M50_adapterON_exact.csv</w:t>
      </w:r>
    </w:p>
    <w:p>
      <w:pPr>
        <w:pStyle w:val="ListBullet"/>
      </w:pPr>
      <w:r>
        <w:t>weekly_nll_by_section_code.csv</w:t>
      </w:r>
    </w:p>
    <w:p>
      <w:pPr>
        <w:pStyle w:val="ListBullet"/>
      </w:pPr>
      <w:r>
        <w:t>monthly_stats_2021_2022.csv</w:t>
      </w:r>
    </w:p>
    <w:p>
      <w:r>
        <w:t>재현 코드:</w:t>
      </w:r>
    </w:p>
    <w:p>
      <w:pPr>
        <w:pStyle w:val="ListBullet"/>
      </w:pPr>
      <w:r>
        <w:t>reproduce_short_drift_backtest.py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