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sdt>
        <w:sdtPr>
          <w:id w:val="-158551424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기사 텍스트 난독화 실험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sdt>
        <w:sdtPr>
          <w:id w:val="-161864010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실험 목적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sdt>
        <w:sdtPr>
          <w:id w:val="88178134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본 실험은 기사 텍스트에 의도적인 유니코드 변형(난독화)을 가했을 때, 모델의 낚시성 판정 점수가 교란되는 정도를 측정하고 이를 탐지하기 위한 지표의 유효성을 검증한다. 특히, 초기 설계된 5가지 공격군(F1~F4) 중 실서비스에서 기술적으로 탐지 가능한 핵심 지표를 식별하고 운영 임계값을 도출한다.</w:t>
          </w:r>
        </w:sdtContent>
      </w:sdt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sdt>
        <w:sdtPr>
          <w:id w:val="85161027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지표 정의</w:t>
            <w:br w:type="textWrapping"/>
          </w:r>
        </w:sdtContent>
      </w:sdt>
      <w:sdt>
        <w:sdtPr>
          <w:id w:val="-94518061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본 실험은 난독화 공격에 의한 토크나이저 분절 및 모델 엔트로피 변화를 정량화하기 위해 아래 지표를 정의했다.</w:t>
          </w:r>
        </w:sdtContent>
      </w:sdt>
    </w:p>
    <w:p w:rsidR="00000000" w:rsidDel="00000000" w:rsidP="00000000" w:rsidRDefault="00000000" w:rsidRPr="00000000" w14:paraId="00000006">
      <w:pPr>
        <w:ind w:left="720" w:firstLine="0"/>
        <w:rPr>
          <w:rFonts w:ascii="Arimo" w:cs="Arimo" w:eastAsia="Arimo" w:hAnsi="Arimo"/>
        </w:rPr>
      </w:pPr>
      <w:sdt>
        <w:sdtPr>
          <w:id w:val="201203722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 PPL (Perplexity): 언어 모델이 주어진 문장에 대해 측정하는 확률적 복잡도.</w:t>
          </w:r>
        </w:sdtContent>
      </w:sdt>
    </w:p>
    <w:p w:rsidR="00000000" w:rsidDel="00000000" w:rsidP="00000000" w:rsidRDefault="00000000" w:rsidRPr="00000000" w14:paraId="00000007">
      <w:pPr>
        <w:ind w:left="720" w:firstLine="0"/>
        <w:jc w:val="center"/>
        <w:rPr>
          <w:rFonts w:ascii="Arimo" w:cs="Arimo" w:eastAsia="Arimo" w:hAnsi="Arimo"/>
        </w:rPr>
      </w:pPr>
      <m:oMath>
        <m:r>
          <w:rPr>
            <w:rFonts w:ascii="Arimo" w:cs="Arimo" w:eastAsia="Arimo" w:hAnsi="Arimo"/>
          </w:rPr>
          <m:t xml:space="preserve">PPL=exp (−</m:t>
        </m:r>
        <m:f>
          <m:fPr>
            <m:ctrlPr>
              <w:rPr>
                <w:rFonts w:ascii="Arimo" w:cs="Arimo" w:eastAsia="Arimo" w:hAnsi="Arimo"/>
              </w:rPr>
            </m:ctrlPr>
          </m:fPr>
          <m:num>
            <m:r>
              <w:rPr>
                <w:rFonts w:ascii="Arimo" w:cs="Arimo" w:eastAsia="Arimo" w:hAnsi="Arimo"/>
              </w:rPr>
              <m:t xml:space="preserve">1</m:t>
            </m:r>
          </m:num>
          <m:den>
            <m:r>
              <w:rPr>
                <w:rFonts w:ascii="Arimo" w:cs="Arimo" w:eastAsia="Arimo" w:hAnsi="Arimo"/>
              </w:rPr>
              <m:t xml:space="preserve">N</m:t>
            </m:r>
          </m:den>
        </m:f>
        <m:nary>
          <m:naryPr>
            <m:chr m:val="∑"/>
            <m:ctrlPr>
              <w:rPr>
                <w:rFonts w:ascii="Arimo" w:cs="Arimo" w:eastAsia="Arimo" w:hAnsi="Arimo"/>
              </w:rPr>
            </m:ctrlPr>
          </m:naryPr>
          <m:sub>
            <m:r>
              <w:rPr>
                <w:rFonts w:ascii="Arimo" w:cs="Arimo" w:eastAsia="Arimo" w:hAnsi="Arimo"/>
              </w:rPr>
              <m:t xml:space="preserve">i=1</m:t>
            </m:r>
          </m:sub>
          <m:sup>
            <m:r>
              <w:rPr>
                <w:rFonts w:ascii="Arimo" w:cs="Arimo" w:eastAsia="Arimo" w:hAnsi="Arimo"/>
              </w:rPr>
              <m:t xml:space="preserve">N</m:t>
            </m:r>
          </m:sup>
        </m:nary>
        <m:r>
          <w:rPr>
            <w:rFonts w:ascii="Arimo" w:cs="Arimo" w:eastAsia="Arimo" w:hAnsi="Arimo"/>
          </w:rPr>
          <m:t xml:space="preserve">log P(</m:t>
        </m:r>
        <m:sSub>
          <m:sSubPr>
            <m:ctrlPr>
              <w:rPr>
                <w:rFonts w:ascii="Arimo" w:cs="Arimo" w:eastAsia="Arimo" w:hAnsi="Arimo"/>
              </w:rPr>
            </m:ctrlPr>
          </m:sSubPr>
          <m:e>
            <m:sSub>
              <m:sSubPr>
                <m:ctrlPr>
                  <w:rPr>
                    <w:rFonts w:ascii="Arimo" w:cs="Arimo" w:eastAsia="Arimo" w:hAnsi="Arimo"/>
                  </w:rPr>
                </m:ctrlPr>
              </m:sSubPr>
              <m:e>
                <m:r>
                  <w:rPr>
                    <w:rFonts w:ascii="Arimo" w:cs="Arimo" w:eastAsia="Arimo" w:hAnsi="Arimo"/>
                  </w:rPr>
                  <m:t xml:space="preserve">w</m:t>
                </m:r>
              </m:e>
              <m:sub>
                <m:r>
                  <w:rPr>
                    <w:rFonts w:ascii="Arimo" w:cs="Arimo" w:eastAsia="Arimo" w:hAnsi="Arimo"/>
                  </w:rPr>
                  <m:t xml:space="preserve">i</m:t>
                </m:r>
              </m:sub>
            </m:sSub>
            <m:r>
              <w:rPr>
                <w:rFonts w:ascii="Arimo" w:cs="Arimo" w:eastAsia="Arimo" w:hAnsi="Arimo"/>
              </w:rPr>
              <m:t xml:space="preserve">|</m:t>
            </m:r>
            <m:sSub>
              <m:sSubPr>
                <m:ctrlPr>
                  <w:rPr>
                    <w:rFonts w:ascii="Arimo" w:cs="Arimo" w:eastAsia="Arimo" w:hAnsi="Arimo"/>
                  </w:rPr>
                </m:ctrlPr>
              </m:sSubPr>
              <m:e>
                <m:r>
                  <w:rPr>
                    <w:rFonts w:ascii="Arimo" w:cs="Arimo" w:eastAsia="Arimo" w:hAnsi="Arimo"/>
                  </w:rPr>
                  <m:t xml:space="preserve">w</m:t>
                </m:r>
              </m:e>
              <m:sub>
                <m:r>
                  <w:rPr>
                    <w:rFonts w:ascii="Arimo" w:cs="Arimo" w:eastAsia="Arimo" w:hAnsi="Arimo"/>
                  </w:rPr>
                  <m:t xml:space="preserve">&lt;i</m:t>
                </m:r>
              </m:sub>
            </m:sSub>
            <m:r>
              <w:rPr>
                <w:rFonts w:ascii="Arimo" w:cs="Arimo" w:eastAsia="Arimo" w:hAnsi="Arimo"/>
              </w:rPr>
              <m:t xml:space="preserve">)</m:t>
            </m:r>
          </m:e>
          <m:sub/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jc w:val="center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rFonts w:ascii="Arimo" w:cs="Arimo" w:eastAsia="Arimo" w:hAnsi="Arimo"/>
        </w:rPr>
      </w:pPr>
      <w:sdt>
        <w:sdtPr>
          <w:id w:val="117676579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 TPC Ratio (Tokens Per Character Ratio): 전체 토큰 수를 전체 문자 수로 나눈 값</w:t>
          </w:r>
        </w:sdtContent>
      </w:sdt>
    </w:p>
    <w:p w:rsidR="00000000" w:rsidDel="00000000" w:rsidP="00000000" w:rsidRDefault="00000000" w:rsidRPr="00000000" w14:paraId="0000000A">
      <w:pPr>
        <w:ind w:left="720" w:firstLine="0"/>
        <w:jc w:val="center"/>
        <w:rPr>
          <w:rFonts w:ascii="Arimo" w:cs="Arimo" w:eastAsia="Arimo" w:hAnsi="Arimo"/>
        </w:rPr>
      </w:pPr>
      <m:oMath>
        <m:r>
          <w:rPr>
            <w:rFonts w:ascii="Arimo" w:cs="Arimo" w:eastAsia="Arimo" w:hAnsi="Arimo"/>
          </w:rPr>
          <m:t xml:space="preserve">TPC = </m:t>
        </m:r>
        <m:f>
          <m:fPr>
            <m:ctrlPr>
              <w:rPr>
                <w:rFonts w:ascii="Arimo" w:cs="Arimo" w:eastAsia="Arimo" w:hAnsi="Arimo"/>
              </w:rPr>
            </m:ctrlPr>
          </m:fPr>
          <m:num>
            <m:r>
              <w:rPr>
                <w:rFonts w:ascii="Arimo" w:cs="Arimo" w:eastAsia="Arimo" w:hAnsi="Arimo"/>
              </w:rPr>
              <m:t xml:space="preserve">Total Number of Tokens</m:t>
            </m:r>
          </m:num>
          <m:den>
            <m:r>
              <w:rPr>
                <w:rFonts w:ascii="Arimo" w:cs="Arimo" w:eastAsia="Arimo" w:hAnsi="Arimo"/>
              </w:rPr>
              <m:t xml:space="preserve">Total Number of Characters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jc w:val="center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rFonts w:ascii="Arimo" w:cs="Arimo" w:eastAsia="Arimo" w:hAnsi="Arimo"/>
        </w:rPr>
      </w:pPr>
      <w:sdt>
        <w:sdtPr>
          <w:id w:val="-1357840071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 Gain_Tok (Cleanup Token Gain) : 특정 유니코드 속성(Cf, Mn 등)을 제거하는 클린업 파이프라인 적용 전후의 토큰 수 차이. 텍스트의 가시적 정보는 유지하되 토크나이저의 연산 비용 및 분절을 유도하는 '비정보성 성분'의 개입량을 의미.</w:t>
          </w:r>
        </w:sdtContent>
      </w:sdt>
    </w:p>
    <w:p w:rsidR="00000000" w:rsidDel="00000000" w:rsidP="00000000" w:rsidRDefault="00000000" w:rsidRPr="00000000" w14:paraId="0000000D">
      <w:pPr>
        <w:ind w:left="720" w:firstLine="0"/>
        <w:jc w:val="center"/>
        <w:rPr>
          <w:rFonts w:ascii="Arimo" w:cs="Arimo" w:eastAsia="Arimo" w:hAnsi="Arimo"/>
        </w:rPr>
      </w:pPr>
      <m:oMath>
        <m:r>
          <w:rPr>
            <w:rFonts w:ascii="Arimo" w:cs="Arimo" w:eastAsia="Arimo" w:hAnsi="Arimo"/>
          </w:rPr>
          <m:t xml:space="preserve">Gain_Tok=Count(</m:t>
        </m:r>
        <m:sSub>
          <m:sSubPr>
            <m:ctrlPr>
              <w:rPr>
                <w:rFonts w:ascii="Arimo" w:cs="Arimo" w:eastAsia="Arimo" w:hAnsi="Arimo"/>
              </w:rPr>
            </m:ctrlPr>
          </m:sSubPr>
          <m:e>
            <m:r>
              <w:rPr>
                <w:rFonts w:ascii="Arimo" w:cs="Arimo" w:eastAsia="Arimo" w:hAnsi="Arimo"/>
              </w:rPr>
              <m:t xml:space="preserve">Tokens</m:t>
            </m:r>
          </m:e>
          <m:sub>
            <m:r>
              <w:rPr>
                <w:rFonts w:ascii="Arimo" w:cs="Arimo" w:eastAsia="Arimo" w:hAnsi="Arimo"/>
              </w:rPr>
              <m:t xml:space="preserve">raw</m:t>
            </m:r>
          </m:sub>
        </m:sSub>
        <m:r>
          <w:rPr>
            <w:rFonts w:ascii="Arimo" w:cs="Arimo" w:eastAsia="Arimo" w:hAnsi="Arimo"/>
          </w:rPr>
          <m:t xml:space="preserve">​)−Count(</m:t>
        </m:r>
        <m:sSub>
          <m:sSubPr>
            <m:ctrlPr>
              <w:rPr>
                <w:rFonts w:ascii="Arimo" w:cs="Arimo" w:eastAsia="Arimo" w:hAnsi="Arimo"/>
              </w:rPr>
            </m:ctrlPr>
          </m:sSubPr>
          <m:e>
            <m:r>
              <w:rPr>
                <w:rFonts w:ascii="Arimo" w:cs="Arimo" w:eastAsia="Arimo" w:hAnsi="Arimo"/>
              </w:rPr>
              <m:t xml:space="preserve">Tokens</m:t>
            </m:r>
          </m:e>
          <m:sub>
            <m:r>
              <w:rPr>
                <w:rFonts w:ascii="Arimo" w:cs="Arimo" w:eastAsia="Arimo" w:hAnsi="Arimo"/>
              </w:rPr>
              <m:t xml:space="preserve">cleaned</m:t>
            </m:r>
          </m:sub>
        </m:sSub>
        <m:r>
          <w:rPr>
            <w:rFonts w:ascii="Arimo" w:cs="Arimo" w:eastAsia="Arimo" w:hAnsi="Arimo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jc w:val="left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rFonts w:ascii="Arimo" w:cs="Arimo" w:eastAsia="Arimo" w:hAnsi="Arimo"/>
        </w:rPr>
      </w:pPr>
      <w:sdt>
        <w:sdtPr>
          <w:id w:val="9397207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 MS Delta (Mixed Script Delta): 텍스트 내 이종 스크립트(한글, 라틴, 숫자 이외의 Unicode Script) 포함 비율의 변화량. 동형이의어(Homoglyph)를 이용한 문자 치환 공격 시 발생하는 스크립트 분포의 편차를 측정</w:t>
          </w:r>
        </w:sdtContent>
      </w:sdt>
    </w:p>
    <w:p w:rsidR="00000000" w:rsidDel="00000000" w:rsidP="00000000" w:rsidRDefault="00000000" w:rsidRPr="00000000" w14:paraId="00000010">
      <w:pPr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Arimo" w:cs="Arimo" w:eastAsia="Arimo" w:hAnsi="Arimo"/>
          <w:b w:val="1"/>
          <w:bCs w:val="1"/>
          <w:sz w:val="24"/>
          <w:szCs w:val="24"/>
        </w:rPr>
      </w:pPr>
      <w:sdt>
        <w:sdtPr>
          <w:id w:val="-1106208117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공격군 정의</w:t>
          </w:r>
        </w:sdtContent>
      </w:sdt>
    </w:p>
    <w:p w:rsidR="00000000" w:rsidDel="00000000" w:rsidP="00000000" w:rsidRDefault="00000000" w:rsidRPr="00000000" w14:paraId="00000012">
      <w:pPr>
        <w:ind w:left="0" w:firstLine="0"/>
        <w:rPr/>
      </w:pPr>
      <w:sdt>
        <w:sdtPr>
          <w:id w:val="206819142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ab/>
            <w:t xml:space="preserve">실험은 아래와 같이 4가지 공격군을 정의하여 수행했다.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ab/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2625"/>
        <w:gridCol w:w="4710"/>
        <w:tblGridChange w:id="0">
          <w:tblGrid>
            <w:gridCol w:w="1455"/>
            <w:gridCol w:w="2625"/>
            <w:gridCol w:w="47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  <w:sz w:val="18"/>
                <w:szCs w:val="18"/>
              </w:rPr>
            </w:pPr>
            <w:sdt>
              <w:sdtPr>
                <w:id w:val="1181368252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1f1f"/>
                    <w:sz w:val="18"/>
                    <w:szCs w:val="18"/>
                    <w:rtl w:val="0"/>
                  </w:rPr>
                  <w:t xml:space="preserve">명칭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  <w:sz w:val="18"/>
                <w:szCs w:val="18"/>
              </w:rPr>
            </w:pPr>
            <w:sdt>
              <w:sdtPr>
                <w:id w:val="-160266853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1f1f"/>
                    <w:sz w:val="18"/>
                    <w:szCs w:val="18"/>
                    <w:rtl w:val="0"/>
                  </w:rPr>
                  <w:t xml:space="preserve">주요 공격 기법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  <w:sz w:val="18"/>
                <w:szCs w:val="18"/>
              </w:rPr>
            </w:pPr>
            <w:sdt>
              <w:sdtPr>
                <w:id w:val="-498374410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1f1f"/>
                    <w:sz w:val="18"/>
                    <w:szCs w:val="18"/>
                    <w:rtl w:val="0"/>
                  </w:rPr>
                  <w:t xml:space="preserve">탐지 기대 지표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.85058593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  <w:sz w:val="18"/>
                <w:szCs w:val="18"/>
              </w:rPr>
            </w:pPr>
            <w:sdt>
              <w:sdtPr>
                <w:id w:val="1909860081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8"/>
                    <w:szCs w:val="18"/>
                    <w:rtl w:val="0"/>
                  </w:rPr>
                  <w:t xml:space="preserve">비가시 제어 (‘\u200B’ 등) 문자 삽입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80" w:lineRule="auto"/>
              <w:rPr>
                <w:color w:val="444746"/>
                <w:sz w:val="18"/>
                <w:szCs w:val="18"/>
                <w:highlight w:val="white"/>
                <w:vertAlign w:val="superscript"/>
              </w:rPr>
            </w:pPr>
            <w:r w:rsidDel="00000000" w:rsidR="00000000" w:rsidRPr="00000000">
              <w:rPr>
                <w:rFonts w:ascii="Arimo" w:cs="Arimo" w:eastAsia="Arimo" w:hAnsi="Arimo"/>
                <w:color w:val="1f1f1f"/>
                <w:sz w:val="18"/>
                <w:szCs w:val="18"/>
                <w:rtl w:val="0"/>
              </w:rPr>
              <w:t xml:space="preserve">Gain Tok, PPL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  <w:sz w:val="18"/>
                <w:szCs w:val="18"/>
              </w:rPr>
            </w:pPr>
            <w:sdt>
              <w:sdtPr>
                <w:id w:val="-1461649177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8"/>
                    <w:szCs w:val="18"/>
                    <w:rtl w:val="0"/>
                  </w:rPr>
                  <w:t xml:space="preserve">공백 및 구두점의 변종 유니코드를 활용한 경계 처리 교란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80" w:lineRule="auto"/>
              <w:rPr>
                <w:color w:val="444746"/>
                <w:sz w:val="18"/>
                <w:szCs w:val="18"/>
                <w:highlight w:val="white"/>
                <w:vertAlign w:val="superscript"/>
              </w:rPr>
            </w:pPr>
            <w:r w:rsidDel="00000000" w:rsidR="00000000" w:rsidRPr="00000000">
              <w:rPr>
                <w:rFonts w:ascii="Arimo" w:cs="Arimo" w:eastAsia="Arimo" w:hAnsi="Arimo"/>
                <w:color w:val="1f1f1f"/>
                <w:sz w:val="18"/>
                <w:szCs w:val="18"/>
                <w:rtl w:val="0"/>
              </w:rPr>
              <w:t xml:space="preserve">TPC, PPL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  <w:sz w:val="18"/>
                <w:szCs w:val="18"/>
              </w:rPr>
            </w:pPr>
            <w:sdt>
              <w:sdtPr>
                <w:id w:val="1337822859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8"/>
                    <w:szCs w:val="18"/>
                    <w:rtl w:val="0"/>
                  </w:rPr>
                  <w:t xml:space="preserve">동형이의어 치환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80" w:lineRule="auto"/>
              <w:rPr>
                <w:color w:val="444746"/>
                <w:sz w:val="18"/>
                <w:szCs w:val="18"/>
                <w:highlight w:val="white"/>
                <w:vertAlign w:val="superscript"/>
              </w:rPr>
            </w:pPr>
            <w:r w:rsidDel="00000000" w:rsidR="00000000" w:rsidRPr="00000000">
              <w:rPr>
                <w:rFonts w:ascii="Arimo" w:cs="Arimo" w:eastAsia="Arimo" w:hAnsi="Arimo"/>
                <w:color w:val="1f1f1f"/>
                <w:sz w:val="18"/>
                <w:szCs w:val="18"/>
                <w:rtl w:val="0"/>
              </w:rPr>
              <w:t xml:space="preserve">Mixed Script Ratio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  <w:sz w:val="18"/>
                <w:szCs w:val="18"/>
              </w:rPr>
            </w:pPr>
            <w:sdt>
              <w:sdtPr>
                <w:id w:val="28476503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8"/>
                    <w:szCs w:val="18"/>
                    <w:rtl w:val="0"/>
                  </w:rPr>
                  <w:t xml:space="preserve">결합 문자 삽입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480" w:lineRule="auto"/>
              <w:rPr>
                <w:color w:val="444746"/>
                <w:sz w:val="18"/>
                <w:szCs w:val="18"/>
                <w:highlight w:val="white"/>
                <w:vertAlign w:val="superscript"/>
              </w:rPr>
            </w:pPr>
            <w:r w:rsidDel="00000000" w:rsidR="00000000" w:rsidRPr="00000000">
              <w:rPr>
                <w:rFonts w:ascii="Arimo" w:cs="Arimo" w:eastAsia="Arimo" w:hAnsi="Arimo"/>
                <w:color w:val="1f1f1f"/>
                <w:sz w:val="18"/>
                <w:szCs w:val="18"/>
                <w:rtl w:val="0"/>
              </w:rPr>
              <w:t xml:space="preserve">Gain Tok, TPC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Arimo" w:cs="Arimo" w:eastAsia="Arimo" w:hAnsi="Arimo"/>
          <w:b w:val="1"/>
          <w:bCs w:val="1"/>
          <w:sz w:val="24"/>
          <w:szCs w:val="24"/>
        </w:rPr>
      </w:pPr>
      <w:sdt>
        <w:sdtPr>
          <w:id w:val="-953727216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공격군 정의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720"/>
        <w:rPr>
          <w:rFonts w:ascii="Arimo" w:cs="Arimo" w:eastAsia="Arimo" w:hAnsi="Arimo"/>
        </w:rPr>
      </w:pPr>
      <w:sdt>
        <w:sdtPr>
          <w:id w:val="714930149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5000개의 기사를 대상으로 지표를 산출한 결과, 공격군별 탐지 성능은 다음과 같았다.</w:t>
          </w:r>
        </w:sdtContent>
      </w:sdt>
    </w:p>
    <w:sdt>
      <w:sdtPr>
        <w:lock w:val="contentLocked"/>
        <w:id w:val="-1134270424"/>
        <w:tag w:val="goog_rdk_23"/>
      </w:sdtPr>
      <w:sdtContent>
        <w:tbl>
          <w:tblPr>
            <w:tblStyle w:val="Table2"/>
            <w:tblW w:w="8309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69.6666666666665"/>
            <w:gridCol w:w="2769.6666666666665"/>
            <w:gridCol w:w="2769.6666666666665"/>
            <w:tblGridChange w:id="0">
              <w:tblGrid>
                <w:gridCol w:w="2769.6666666666665"/>
                <w:gridCol w:w="2769.6666666666665"/>
                <w:gridCol w:w="2769.6666666666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mo" w:cs="Arimo" w:eastAsia="Arimo" w:hAnsi="Arimo"/>
                  </w:rPr>
                </w:pPr>
                <w:sdt>
                  <w:sdtPr>
                    <w:id w:val="718116789"/>
                    <w:tag w:val="goog_rdk_2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지표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mo" w:cs="Arimo" w:eastAsia="Arimo" w:hAnsi="Arimo"/>
                  </w:rPr>
                </w:pPr>
                <w:r w:rsidDel="00000000" w:rsidR="00000000" w:rsidRPr="00000000">
                  <w:rPr>
                    <w:rFonts w:ascii="Arimo" w:cs="Arimo" w:eastAsia="Arimo" w:hAnsi="Arimo"/>
                    <w:rtl w:val="0"/>
                  </w:rPr>
                  <w:t xml:space="preserve">Recall (L3)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mo" w:cs="Arimo" w:eastAsia="Arimo" w:hAnsi="Arimo"/>
                  </w:rPr>
                </w:pPr>
                <w:sdt>
                  <w:sdtPr>
                    <w:id w:val="2112673840"/>
                    <w:tag w:val="goog_rdk_2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탐지 기준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mo" w:cs="Arimo" w:eastAsia="Arimo" w:hAnsi="Arimo"/>
                  </w:rPr>
                </w:pPr>
                <w:r w:rsidDel="00000000" w:rsidR="00000000" w:rsidRPr="00000000">
                  <w:rPr>
                    <w:rFonts w:ascii="Arimo" w:cs="Arimo" w:eastAsia="Arimo" w:hAnsi="Arimo"/>
                    <w:rtl w:val="0"/>
                  </w:rPr>
                  <w:t xml:space="preserve">F1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widowControl w:val="0"/>
                  <w:spacing w:line="240" w:lineRule="auto"/>
                  <w:rPr>
                    <w:rFonts w:ascii="Arimo" w:cs="Arimo" w:eastAsia="Arimo" w:hAnsi="Arimo"/>
                  </w:rPr>
                </w:pPr>
                <w:r w:rsidDel="00000000" w:rsidR="00000000" w:rsidRPr="00000000">
                  <w:rPr>
                    <w:rFonts w:ascii="Arimo" w:cs="Arimo" w:eastAsia="Arimo" w:hAnsi="Arimo"/>
                    <w:rtl w:val="0"/>
                  </w:rPr>
                  <w:t xml:space="preserve">98.16%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widowControl w:val="0"/>
                  <w:spacing w:line="240" w:lineRule="auto"/>
                  <w:rPr>
                    <w:rFonts w:ascii="Arimo" w:cs="Arimo" w:eastAsia="Arimo" w:hAnsi="Arimo"/>
                  </w:rPr>
                </w:pPr>
                <w:r w:rsidDel="00000000" w:rsidR="00000000" w:rsidRPr="00000000">
                  <w:rPr>
                    <w:rFonts w:ascii="Arimo" w:cs="Arimo" w:eastAsia="Arimo" w:hAnsi="Arimo"/>
                    <w:rtl w:val="0"/>
                  </w:rPr>
                  <w:t xml:space="preserve">Gain_Tok &gt;= 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mo" w:cs="Arimo" w:eastAsia="Arimo" w:hAnsi="Arimo"/>
                  </w:rPr>
                </w:pPr>
                <w:r w:rsidDel="00000000" w:rsidR="00000000" w:rsidRPr="00000000">
                  <w:rPr>
                    <w:rFonts w:ascii="Arimo" w:cs="Arimo" w:eastAsia="Arimo" w:hAnsi="Arimo"/>
                    <w:rtl w:val="0"/>
                  </w:rPr>
                  <w:t xml:space="preserve">F2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mo" w:cs="Arimo" w:eastAsia="Arimo" w:hAnsi="Arimo"/>
                  </w:rPr>
                </w:pPr>
                <w:r w:rsidDel="00000000" w:rsidR="00000000" w:rsidRPr="00000000">
                  <w:rPr>
                    <w:rFonts w:ascii="Arimo" w:cs="Arimo" w:eastAsia="Arimo" w:hAnsi="Arimo"/>
                    <w:rtl w:val="0"/>
                  </w:rPr>
                  <w:t xml:space="preserve">28.64%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mo" w:cs="Arimo" w:eastAsia="Arimo" w:hAnsi="Arimo"/>
                  </w:rPr>
                </w:pPr>
                <w:sdt>
                  <w:sdtPr>
                    <w:id w:val="179005798"/>
                    <w:tag w:val="goog_rdk_2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PPL_Ratio≥1.3∩TPC≥1.1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mo" w:cs="Arimo" w:eastAsia="Arimo" w:hAnsi="Arimo"/>
                  </w:rPr>
                </w:pPr>
                <w:r w:rsidDel="00000000" w:rsidR="00000000" w:rsidRPr="00000000">
                  <w:rPr>
                    <w:rFonts w:ascii="Arimo" w:cs="Arimo" w:eastAsia="Arimo" w:hAnsi="Arimo"/>
                    <w:rtl w:val="0"/>
                  </w:rPr>
                  <w:t xml:space="preserve">F3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widowControl w:val="0"/>
                  <w:spacing w:line="240" w:lineRule="auto"/>
                  <w:rPr>
                    <w:rFonts w:ascii="Arimo" w:cs="Arimo" w:eastAsia="Arimo" w:hAnsi="Arimo"/>
                  </w:rPr>
                </w:pPr>
                <w:r w:rsidDel="00000000" w:rsidR="00000000" w:rsidRPr="00000000">
                  <w:rPr>
                    <w:rFonts w:ascii="Arimo" w:cs="Arimo" w:eastAsia="Arimo" w:hAnsi="Arimo"/>
                    <w:rtl w:val="0"/>
                  </w:rPr>
                  <w:t xml:space="preserve">2.38%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line="240" w:lineRule="auto"/>
                  <w:rPr>
                    <w:rFonts w:ascii="Arimo" w:cs="Arimo" w:eastAsia="Arimo" w:hAnsi="Arimo"/>
                  </w:rPr>
                </w:pPr>
                <w:r w:rsidDel="00000000" w:rsidR="00000000" w:rsidRPr="00000000">
                  <w:rPr>
                    <w:rFonts w:ascii="Arimo" w:cs="Arimo" w:eastAsia="Arimo" w:hAnsi="Arimo"/>
                    <w:rtl w:val="0"/>
                  </w:rPr>
                  <w:t xml:space="preserve">MS_Delta &gt;= 0.01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mo" w:cs="Arimo" w:eastAsia="Arimo" w:hAnsi="Arimo"/>
                  </w:rPr>
                </w:pPr>
                <w:r w:rsidDel="00000000" w:rsidR="00000000" w:rsidRPr="00000000">
                  <w:rPr>
                    <w:rFonts w:ascii="Arimo" w:cs="Arimo" w:eastAsia="Arimo" w:hAnsi="Arimo"/>
                    <w:rtl w:val="0"/>
                  </w:rPr>
                  <w:t xml:space="preserve">F4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line="240" w:lineRule="auto"/>
                  <w:rPr>
                    <w:rFonts w:ascii="Arimo" w:cs="Arimo" w:eastAsia="Arimo" w:hAnsi="Arimo"/>
                  </w:rPr>
                </w:pPr>
                <w:r w:rsidDel="00000000" w:rsidR="00000000" w:rsidRPr="00000000">
                  <w:rPr>
                    <w:rFonts w:ascii="Arimo" w:cs="Arimo" w:eastAsia="Arimo" w:hAnsi="Arimo"/>
                    <w:rtl w:val="0"/>
                  </w:rPr>
                  <w:t xml:space="preserve">93.40%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spacing w:line="240" w:lineRule="auto"/>
                  <w:rPr>
                    <w:rFonts w:ascii="Arimo" w:cs="Arimo" w:eastAsia="Arimo" w:hAnsi="Arimo"/>
                  </w:rPr>
                </w:pPr>
                <w:r w:rsidDel="00000000" w:rsidR="00000000" w:rsidRPr="00000000">
                  <w:rPr>
                    <w:rFonts w:ascii="Arimo" w:cs="Arimo" w:eastAsia="Arimo" w:hAnsi="Arimo"/>
                    <w:rtl w:val="0"/>
                  </w:rPr>
                  <w:t xml:space="preserve">Gain_Tok &gt;= 5</w:t>
                </w:r>
              </w:p>
            </w:tc>
          </w:tr>
        </w:tbl>
      </w:sdtContent>
    </w:sdt>
    <w:p w:rsidR="00000000" w:rsidDel="00000000" w:rsidP="00000000" w:rsidRDefault="00000000" w:rsidRPr="00000000" w14:paraId="00000035">
      <w:pPr>
        <w:ind w:firstLine="720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rFonts w:ascii="Arimo" w:cs="Arimo" w:eastAsia="Arimo" w:hAnsi="Arimo"/>
        </w:rPr>
      </w:pPr>
      <w:sdt>
        <w:sdtPr>
          <w:id w:val="-2061346885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클린업 게인(Gain_Tok)의 유효성: 비가시 문자 및 결합 문자를 삽입하는 F1, F4 공격에서 압도적인 변별력을 보였다. 이는 해당 공격 성분이 토크나이저의 어휘 사전에 포함되지 않아 대량의 단일 문자 토큰을 생성하기 때문이다.</w:t>
            <w:br w:type="textWrapping"/>
            <w:t xml:space="preserve">PPL의 한계: F2 공격 시 PPL 상승이 관찰되나, 기사 주제나 신조어 사용에 따른 자연적 변동(Drift)과 구분이 모호하여 단독 지표로 사용하기에는 오탐 위험이 높았다.</w:t>
            <w:br w:type="textWrapping"/>
            <w:t xml:space="preserve">스크립트 분포(MS_Delta)의 취약성: F3 공격은 시각적 유사성에 비해 지표상의 변화폭이 매우 좁아 통계적 탐지가 제한적이었다.</w:t>
          </w:r>
        </w:sdtContent>
      </w:sdt>
    </w:p>
    <w:p w:rsidR="00000000" w:rsidDel="00000000" w:rsidP="00000000" w:rsidRDefault="00000000" w:rsidRPr="00000000" w14:paraId="00000037">
      <w:pPr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sdt>
        <w:sdtPr>
          <w:id w:val="1139671561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실험 결과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sdt>
        <w:sdtPr>
          <w:id w:val="985934483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본 실험을 통해 클린업 기반의 토큰 증가량 측정(Gain_Tok)이 난독화 공격 탐지에 가장 유효한 실측 지표임을 정량적으로 입증했다. 제안된 임계값을 적용할 경우, 주요 공격군에 대해 90% 이상의 검출률을 유지하면서 오탐률을 3% 이내로 제어 가능함을 확인했다.</w:t>
          </w:r>
        </w:sdtContent>
      </w:sdt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bPnP2MWjfAN6t/V/IEDg1sZ2I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gCgIyMxIaChgICVIUChJ0YWJsZS5ycXExczRlMmc3angaJQoCMjQSHwodCAdCGQoFQXJpbW8SEEFyaWFsIFVuaWNvZGUgTVMaJQoCMjUSHwodCAdCGQoFQXJpbW8SEEFyaWFsIFVuaWNvZGUgTVMaHgoCMjYSGAoWCAdCEhIQQXJpYWwgVW5pY29kZSBNUzgAciExWEFXaW5QUC1GdkRrYmp5Q1hjZlEzemlfMF84Sy0xRH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