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黑体" w:hAnsi="黑体" w:eastAsia="黑体"/>
          <w:b/>
          <w:i w:val="0"/>
          <w:sz w:val="40"/>
        </w:rPr>
        <w:t>人工智能发展背景下</w:t>
        <w:br/>
        <w:t>的内存需求与市场变化研究</w:t>
      </w:r>
    </w:p>
    <w:p>
      <w:pPr>
        <w:spacing w:after="40"/>
        <w:jc w:val="center"/>
      </w:pPr>
      <w:r>
        <w:rPr>
          <w:rFonts w:ascii="宋体" w:hAnsi="宋体" w:eastAsia="宋体"/>
          <w:b w:val="0"/>
          <w:i w:val="0"/>
          <w:sz w:val="24"/>
        </w:rPr>
        <w:t>宋明喆　郭宸瑞</w:t>
      </w:r>
    </w:p>
    <w:p>
      <w:pPr>
        <w:spacing w:after="200"/>
        <w:jc w:val="center"/>
      </w:pPr>
      <w:r>
        <w:rPr>
          <w:rFonts w:ascii="宋体" w:hAnsi="宋体" w:eastAsia="宋体"/>
          <w:b w:val="0"/>
          <w:i w:val="0"/>
          <w:color w:val="444444"/>
          <w:sz w:val="18"/>
        </w:rPr>
        <w:t>（天津市育贤中学　信息科技综合研究小组，天津 300192）</w:t>
      </w:r>
    </w:p>
    <w:p>
      <w:pPr>
        <w:spacing w:line="360" w:lineRule="auto" w:after="80"/>
        <w:jc w:val="both"/>
      </w:pPr>
      <w:r>
        <w:rPr>
          <w:rFonts w:ascii="宋体" w:hAnsi="宋体" w:eastAsia="宋体"/>
          <w:b/>
          <w:i w:val="0"/>
          <w:sz w:val="21"/>
        </w:rPr>
        <w:t>摘要：</w:t>
      </w:r>
      <w:r>
        <w:rPr>
          <w:rFonts w:ascii="宋体" w:hAnsi="宋体" w:eastAsia="宋体"/>
          <w:b w:val="0"/>
          <w:i w:val="0"/>
          <w:sz w:val="21"/>
        </w:rPr>
        <w:t>人工智能应用扩大了计算系统对存储容量与数据传输速度的需求，也使普通消费者更加关注内存价格。本文采用文献研究、概念分析与理论估算相结合的方法，区分主存、显存与固态硬盘，分析游戏与大语言模型推理中的不同瓶颈，并利用公开市场资料讨论产能分配、库存与产业集中度对价格的影响。研究认为：AI 需求可以通过服务器采购与制造资源配置影响存储市场，但不能据此断言所有内存条同步涨价；以 70 亿参数模型为例，FP16 权重约需 14 GB（约 13.0 GiB），在给定假设下 4096 token 的 KV 缓存约 2 GiB，序列长度增至 16384 时约 8 GiB；公开合约价数据、行业营收份额与出口管制案例分别说明价格变化、供应集中与外部约束，三者不能相互替代。据此，本文对个人配置、企业采购与产业供给提出条件性建议，并指出研究在实测数据与连续价格样本方面的局限。</w:t>
      </w:r>
    </w:p>
    <w:p>
      <w:pPr>
        <w:spacing w:line="360" w:lineRule="auto" w:after="40"/>
        <w:jc w:val="both"/>
      </w:pPr>
      <w:r>
        <w:rPr>
          <w:rFonts w:ascii="宋体" w:hAnsi="宋体" w:eastAsia="宋体"/>
          <w:b/>
          <w:i w:val="0"/>
          <w:sz w:val="21"/>
        </w:rPr>
        <w:t>关键词：</w:t>
      </w:r>
      <w:r>
        <w:rPr>
          <w:rFonts w:ascii="宋体" w:hAnsi="宋体" w:eastAsia="宋体"/>
          <w:b w:val="0"/>
          <w:i w:val="0"/>
          <w:sz w:val="21"/>
        </w:rPr>
        <w:t>人工智能；DRAM；HBM；KV 缓存；内存价格；产业集中度</w:t>
      </w:r>
    </w:p>
    <w:p>
      <w:pPr>
        <w:spacing w:line="336" w:lineRule="auto" w:after="240"/>
        <w:jc w:val="both"/>
      </w:pPr>
      <w:r>
        <w:rPr>
          <w:rFonts w:ascii="宋体" w:hAnsi="宋体" w:eastAsia="宋体"/>
          <w:b/>
          <w:i w:val="0"/>
          <w:sz w:val="18"/>
        </w:rPr>
        <w:t>中图分类号：</w:t>
      </w:r>
      <w:r>
        <w:rPr>
          <w:rFonts w:ascii="宋体" w:hAnsi="宋体" w:eastAsia="宋体"/>
          <w:b w:val="0"/>
          <w:i w:val="0"/>
          <w:sz w:val="18"/>
        </w:rPr>
        <w:t xml:space="preserve">TP333　　</w:t>
      </w:r>
      <w:r>
        <w:rPr>
          <w:rFonts w:ascii="宋体" w:hAnsi="宋体" w:eastAsia="宋体"/>
          <w:b/>
          <w:i w:val="0"/>
          <w:sz w:val="18"/>
        </w:rPr>
        <w:t>文献标识码：</w:t>
      </w:r>
      <w:r>
        <w:rPr>
          <w:rFonts w:ascii="宋体" w:hAnsi="宋体" w:eastAsia="宋体"/>
          <w:b w:val="0"/>
          <w:i w:val="0"/>
          <w:sz w:val="18"/>
        </w:rPr>
        <w:t>A</w:t>
      </w:r>
    </w:p>
    <w:p>
      <w:pPr>
        <w:spacing w:after="40"/>
        <w:jc w:val="center"/>
      </w:pPr>
      <w:r>
        <w:rPr>
          <w:rFonts w:ascii="Times New Roman" w:hAnsi="Times New Roman" w:eastAsia="Times New Roman"/>
          <w:b/>
          <w:i w:val="0"/>
          <w:sz w:val="28"/>
        </w:rPr>
        <w:t>Memory Demand and Market Change in the Era of Artificial Intelligence</w:t>
      </w:r>
    </w:p>
    <w:p>
      <w:pPr>
        <w:spacing w:after="120"/>
        <w:jc w:val="center"/>
      </w:pPr>
      <w:r>
        <w:rPr>
          <w:rFonts w:ascii="Times New Roman" w:hAnsi="Times New Roman" w:eastAsia="Times New Roman"/>
          <w:b w:val="0"/>
          <w:i w:val="0"/>
          <w:sz w:val="21"/>
        </w:rPr>
        <w:t>SONG Mingzhe, GUO Chenrui</w:t>
      </w:r>
    </w:p>
    <w:p>
      <w:pPr>
        <w:spacing w:line="312" w:lineRule="auto" w:after="80"/>
        <w:jc w:val="both"/>
      </w:pPr>
      <w:r>
        <w:rPr>
          <w:rFonts w:ascii="Times New Roman" w:hAnsi="Times New Roman" w:eastAsia="Times New Roman"/>
          <w:b/>
          <w:i w:val="0"/>
          <w:sz w:val="20"/>
        </w:rPr>
        <w:t xml:space="preserve">Abstract: </w:t>
      </w:r>
      <w:r>
        <w:rPr>
          <w:rFonts w:ascii="Times New Roman" w:hAnsi="Times New Roman" w:eastAsia="Times New Roman"/>
          <w:b w:val="0"/>
          <w:i w:val="0"/>
          <w:sz w:val="20"/>
        </w:rPr>
        <w:t>Artificial intelligence (AI) has enlarged the demand for memory capacity and bandwidth and has drawn public attention to memory prices. This paper combines literature review, conceptual analysis and theoretical estimation. It distinguishes three objects that are often conflated - main memory, video memory and solid-state storage - and examines the different bottlenecks in gaming and in large language model (LLM) inference. Using public sources, it then discusses how capacity allocation, inventory and market concentration affect prices. The study finds that AI demand can influence the memory market through server procurement and manufacturing resource allocation, but it cannot be concluded that all memory modules rise in price simultaneously. For a 7-billion-parameter model, FP16 weights require about 14 GB (13.0 GiB); under the stated assumptions, a KV cache of 4096 tokens costs about 2 GiB, about 4 GiB at 8192 tokens and about 8 GiB at 16384 tokens. Contract price data, revenue shares and export-control cases describe price movement, supply concentration and external constraints respectively; they are not interchangeable. The contributions are threefold: a clear separation of the memory objects, a reproducible estimation with explicit assumptions, and a source-by-source account of what the available evidence can and cannot support. Conditional suggestions are given for individuals, firms and the industry, and limitations regarding measured data and continuous retail price samples are stated.</w:t>
      </w:r>
    </w:p>
    <w:p>
      <w:pPr>
        <w:spacing w:line="312" w:lineRule="auto" w:after="200"/>
        <w:jc w:val="both"/>
      </w:pPr>
      <w:r>
        <w:rPr>
          <w:rFonts w:ascii="Times New Roman" w:hAnsi="Times New Roman" w:eastAsia="Times New Roman"/>
          <w:b/>
          <w:i w:val="0"/>
          <w:sz w:val="20"/>
        </w:rPr>
        <w:t xml:space="preserve">Keywords: </w:t>
      </w:r>
      <w:r>
        <w:rPr>
          <w:rFonts w:ascii="Times New Roman" w:hAnsi="Times New Roman" w:eastAsia="Times New Roman"/>
          <w:b w:val="0"/>
          <w:i w:val="0"/>
          <w:sz w:val="20"/>
        </w:rPr>
        <w:t>artificial intelligence; DRAM; HBM; KV cache; memory price; market concentration</w:t>
      </w:r>
    </w:p>
    <w:p>
      <w:pPr>
        <w:pStyle w:val="Heading1"/>
        <w:keepNext/>
        <w:spacing w:before="280" w:after="120"/>
      </w:pPr>
      <w:r>
        <w:rPr>
          <w:rFonts w:ascii="黑体" w:hAnsi="黑体" w:eastAsia="黑体"/>
          <w:b/>
          <w:i w:val="0"/>
          <w:color w:val="000000"/>
          <w:sz w:val="28"/>
        </w:rPr>
        <w:t>1　引言</w:t>
      </w:r>
    </w:p>
    <w:p>
      <w:pPr>
        <w:pStyle w:val="Heading2"/>
        <w:keepNext/>
        <w:spacing w:before="200" w:after="80"/>
      </w:pPr>
      <w:r>
        <w:rPr>
          <w:rFonts w:ascii="黑体" w:hAnsi="黑体" w:eastAsia="黑体"/>
          <w:b/>
          <w:i w:val="0"/>
          <w:color w:val="000000"/>
          <w:sz w:val="24"/>
        </w:rPr>
        <w:t>1.1　研究背景与问题</w:t>
      </w:r>
    </w:p>
    <w:p>
      <w:pPr>
        <w:spacing w:line="360" w:lineRule="auto" w:before="0" w:after="0"/>
        <w:ind w:firstLine="480"/>
        <w:jc w:val="both"/>
      </w:pPr>
      <w:r>
        <w:rPr>
          <w:rFonts w:ascii="宋体" w:hAnsi="宋体" w:eastAsia="宋体"/>
          <w:b w:val="0"/>
          <w:i w:val="0"/>
          <w:sz w:val="24"/>
        </w:rPr>
        <w:t>日常使用电脑时，人们常把运行卡顿归因于“内存不够”；看到存储产品涨价时，又容易把原因全部归结为 AI。实际上，游戏帧率、模型运行能力和内存市场价格分别对应系统性能、资源占用与供需关系，三者彼此关联，却不能用同一个指标解释。近两年，AI 服务器采购扩张与大模型推理普及同时发生，消费级内存价格也出现波动，公众讨论中出现了“AI 吃掉内存”“厂商炒作”等相互对立的说法。</w:t>
      </w:r>
    </w:p>
    <w:p>
      <w:pPr>
        <w:spacing w:line="360" w:lineRule="auto" w:before="0" w:after="0"/>
        <w:ind w:firstLine="480"/>
        <w:jc w:val="both"/>
      </w:pPr>
      <w:r>
        <w:rPr>
          <w:rFonts w:ascii="宋体" w:hAnsi="宋体" w:eastAsia="宋体"/>
          <w:b w:val="0"/>
          <w:i w:val="0"/>
          <w:sz w:val="24"/>
        </w:rPr>
        <w:t>以短视频形式流传的“一年前与一年后的 AI”对比[9]（封面见图 1），把技术变化压缩成几秒钟的观感，容易让人高估或低估进展，因此更需要回到机制与数据。这些说法需要拆解为三个可回答的问题：第一，内存、显存与硬盘在系统中分别承担什么任务；第二，游戏与大模型推理究竟如何占用内存，瓶颈出现在哪一层；第三，AI 需求通过什么路径影响存储价格，公开证据能够支持到什么程度。本文围绕这三个问题展开，尝试在技术机制与市场证据之间建立可检验的联系。</w:t>
      </w:r>
    </w:p>
    <w:p>
      <w:pPr>
        <w:pStyle w:val="Heading2"/>
        <w:keepNext/>
        <w:spacing w:before="200" w:after="80"/>
      </w:pPr>
      <w:r>
        <w:rPr>
          <w:rFonts w:ascii="黑体" w:hAnsi="黑体" w:eastAsia="黑体"/>
          <w:b/>
          <w:i w:val="0"/>
          <w:color w:val="000000"/>
          <w:sz w:val="24"/>
        </w:rPr>
        <w:t>1.2　研究意义</w:t>
      </w:r>
    </w:p>
    <w:p>
      <w:pPr>
        <w:spacing w:line="360" w:lineRule="auto" w:before="0" w:after="0"/>
        <w:ind w:firstLine="480"/>
        <w:jc w:val="both"/>
      </w:pPr>
      <w:r>
        <w:rPr>
          <w:rFonts w:ascii="宋体" w:hAnsi="宋体" w:eastAsia="宋体"/>
          <w:b w:val="0"/>
          <w:i w:val="0"/>
          <w:sz w:val="24"/>
        </w:rPr>
        <w:t>对学生而言，理解内存的层次与瓶颈有助于判断电脑升级需求，避免把“卡顿”简单等同于“加内存”；对家庭与企业而言，理解价格口径有助于在采购与库存之间做出更稳妥的决策；对产业观察而言，区分技术事实、市场观察与政策约束，可以避免把局部现象推广为普遍结论。</w:t>
      </w:r>
    </w:p>
    <w:p>
      <w:pPr>
        <w:spacing w:line="360" w:lineRule="auto" w:before="0" w:after="0"/>
        <w:ind w:firstLine="480"/>
        <w:jc w:val="both"/>
      </w:pPr>
      <w:r>
        <w:rPr>
          <w:rFonts w:ascii="宋体" w:hAnsi="宋体" w:eastAsia="宋体"/>
          <w:b w:val="0"/>
          <w:i w:val="0"/>
          <w:sz w:val="24"/>
        </w:rPr>
        <w:t>与已有讨论相比，本文的增量有三点：其一，把“内存”拆分为主存、显存与长期存储三类对象，避免把不同市场的数据混用；其二，给出可复核的估算式与数量级，读者可代入自己的参数复算；其三，把技术事实、市场观察与政策事件按口径分列，明确指出哪些结论不能被现有数据支持。</w:t>
      </w:r>
    </w:p>
    <w:p>
      <w:pPr>
        <w:pStyle w:val="Heading2"/>
        <w:keepNext/>
        <w:spacing w:before="200" w:after="80"/>
      </w:pPr>
      <w:r>
        <w:rPr>
          <w:rFonts w:ascii="黑体" w:hAnsi="黑体" w:eastAsia="黑体"/>
          <w:b/>
          <w:i w:val="0"/>
          <w:color w:val="000000"/>
          <w:sz w:val="24"/>
        </w:rPr>
        <w:t>1.3　研究方法与数据来源</w:t>
      </w:r>
    </w:p>
    <w:p>
      <w:pPr>
        <w:spacing w:line="360" w:lineRule="auto" w:before="0" w:after="0"/>
        <w:ind w:firstLine="480"/>
        <w:jc w:val="both"/>
      </w:pPr>
      <w:r>
        <w:rPr>
          <w:rFonts w:ascii="宋体" w:hAnsi="宋体" w:eastAsia="宋体"/>
          <w:b w:val="0"/>
          <w:i w:val="0"/>
          <w:sz w:val="24"/>
        </w:rPr>
        <w:t>本文采用文献研究、概念分析与理论估算相结合的方法。技术部分依据厂商公开文档与官方配置页，市场部分依据研究机构公开发布的价格与份额数据，政策部分依据政府公告。理论估算部分给出明确假设与公式，用于说明数量关系，不作为产品性能实测。资料检索截止日期为 2026 年 10 月 18 日。本文未开展游戏帧率实测、模型运行实验或消费者问卷调查，相关结论均标注适用边界。</w:t>
      </w:r>
    </w:p>
    <w:p>
      <w:pPr>
        <w:pStyle w:val="Heading2"/>
        <w:keepNext/>
        <w:spacing w:before="200" w:after="80"/>
      </w:pPr>
      <w:r>
        <w:rPr>
          <w:rFonts w:ascii="黑体" w:hAnsi="黑体" w:eastAsia="黑体"/>
          <w:b/>
          <w:i w:val="0"/>
          <w:color w:val="000000"/>
          <w:sz w:val="24"/>
        </w:rPr>
        <w:t>1.4　结构安排</w:t>
      </w:r>
    </w:p>
    <w:p>
      <w:pPr>
        <w:spacing w:line="360" w:lineRule="auto" w:before="0" w:after="0"/>
        <w:ind w:firstLine="480"/>
        <w:jc w:val="both"/>
      </w:pPr>
      <w:r>
        <w:rPr>
          <w:rFonts w:ascii="宋体" w:hAnsi="宋体" w:eastAsia="宋体"/>
          <w:b w:val="0"/>
          <w:i w:val="0"/>
          <w:sz w:val="24"/>
        </w:rPr>
        <w:t>第 2 节界定内存、显存与硬盘等概念，并说明 DRAM、DDR 与 HBM 的关系；第 3 节给出研究方法、估算模型与数据口径；第 4 节分别讨论游戏性能、大模型推理与市场价格三条线索；第 5 节讨论主要发现与局限；第 6 节给出结论与建议。</w:t>
      </w:r>
    </w:p>
    <w:p>
      <w:pPr>
        <w:pStyle w:val="Heading1"/>
        <w:keepNext/>
        <w:spacing w:before="280" w:after="120"/>
      </w:pPr>
      <w:r>
        <w:rPr>
          <w:rFonts w:ascii="黑体" w:hAnsi="黑体" w:eastAsia="黑体"/>
          <w:b/>
          <w:i w:val="0"/>
          <w:color w:val="000000"/>
          <w:sz w:val="28"/>
        </w:rPr>
        <w:t>2　概念界定与技术背景</w:t>
      </w:r>
    </w:p>
    <w:p>
      <w:pPr>
        <w:pStyle w:val="Heading2"/>
        <w:keepNext/>
        <w:spacing w:before="200" w:after="80"/>
      </w:pPr>
      <w:r>
        <w:rPr>
          <w:rFonts w:ascii="黑体" w:hAnsi="黑体" w:eastAsia="黑体"/>
          <w:b/>
          <w:i w:val="0"/>
          <w:color w:val="000000"/>
          <w:sz w:val="24"/>
        </w:rPr>
        <w:t>2.1　存储层次：主存、显存与固态硬盘</w:t>
      </w:r>
    </w:p>
    <w:p>
      <w:pPr>
        <w:spacing w:line="360" w:lineRule="auto" w:before="0" w:after="0"/>
        <w:ind w:firstLine="480"/>
        <w:jc w:val="both"/>
      </w:pPr>
      <w:r>
        <w:rPr>
          <w:rFonts w:ascii="宋体" w:hAnsi="宋体" w:eastAsia="宋体"/>
          <w:b w:val="0"/>
          <w:i w:val="0"/>
          <w:sz w:val="24"/>
        </w:rPr>
        <w:t>RAM 即随机存取存储器，强调能够按地址访问数据。在个人电脑讨论中，“内存”通常指作为运行工作区的主存。CPU 执行程序时需要频繁读取指令与数据；容量不足时，操作系统会把部分内容换到磁盘，从而增加等待。主存通常断电失去数据，因此还需要 SSD 等设备长期保存文件。SSD 主要采用 NAND 闪存，读写机制、用途与市场分类都与 DRAM 不同，两者价格不能直接混为一谈。</w:t>
      </w:r>
    </w:p>
    <w:p>
      <w:pPr>
        <w:spacing w:line="360" w:lineRule="auto" w:before="0" w:after="0"/>
        <w:ind w:firstLine="480"/>
        <w:jc w:val="both"/>
      </w:pPr>
      <w:r>
        <w:rPr>
          <w:rFonts w:ascii="宋体" w:hAnsi="宋体" w:eastAsia="宋体"/>
          <w:b w:val="0"/>
          <w:i w:val="0"/>
          <w:sz w:val="24"/>
        </w:rPr>
        <w:t>显卡上的显存是另一类设备内存，服务于 GPU 的图形与并行计算任务。系统内存与显存在物理位置、访问路径和容量规划上都不同，“32 GB 内存”与“32 GB 显存”不是同一种配置，不能相互替代。</w:t>
      </w:r>
    </w:p>
    <w:p>
      <w:pPr>
        <w:spacing w:line="360" w:lineRule="auto" w:before="0" w:after="0"/>
        <w:ind w:firstLine="480"/>
        <w:jc w:val="both"/>
      </w:pPr>
      <w:r>
        <w:rPr>
          <w:rFonts w:ascii="宋体" w:hAnsi="宋体" w:eastAsia="宋体"/>
          <w:b w:val="0"/>
          <w:i w:val="0"/>
          <w:sz w:val="24"/>
        </w:rPr>
        <w:t>CPU 缓存、主存（DRAM）与固态硬盘（SSD）的层次关系见图 2；本文涉及的主要概念及其在讨论中的位置见表 1。</w:t>
      </w:r>
    </w:p>
    <w:p>
      <w:pPr>
        <w:spacing w:before="160" w:after="40"/>
        <w:jc w:val="center"/>
      </w:pPr>
      <w:r>
        <w:drawing>
          <wp:inline xmlns:a="http://schemas.openxmlformats.org/drawingml/2006/main" xmlns:pic="http://schemas.openxmlformats.org/drawingml/2006/picture">
            <wp:extent cx="4320000" cy="2700000"/>
            <wp:docPr id="1" name="Picture 1"/>
            <wp:cNvGraphicFramePr>
              <a:graphicFrameLocks noChangeAspect="1"/>
            </wp:cNvGraphicFramePr>
            <a:graphic>
              <a:graphicData uri="http://schemas.openxmlformats.org/drawingml/2006/picture">
                <pic:pic>
                  <pic:nvPicPr>
                    <pic:cNvPr id="0" name="stack.png"/>
                    <pic:cNvPicPr/>
                  </pic:nvPicPr>
                  <pic:blipFill>
                    <a:blip r:embed="rId9"/>
                    <a:stretch>
                      <a:fillRect/>
                    </a:stretch>
                  </pic:blipFill>
                  <pic:spPr>
                    <a:xfrm>
                      <a:off x="0" y="0"/>
                      <a:ext cx="4320000" cy="2700000"/>
                    </a:xfrm>
                    <a:prstGeom prst="rect"/>
                  </pic:spPr>
                </pic:pic>
              </a:graphicData>
            </a:graphic>
          </wp:inline>
        </w:drawing>
      </w:r>
    </w:p>
    <w:p>
      <w:pPr>
        <w:spacing w:before="40" w:after="40"/>
        <w:jc w:val="center"/>
      </w:pPr>
      <w:r>
        <w:rPr>
          <w:rFonts w:ascii="宋体" w:hAnsi="宋体" w:eastAsia="宋体"/>
          <w:b/>
          <w:i w:val="0"/>
          <w:sz w:val="21"/>
        </w:rPr>
        <w:t>图 2　存储层次：CPU 缓存、主存（DRAM）与固态硬盘（SSD）</w:t>
      </w:r>
    </w:p>
    <w:p>
      <w:pPr>
        <w:spacing w:after="200"/>
        <w:jc w:val="center"/>
      </w:pPr>
      <w:r>
        <w:rPr>
          <w:rFonts w:ascii="宋体" w:hAnsi="宋体" w:eastAsia="宋体"/>
          <w:b w:val="0"/>
          <w:i w:val="0"/>
          <w:color w:val="666666"/>
          <w:sz w:val="18"/>
        </w:rPr>
        <w:t>图片来源：本文绘制；自上而下访问速度递减、容量递增</w:t>
      </w:r>
    </w:p>
    <w:p>
      <w:pPr>
        <w:pStyle w:val="Heading2"/>
        <w:keepNext/>
        <w:spacing w:before="200" w:after="80"/>
      </w:pPr>
      <w:r>
        <w:rPr>
          <w:rFonts w:ascii="黑体" w:hAnsi="黑体" w:eastAsia="黑体"/>
          <w:b/>
          <w:i w:val="0"/>
          <w:color w:val="000000"/>
          <w:sz w:val="24"/>
        </w:rPr>
        <w:t>2.2　DRAM、DDR 与 HBM</w:t>
      </w:r>
    </w:p>
    <w:p>
      <w:pPr>
        <w:spacing w:line="360" w:lineRule="auto" w:before="0" w:after="0"/>
        <w:ind w:firstLine="480"/>
        <w:jc w:val="both"/>
      </w:pPr>
      <w:r>
        <w:rPr>
          <w:rFonts w:ascii="宋体" w:hAnsi="宋体" w:eastAsia="宋体"/>
          <w:b w:val="0"/>
          <w:i w:val="0"/>
          <w:sz w:val="24"/>
        </w:rPr>
        <w:t>DRAM 是动态随机存取存储器，需要周期性刷新来保存信息，是主存的重要实现技术。DDR 是 DRAM 的一类接口与产品体系，DDR4、DDR5 代表不同代际。代际、传输速率、容量与时序是不同指标，数值更大不代表所有应用都同比提速；购买时还必须核对 CPU 与主板支持的代际、插槽形式及容量。</w:t>
      </w:r>
    </w:p>
    <w:p>
      <w:pPr>
        <w:spacing w:line="360" w:lineRule="auto" w:before="0" w:after="0"/>
        <w:ind w:firstLine="480"/>
        <w:jc w:val="both"/>
      </w:pPr>
      <w:r>
        <w:rPr>
          <w:rFonts w:ascii="宋体" w:hAnsi="宋体" w:eastAsia="宋体"/>
          <w:b w:val="0"/>
          <w:i w:val="0"/>
          <w:sz w:val="24"/>
        </w:rPr>
        <w:t>HBM 即高带宽内存，通过堆叠 DRAM 芯片和更宽的数据连接，在靠近计算芯片的位置提供很高的数据吞吐量，常见于 AI 加速器。它仍属于 DRAM，但结构、封装与使用场景与台式机 DDR 内存条不同。讨论“AI 消耗内存”时，应先说明所指的是 GPU 旁的 HBM 或 GDDR，还是服务器 CPU 使用的 DDR 主存。</w:t>
      </w:r>
    </w:p>
    <w:p>
      <w:pPr>
        <w:pStyle w:val="Heading2"/>
        <w:keepNext/>
        <w:spacing w:before="200" w:after="80"/>
      </w:pPr>
      <w:r>
        <w:rPr>
          <w:rFonts w:ascii="黑体" w:hAnsi="黑体" w:eastAsia="黑体"/>
          <w:b/>
          <w:i w:val="0"/>
          <w:color w:val="000000"/>
          <w:sz w:val="24"/>
        </w:rPr>
        <w:t>2.3　容量、带宽与时延</w:t>
      </w:r>
    </w:p>
    <w:p>
      <w:pPr>
        <w:spacing w:line="360" w:lineRule="auto" w:before="0" w:after="0"/>
        <w:ind w:firstLine="480"/>
        <w:jc w:val="both"/>
      </w:pPr>
      <w:r>
        <w:rPr>
          <w:rFonts w:ascii="宋体" w:hAnsi="宋体" w:eastAsia="宋体"/>
          <w:b w:val="0"/>
          <w:i w:val="0"/>
          <w:sz w:val="24"/>
        </w:rPr>
        <w:t>容量表示可以容纳多少数据，带宽表示单位时间能够传输多少数据，时延表示一次访问开始到得到数据的等待时间。三者需要分开理解：容量决定能否放下主要数据，带宽影响数据搬运速度，算力决定处理能力。不同程序访问数据的顺序与频率不同，因此同一套内存在游戏、图片处理和 AI 推理中可能呈现不同收益。</w:t>
      </w:r>
    </w:p>
    <w:p>
      <w:pPr>
        <w:spacing w:before="120" w:after="80"/>
        <w:jc w:val="center"/>
      </w:pPr>
      <w:r>
        <w:rPr>
          <w:rFonts w:ascii="宋体" w:hAnsi="宋体" w:eastAsia="宋体"/>
          <w:b/>
          <w:i w:val="0"/>
          <w:sz w:val="21"/>
        </w:rPr>
        <w:t>表 1　主要概念与使用位置</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701"/>
          </w:tcPr>
          <w:p>
            <w:pPr>
              <w:spacing w:before="40" w:after="40"/>
              <w:jc w:val="center"/>
            </w:pPr>
            <w:r>
              <w:rPr>
                <w:rFonts w:ascii="宋体" w:hAnsi="宋体" w:eastAsia="宋体"/>
                <w:b/>
                <w:i w:val="0"/>
                <w:sz w:val="20"/>
              </w:rPr>
              <w:t>概念</w:t>
            </w:r>
          </w:p>
        </w:tc>
        <w:tc>
          <w:tcPr>
            <w:tcW w:type="dxa" w:w="3685"/>
          </w:tcPr>
          <w:p>
            <w:pPr>
              <w:spacing w:before="40" w:after="40"/>
              <w:jc w:val="center"/>
            </w:pPr>
            <w:r>
              <w:rPr>
                <w:rFonts w:ascii="宋体" w:hAnsi="宋体" w:eastAsia="宋体"/>
                <w:b/>
                <w:i w:val="0"/>
                <w:sz w:val="20"/>
              </w:rPr>
              <w:t>含义与典型位置</w:t>
            </w:r>
          </w:p>
        </w:tc>
        <w:tc>
          <w:tcPr>
            <w:tcW w:type="dxa" w:w="3685"/>
          </w:tcPr>
          <w:p>
            <w:pPr>
              <w:spacing w:before="40" w:after="40"/>
              <w:jc w:val="center"/>
            </w:pPr>
            <w:r>
              <w:rPr>
                <w:rFonts w:ascii="宋体" w:hAnsi="宋体" w:eastAsia="宋体"/>
                <w:b/>
                <w:i w:val="0"/>
                <w:sz w:val="20"/>
              </w:rPr>
              <w:t>与本文问题的关系</w:t>
            </w:r>
          </w:p>
        </w:tc>
      </w:tr>
      <w:tr>
        <w:trPr>
          <w:cantSplit/>
        </w:trPr>
        <w:tc>
          <w:tcPr>
            <w:tcW w:type="dxa" w:w="1701"/>
          </w:tcPr>
          <w:p>
            <w:pPr>
              <w:spacing w:before="40" w:after="40"/>
              <w:jc w:val="left"/>
            </w:pPr>
            <w:r>
              <w:rPr>
                <w:rFonts w:ascii="宋体" w:hAnsi="宋体" w:eastAsia="宋体"/>
                <w:b w:val="0"/>
                <w:i w:val="0"/>
                <w:sz w:val="20"/>
              </w:rPr>
              <w:t>RAM</w:t>
            </w:r>
          </w:p>
        </w:tc>
        <w:tc>
          <w:tcPr>
            <w:tcW w:type="dxa" w:w="3685"/>
          </w:tcPr>
          <w:p>
            <w:pPr>
              <w:spacing w:before="40" w:after="40"/>
              <w:jc w:val="left"/>
            </w:pPr>
            <w:r>
              <w:rPr>
                <w:rFonts w:ascii="宋体" w:hAnsi="宋体" w:eastAsia="宋体"/>
                <w:b w:val="0"/>
                <w:i w:val="0"/>
                <w:sz w:val="20"/>
              </w:rPr>
              <w:t>随机存取存储器；电脑语境常指主存</w:t>
            </w:r>
          </w:p>
        </w:tc>
        <w:tc>
          <w:tcPr>
            <w:tcW w:type="dxa" w:w="3685"/>
          </w:tcPr>
          <w:p>
            <w:pPr>
              <w:spacing w:before="40" w:after="40"/>
              <w:jc w:val="left"/>
            </w:pPr>
            <w:r>
              <w:rPr>
                <w:rFonts w:ascii="宋体" w:hAnsi="宋体" w:eastAsia="宋体"/>
                <w:b w:val="0"/>
                <w:i w:val="0"/>
                <w:sz w:val="20"/>
              </w:rPr>
              <w:t>保存运行中的程序和数据</w:t>
            </w:r>
          </w:p>
        </w:tc>
      </w:tr>
      <w:tr>
        <w:trPr>
          <w:cantSplit/>
        </w:trPr>
        <w:tc>
          <w:tcPr>
            <w:tcW w:type="dxa" w:w="1701"/>
          </w:tcPr>
          <w:p>
            <w:pPr>
              <w:spacing w:before="40" w:after="40"/>
              <w:jc w:val="left"/>
            </w:pPr>
            <w:r>
              <w:rPr>
                <w:rFonts w:ascii="宋体" w:hAnsi="宋体" w:eastAsia="宋体"/>
                <w:b w:val="0"/>
                <w:i w:val="0"/>
                <w:sz w:val="20"/>
              </w:rPr>
              <w:t>DRAM</w:t>
            </w:r>
          </w:p>
        </w:tc>
        <w:tc>
          <w:tcPr>
            <w:tcW w:type="dxa" w:w="3685"/>
          </w:tcPr>
          <w:p>
            <w:pPr>
              <w:spacing w:before="40" w:after="40"/>
              <w:jc w:val="left"/>
            </w:pPr>
            <w:r>
              <w:rPr>
                <w:rFonts w:ascii="宋体" w:hAnsi="宋体" w:eastAsia="宋体"/>
                <w:b w:val="0"/>
                <w:i w:val="0"/>
                <w:sz w:val="20"/>
              </w:rPr>
              <w:t>需刷新保存信息的 RAM 技术</w:t>
            </w:r>
          </w:p>
        </w:tc>
        <w:tc>
          <w:tcPr>
            <w:tcW w:type="dxa" w:w="3685"/>
          </w:tcPr>
          <w:p>
            <w:pPr>
              <w:spacing w:before="40" w:after="40"/>
              <w:jc w:val="left"/>
            </w:pPr>
            <w:r>
              <w:rPr>
                <w:rFonts w:ascii="宋体" w:hAnsi="宋体" w:eastAsia="宋体"/>
                <w:b w:val="0"/>
                <w:i w:val="0"/>
                <w:sz w:val="20"/>
              </w:rPr>
              <w:t>个人电脑及服务器主存的重要基础</w:t>
            </w:r>
          </w:p>
        </w:tc>
      </w:tr>
      <w:tr>
        <w:trPr>
          <w:cantSplit/>
        </w:trPr>
        <w:tc>
          <w:tcPr>
            <w:tcW w:type="dxa" w:w="1701"/>
          </w:tcPr>
          <w:p>
            <w:pPr>
              <w:spacing w:before="40" w:after="40"/>
              <w:jc w:val="left"/>
            </w:pPr>
            <w:r>
              <w:rPr>
                <w:rFonts w:ascii="宋体" w:hAnsi="宋体" w:eastAsia="宋体"/>
                <w:b w:val="0"/>
                <w:i w:val="0"/>
                <w:sz w:val="20"/>
              </w:rPr>
              <w:t>DDR4/DDR5</w:t>
            </w:r>
          </w:p>
        </w:tc>
        <w:tc>
          <w:tcPr>
            <w:tcW w:type="dxa" w:w="3685"/>
          </w:tcPr>
          <w:p>
            <w:pPr>
              <w:spacing w:before="40" w:after="40"/>
              <w:jc w:val="left"/>
            </w:pPr>
            <w:r>
              <w:rPr>
                <w:rFonts w:ascii="宋体" w:hAnsi="宋体" w:eastAsia="宋体"/>
                <w:b w:val="0"/>
                <w:i w:val="0"/>
                <w:sz w:val="20"/>
              </w:rPr>
              <w:t>DDR DRAM 的不同代际</w:t>
            </w:r>
          </w:p>
        </w:tc>
        <w:tc>
          <w:tcPr>
            <w:tcW w:type="dxa" w:w="3685"/>
          </w:tcPr>
          <w:p>
            <w:pPr>
              <w:spacing w:before="40" w:after="40"/>
              <w:jc w:val="left"/>
            </w:pPr>
            <w:r>
              <w:rPr>
                <w:rFonts w:ascii="宋体" w:hAnsi="宋体" w:eastAsia="宋体"/>
                <w:b w:val="0"/>
                <w:i w:val="0"/>
                <w:sz w:val="20"/>
              </w:rPr>
              <w:t>常见主存产品；须匹配 CPU 及主板</w:t>
            </w:r>
          </w:p>
        </w:tc>
      </w:tr>
      <w:tr>
        <w:trPr>
          <w:cantSplit/>
        </w:trPr>
        <w:tc>
          <w:tcPr>
            <w:tcW w:type="dxa" w:w="1701"/>
          </w:tcPr>
          <w:p>
            <w:pPr>
              <w:spacing w:before="40" w:after="40"/>
              <w:jc w:val="left"/>
            </w:pPr>
            <w:r>
              <w:rPr>
                <w:rFonts w:ascii="宋体" w:hAnsi="宋体" w:eastAsia="宋体"/>
                <w:b w:val="0"/>
                <w:i w:val="0"/>
                <w:sz w:val="20"/>
              </w:rPr>
              <w:t>HBM</w:t>
            </w:r>
          </w:p>
        </w:tc>
        <w:tc>
          <w:tcPr>
            <w:tcW w:type="dxa" w:w="3685"/>
          </w:tcPr>
          <w:p>
            <w:pPr>
              <w:spacing w:before="40" w:after="40"/>
              <w:jc w:val="left"/>
            </w:pPr>
            <w:r>
              <w:rPr>
                <w:rFonts w:ascii="宋体" w:hAnsi="宋体" w:eastAsia="宋体"/>
                <w:b w:val="0"/>
                <w:i w:val="0"/>
                <w:sz w:val="20"/>
              </w:rPr>
              <w:t>堆叠式高带宽 DRAM；靠近加速器</w:t>
            </w:r>
          </w:p>
        </w:tc>
        <w:tc>
          <w:tcPr>
            <w:tcW w:type="dxa" w:w="3685"/>
          </w:tcPr>
          <w:p>
            <w:pPr>
              <w:spacing w:before="40" w:after="40"/>
              <w:jc w:val="left"/>
            </w:pPr>
            <w:r>
              <w:rPr>
                <w:rFonts w:ascii="宋体" w:hAnsi="宋体" w:eastAsia="宋体"/>
                <w:b w:val="0"/>
                <w:i w:val="0"/>
                <w:sz w:val="20"/>
              </w:rPr>
              <w:t>服务 AI 等高吞吐计算；不是普通内存条</w:t>
            </w:r>
          </w:p>
        </w:tc>
      </w:tr>
      <w:tr>
        <w:trPr>
          <w:cantSplit/>
        </w:trPr>
        <w:tc>
          <w:tcPr>
            <w:tcW w:type="dxa" w:w="1701"/>
          </w:tcPr>
          <w:p>
            <w:pPr>
              <w:spacing w:before="40" w:after="40"/>
              <w:jc w:val="left"/>
            </w:pPr>
            <w:r>
              <w:rPr>
                <w:rFonts w:ascii="宋体" w:hAnsi="宋体" w:eastAsia="宋体"/>
                <w:b w:val="0"/>
                <w:i w:val="0"/>
                <w:sz w:val="20"/>
              </w:rPr>
              <w:t>GDDR</w:t>
            </w:r>
          </w:p>
        </w:tc>
        <w:tc>
          <w:tcPr>
            <w:tcW w:type="dxa" w:w="3685"/>
          </w:tcPr>
          <w:p>
            <w:pPr>
              <w:spacing w:before="40" w:after="40"/>
              <w:jc w:val="left"/>
            </w:pPr>
            <w:r>
              <w:rPr>
                <w:rFonts w:ascii="宋体" w:hAnsi="宋体" w:eastAsia="宋体"/>
                <w:b w:val="0"/>
                <w:i w:val="0"/>
                <w:sz w:val="20"/>
              </w:rPr>
              <w:t>常见图形显存技术</w:t>
            </w:r>
          </w:p>
        </w:tc>
        <w:tc>
          <w:tcPr>
            <w:tcW w:type="dxa" w:w="3685"/>
          </w:tcPr>
          <w:p>
            <w:pPr>
              <w:spacing w:before="40" w:after="40"/>
              <w:jc w:val="left"/>
            </w:pPr>
            <w:r>
              <w:rPr>
                <w:rFonts w:ascii="宋体" w:hAnsi="宋体" w:eastAsia="宋体"/>
                <w:b w:val="0"/>
                <w:i w:val="0"/>
                <w:sz w:val="20"/>
              </w:rPr>
              <w:t>与 GPU 图形数据访问有关</w:t>
            </w:r>
          </w:p>
        </w:tc>
      </w:tr>
      <w:tr>
        <w:trPr>
          <w:cantSplit/>
        </w:trPr>
        <w:tc>
          <w:tcPr>
            <w:tcW w:type="dxa" w:w="1701"/>
          </w:tcPr>
          <w:p>
            <w:pPr>
              <w:spacing w:before="40" w:after="40"/>
              <w:jc w:val="left"/>
            </w:pPr>
            <w:r>
              <w:rPr>
                <w:rFonts w:ascii="宋体" w:hAnsi="宋体" w:eastAsia="宋体"/>
                <w:b w:val="0"/>
                <w:i w:val="0"/>
                <w:sz w:val="20"/>
              </w:rPr>
              <w:t>NAND/SSD</w:t>
            </w:r>
          </w:p>
        </w:tc>
        <w:tc>
          <w:tcPr>
            <w:tcW w:type="dxa" w:w="3685"/>
          </w:tcPr>
          <w:p>
            <w:pPr>
              <w:spacing w:before="40" w:after="40"/>
              <w:jc w:val="left"/>
            </w:pPr>
            <w:r>
              <w:rPr>
                <w:rFonts w:ascii="宋体" w:hAnsi="宋体" w:eastAsia="宋体"/>
                <w:b w:val="0"/>
                <w:i w:val="0"/>
                <w:sz w:val="20"/>
              </w:rPr>
              <w:t>闪存及其存储设备；长期保存文件</w:t>
            </w:r>
          </w:p>
        </w:tc>
        <w:tc>
          <w:tcPr>
            <w:tcW w:type="dxa" w:w="3685"/>
          </w:tcPr>
          <w:p>
            <w:pPr>
              <w:spacing w:before="40" w:after="40"/>
              <w:jc w:val="left"/>
            </w:pPr>
            <w:r>
              <w:rPr>
                <w:rFonts w:ascii="宋体" w:hAnsi="宋体" w:eastAsia="宋体"/>
                <w:b w:val="0"/>
                <w:i w:val="0"/>
                <w:sz w:val="20"/>
              </w:rPr>
              <w:t>属于存储市场，但不是 DRAM 主存</w:t>
            </w:r>
          </w:p>
        </w:tc>
      </w:tr>
    </w:tbl>
    <w:p>
      <w:pPr>
        <w:spacing w:after="200"/>
        <w:jc w:val="center"/>
      </w:pPr>
      <w:r>
        <w:rPr>
          <w:rFonts w:ascii="宋体" w:hAnsi="宋体" w:eastAsia="宋体"/>
          <w:b w:val="0"/>
          <w:i w:val="0"/>
          <w:color w:val="666666"/>
          <w:sz w:val="18"/>
        </w:rPr>
        <w:t>资料来源：依据厂商公开技术文档与产品页整理</w:t>
      </w:r>
    </w:p>
    <w:p>
      <w:pPr>
        <w:pStyle w:val="Heading1"/>
        <w:keepNext/>
        <w:spacing w:before="280" w:after="120"/>
      </w:pPr>
      <w:r>
        <w:rPr>
          <w:rFonts w:ascii="黑体" w:hAnsi="黑体" w:eastAsia="黑体"/>
          <w:b/>
          <w:i w:val="0"/>
          <w:color w:val="000000"/>
          <w:sz w:val="28"/>
        </w:rPr>
        <w:t>3　研究设计与方法</w:t>
      </w:r>
    </w:p>
    <w:p>
      <w:pPr>
        <w:pStyle w:val="Heading2"/>
        <w:keepNext/>
        <w:spacing w:before="200" w:after="80"/>
      </w:pPr>
      <w:r>
        <w:rPr>
          <w:rFonts w:ascii="黑体" w:hAnsi="黑体" w:eastAsia="黑体"/>
          <w:b/>
          <w:i w:val="0"/>
          <w:color w:val="000000"/>
          <w:sz w:val="24"/>
        </w:rPr>
        <w:t>3.1　方法框架</w:t>
      </w:r>
    </w:p>
    <w:p>
      <w:pPr>
        <w:spacing w:line="360" w:lineRule="auto" w:before="0" w:after="0"/>
        <w:ind w:firstLine="480"/>
        <w:jc w:val="both"/>
      </w:pPr>
      <w:r>
        <w:rPr>
          <w:rFonts w:ascii="宋体" w:hAnsi="宋体" w:eastAsia="宋体"/>
          <w:b w:val="0"/>
          <w:i w:val="0"/>
          <w:sz w:val="24"/>
        </w:rPr>
        <w:t>本文将问题拆为“技术事实—计算假设—市场观察—政策事件”四类信息，分别处理。技术事实以厂商文档与官方配置页为准；计算假设给出参数与公式，结果标注为估算；市场观察保留机构名称、发布日期与统计口径；政策事件以政府公告原文为准，并注明其为历史案例而非现行法规全量。</w:t>
      </w:r>
    </w:p>
    <w:p>
      <w:pPr>
        <w:pStyle w:val="Heading2"/>
        <w:keepNext/>
        <w:spacing w:before="200" w:after="80"/>
      </w:pPr>
      <w:r>
        <w:rPr>
          <w:rFonts w:ascii="黑体" w:hAnsi="黑体" w:eastAsia="黑体"/>
          <w:b/>
          <w:i w:val="0"/>
          <w:color w:val="000000"/>
          <w:sz w:val="24"/>
        </w:rPr>
        <w:t>3.2　理论估算模型</w:t>
      </w:r>
    </w:p>
    <w:p>
      <w:pPr>
        <w:spacing w:line="360" w:lineRule="auto" w:before="0" w:after="0"/>
        <w:ind w:firstLine="480"/>
        <w:jc w:val="both"/>
      </w:pPr>
      <w:r>
        <w:rPr>
          <w:rFonts w:ascii="宋体" w:hAnsi="宋体" w:eastAsia="宋体"/>
          <w:b w:val="0"/>
          <w:i w:val="0"/>
          <w:sz w:val="24"/>
        </w:rPr>
        <w:t>大模型推理不仅进行大量运算，还要不断读取模型权重，并保存与上下文相关的中间数据。权重容量可用“参数量 × 每个参数的字节数”作初步估计。假设模型有 70 亿个参数，全部权重采用 FP16，每个参数占 2 字节，则权重为 70 亿 × 2＝140 亿字节，即 14 GB，约 13.0 GiB（GB 按 10 的 9 次方字节计算，GiB 按 2 的 30 次方字节计算）。该结果仅涵盖权重，不含 KV 缓存、运行框架、临时张量与其他开销。</w:t>
      </w:r>
    </w:p>
    <w:p>
      <w:pPr>
        <w:spacing w:line="360" w:lineRule="auto" w:before="0" w:after="0"/>
        <w:ind w:firstLine="480"/>
        <w:jc w:val="both"/>
      </w:pPr>
      <w:r>
        <w:rPr>
          <w:rFonts w:ascii="宋体" w:hAnsi="宋体" w:eastAsia="宋体"/>
          <w:b w:val="0"/>
          <w:i w:val="0"/>
          <w:sz w:val="24"/>
        </w:rPr>
        <w:t>对于传统多头注意力的一组假设配置，KV 缓存字节数可近似写为：M＝2×B×T×L×Hkv×d×b。其中 2 代表键与值两份数据，B 为批量，T 为每个请求保存的 token 数，L 为层数，Hkv 为 KV 头数，d 为每头维度，b 为每个元素的字节数。令 B＝1、T＝4096、L＝32、Hkv＝32、d＝128、b＝2，可得 M＝2147483648 字节＝2 GiB；保持其他条件不变，B 增至 4 时约为 8 GiB；若把序列长度从 4096 增加到 16384，KV 缓存也相应增加到约 8 GiB。不同序列长度下的理论缓存量见图 3。</w:t>
      </w:r>
    </w:p>
    <w:p>
      <w:pPr>
        <w:spacing w:before="160" w:after="40"/>
        <w:jc w:val="center"/>
      </w:pPr>
      <w:r>
        <w:drawing>
          <wp:inline xmlns:a="http://schemas.openxmlformats.org/drawingml/2006/main" xmlns:pic="http://schemas.openxmlformats.org/drawingml/2006/picture">
            <wp:extent cx="4320000" cy="2430000"/>
            <wp:docPr id="2" name="Picture 2"/>
            <wp:cNvGraphicFramePr>
              <a:graphicFrameLocks noChangeAspect="1"/>
            </wp:cNvGraphicFramePr>
            <a:graphic>
              <a:graphicData uri="http://schemas.openxmlformats.org/drawingml/2006/picture">
                <pic:pic>
                  <pic:nvPicPr>
                    <pic:cNvPr id="0" name="kv.png"/>
                    <pic:cNvPicPr/>
                  </pic:nvPicPr>
                  <pic:blipFill>
                    <a:blip r:embed="rId10"/>
                    <a:stretch>
                      <a:fillRect/>
                    </a:stretch>
                  </pic:blipFill>
                  <pic:spPr>
                    <a:xfrm>
                      <a:off x="0" y="0"/>
                      <a:ext cx="4320000" cy="2430000"/>
                    </a:xfrm>
                    <a:prstGeom prst="rect"/>
                  </pic:spPr>
                </pic:pic>
              </a:graphicData>
            </a:graphic>
          </wp:inline>
        </w:drawing>
      </w:r>
    </w:p>
    <w:p>
      <w:pPr>
        <w:spacing w:before="40" w:after="40"/>
        <w:jc w:val="center"/>
      </w:pPr>
      <w:r>
        <w:rPr>
          <w:rFonts w:ascii="宋体" w:hAnsi="宋体" w:eastAsia="宋体"/>
          <w:b/>
          <w:i w:val="0"/>
          <w:sz w:val="21"/>
        </w:rPr>
        <w:t>图 3　序列长度增加时 KV 缓存的理论增长（4096 / 8192 / 16384 token）</w:t>
      </w:r>
    </w:p>
    <w:p>
      <w:pPr>
        <w:spacing w:after="200"/>
        <w:jc w:val="center"/>
      </w:pPr>
      <w:r>
        <w:rPr>
          <w:rFonts w:ascii="宋体" w:hAnsi="宋体" w:eastAsia="宋体"/>
          <w:b w:val="0"/>
          <w:i w:val="0"/>
          <w:color w:val="666666"/>
          <w:sz w:val="18"/>
        </w:rPr>
        <w:t>图片来源：本文按 3.2 节公式计算绘制；横轴为序列长度，纵轴为 KV 缓存容量</w:t>
      </w:r>
    </w:p>
    <w:p>
      <w:pPr>
        <w:pStyle w:val="Heading2"/>
        <w:keepNext/>
        <w:spacing w:before="200" w:after="80"/>
      </w:pPr>
      <w:r>
        <w:rPr>
          <w:rFonts w:ascii="黑体" w:hAnsi="黑体" w:eastAsia="黑体"/>
          <w:b/>
          <w:i w:val="0"/>
          <w:color w:val="000000"/>
          <w:sz w:val="24"/>
        </w:rPr>
        <w:t>3.3　数据口径与适用边界</w:t>
      </w:r>
    </w:p>
    <w:p>
      <w:pPr>
        <w:spacing w:line="360" w:lineRule="auto" w:before="0" w:after="0"/>
        <w:ind w:firstLine="480"/>
        <w:jc w:val="both"/>
      </w:pPr>
      <w:r>
        <w:rPr>
          <w:rFonts w:ascii="宋体" w:hAnsi="宋体" w:eastAsia="宋体"/>
          <w:b w:val="0"/>
          <w:i w:val="0"/>
          <w:sz w:val="24"/>
        </w:rPr>
        <w:t>市场部分涉及三类价格：合约价通常对应供应商与大型客户约定的采购条件；现货价反映较即时的交易；零售价还包含模组加工、品牌、渠道、税费、售后与促销。芯片合约价发生变化后，零售端可能因旧库存而延迟调整，也可能因预期而提前调整。不同产品、不同时间与不同交易环节的数据不能拼成一条连续价格曲线，这是本文引用市场数据时的基本约束。此外，公开传播中常见把产品厚度与硬币直径并置的对比方式（俗称“雷军对比法”）。这类对比能迅速建立尺寸感，但参照物本身也有误差：硬币平放时比较厚度、立起时比较直径，取景角度还会放大差异，因此只能作为示意图，不能当作测量结论。</w:t>
      </w:r>
    </w:p>
    <w:p>
      <w:pPr>
        <w:pStyle w:val="Heading1"/>
        <w:keepNext/>
        <w:spacing w:before="280" w:after="120"/>
      </w:pPr>
      <w:r>
        <w:rPr>
          <w:rFonts w:ascii="黑体" w:hAnsi="黑体" w:eastAsia="黑体"/>
          <w:b/>
          <w:i w:val="0"/>
          <w:color w:val="000000"/>
          <w:sz w:val="28"/>
        </w:rPr>
        <w:t>4　结果与分析</w:t>
      </w:r>
    </w:p>
    <w:p>
      <w:pPr>
        <w:pStyle w:val="Heading2"/>
        <w:keepNext/>
        <w:spacing w:before="200" w:after="80"/>
      </w:pPr>
      <w:r>
        <w:rPr>
          <w:rFonts w:ascii="黑体" w:hAnsi="黑体" w:eastAsia="黑体"/>
          <w:b/>
          <w:i w:val="0"/>
          <w:color w:val="000000"/>
          <w:sz w:val="24"/>
        </w:rPr>
        <w:t>4.1　游戏性能：以 CS2 为例</w:t>
      </w:r>
    </w:p>
    <w:p>
      <w:pPr>
        <w:spacing w:line="360" w:lineRule="auto" w:before="0" w:after="0"/>
        <w:ind w:firstLine="480"/>
        <w:jc w:val="both"/>
      </w:pPr>
      <w:r>
        <w:rPr>
          <w:rFonts w:ascii="宋体" w:hAnsi="宋体" w:eastAsia="宋体"/>
          <w:b w:val="0"/>
          <w:i w:val="0"/>
          <w:sz w:val="24"/>
        </w:rPr>
        <w:t>CS2 运行时，CPU 负责游戏逻辑与部分物理、渲染提交，GPU 负责图形绘制，系统内存保存程序及运行数据，显存保存纹理等图形资源。Valve 商店页面列出的 Windows 最低配置包括 4 个硬件 CPU 线程、8 GB RAM、至少 1 GB 显存以及满足指定图形接口要求的显卡，另需 85 GB 可用存储空间[1]。最低配置说明基本运行门槛，不能当作高画质、高刷新率或稳定低延迟的保证。</w:t>
      </w:r>
    </w:p>
    <w:p>
      <w:pPr>
        <w:spacing w:line="360" w:lineRule="auto" w:before="0" w:after="0"/>
        <w:ind w:firstLine="480"/>
        <w:jc w:val="both"/>
      </w:pPr>
      <w:r>
        <w:rPr>
          <w:rFonts w:ascii="宋体" w:hAnsi="宋体" w:eastAsia="宋体"/>
          <w:b w:val="0"/>
          <w:i w:val="0"/>
          <w:sz w:val="24"/>
        </w:rPr>
        <w:t>在较低分辨率并追求高帧率时，CPU 可能先达到处理上限；提高分辨率、阴影或其他图形设置后，GPU 负担往往加重。内存容量不足时，后台程序与游戏竞争主存，换页或资源重新载入可能造成卡顿；容量充足以后，继续增加容量通常不会按比例增加帧率。因此，“CS2 吃 CPU 还是吃内存”应改为可观察的问题：当前设置下，哪个部件在限制帧生成？</w:t>
      </w:r>
    </w:p>
    <w:p>
      <w:pPr>
        <w:spacing w:line="360" w:lineRule="auto" w:before="0" w:after="0"/>
        <w:ind w:firstLine="480"/>
        <w:jc w:val="both"/>
      </w:pPr>
      <w:r>
        <w:rPr>
          <w:rFonts w:ascii="宋体" w:hAnsi="宋体" w:eastAsia="宋体"/>
          <w:b w:val="0"/>
          <w:i w:val="0"/>
          <w:sz w:val="24"/>
        </w:rPr>
        <w:t>合理的诊断应同时记录帧时间、CPU 各核心负载、GPU 利用率、系统内存占用及磁盘活动，并保持地图、画质、后台任务与温度条件一致。只看 CPU 总利用率可能掩盖某一核心繁忙；仅看内存占用较高，也不能直接证明容量不足。本文提出的是诊断方法，未给出未经实测的升级收益百分比。</w:t>
      </w:r>
    </w:p>
    <w:p>
      <w:pPr>
        <w:pStyle w:val="Heading2"/>
        <w:keepNext/>
        <w:spacing w:before="200" w:after="80"/>
      </w:pPr>
      <w:r>
        <w:rPr>
          <w:rFonts w:ascii="黑体" w:hAnsi="黑体" w:eastAsia="黑体"/>
          <w:b/>
          <w:i w:val="0"/>
          <w:color w:val="000000"/>
          <w:sz w:val="24"/>
        </w:rPr>
        <w:t>4.2　大模型推理的显存需求</w:t>
      </w:r>
    </w:p>
    <w:p>
      <w:pPr>
        <w:spacing w:line="360" w:lineRule="auto" w:before="0" w:after="0"/>
        <w:ind w:firstLine="480"/>
        <w:jc w:val="both"/>
      </w:pPr>
      <w:r>
        <w:rPr>
          <w:rFonts w:ascii="宋体" w:hAnsi="宋体" w:eastAsia="宋体"/>
          <w:b w:val="0"/>
          <w:i w:val="0"/>
          <w:sz w:val="24"/>
        </w:rPr>
        <w:t>按第 3.2 节的模型，70 亿参数 FP16 权重约 14 GB，但真实显存占用还要加上 KV 缓存、临时张量与运行框架。以 4096 token、单请求为例，KV 缓存约 2 GiB；序列长度增至 8192 与 16384 时分别约为 4 GiB 与 8 GiB。分组查询注意力等结构会改变 KV 头数，缓存量化与管理方式也会改变实际开销。因此，“模型参数相同”并不等于“部署内存需求相同”。</w:t>
      </w:r>
    </w:p>
    <w:p>
      <w:pPr>
        <w:spacing w:line="360" w:lineRule="auto" w:before="0" w:after="0"/>
        <w:ind w:firstLine="480"/>
        <w:jc w:val="both"/>
      </w:pPr>
      <w:r>
        <w:rPr>
          <w:rFonts w:ascii="宋体" w:hAnsi="宋体" w:eastAsia="宋体"/>
          <w:b w:val="0"/>
          <w:i w:val="0"/>
          <w:sz w:val="24"/>
        </w:rPr>
        <w:t>推理速度还与带宽有关。生成阶段每一步都需要访问大量权重与缓存，如果数据供给速度跟不上计算单元，系统可能受到内存带宽限制[2]。训练与推理的资源构成也有差别：训练需要保存梯度、优化器状态及部分中间结果，本文的权重与 KV 缓存估算不能直接用作训练显存需求。</w:t>
      </w:r>
    </w:p>
    <w:p>
      <w:pPr>
        <w:spacing w:before="160" w:after="40"/>
        <w:jc w:val="center"/>
      </w:pPr>
      <w:r>
        <w:drawing>
          <wp:inline xmlns:a="http://schemas.openxmlformats.org/drawingml/2006/main" xmlns:pic="http://schemas.openxmlformats.org/drawingml/2006/picture">
            <wp:extent cx="4320000" cy="2700000"/>
            <wp:docPr id="3" name="Picture 3"/>
            <wp:cNvGraphicFramePr>
              <a:graphicFrameLocks noChangeAspect="1"/>
            </wp:cNvGraphicFramePr>
            <a:graphic>
              <a:graphicData uri="http://schemas.openxmlformats.org/drawingml/2006/picture">
                <pic:pic>
                  <pic:nvPicPr>
                    <pic:cNvPr id="0" name="donut.png"/>
                    <pic:cNvPicPr/>
                  </pic:nvPicPr>
                  <pic:blipFill>
                    <a:blip r:embed="rId11"/>
                    <a:stretch>
                      <a:fillRect/>
                    </a:stretch>
                  </pic:blipFill>
                  <pic:spPr>
                    <a:xfrm>
                      <a:off x="0" y="0"/>
                      <a:ext cx="4320000" cy="2700000"/>
                    </a:xfrm>
                    <a:prstGeom prst="rect"/>
                  </pic:spPr>
                </pic:pic>
              </a:graphicData>
            </a:graphic>
          </wp:inline>
        </w:drawing>
      </w:r>
    </w:p>
    <w:p>
      <w:pPr>
        <w:spacing w:before="40" w:after="40"/>
        <w:jc w:val="center"/>
      </w:pPr>
      <w:r>
        <w:rPr>
          <w:rFonts w:ascii="宋体" w:hAnsi="宋体" w:eastAsia="宋体"/>
          <w:b/>
          <w:i w:val="0"/>
          <w:sz w:val="21"/>
        </w:rPr>
        <w:t>图 5　2026 年第二季度全球 DRAM 营收份额（前三家合计 87.6%）</w:t>
      </w:r>
    </w:p>
    <w:p>
      <w:pPr>
        <w:spacing w:after="200"/>
        <w:jc w:val="center"/>
      </w:pPr>
      <w:r>
        <w:rPr>
          <w:rFonts w:ascii="宋体" w:hAnsi="宋体" w:eastAsia="宋体"/>
          <w:b w:val="0"/>
          <w:i w:val="0"/>
          <w:color w:val="666666"/>
          <w:sz w:val="18"/>
        </w:rPr>
        <w:t>图片来源：TrendForce 2026-09-07；弧长为营收份额，其余 12.4% 为其他厂商</w:t>
      </w:r>
    </w:p>
    <w:p>
      <w:pPr>
        <w:pStyle w:val="Heading2"/>
        <w:keepNext/>
        <w:spacing w:before="200" w:after="80"/>
      </w:pPr>
      <w:r>
        <w:rPr>
          <w:rFonts w:ascii="黑体" w:hAnsi="黑体" w:eastAsia="黑体"/>
          <w:b/>
          <w:i w:val="0"/>
          <w:color w:val="000000"/>
          <w:sz w:val="24"/>
        </w:rPr>
        <w:t>4.3　AI 需求与存储价格的传导机制</w:t>
      </w:r>
    </w:p>
    <w:p>
      <w:pPr>
        <w:spacing w:line="360" w:lineRule="auto" w:before="0" w:after="0"/>
        <w:ind w:firstLine="480"/>
        <w:jc w:val="both"/>
      </w:pPr>
      <w:r>
        <w:rPr>
          <w:rFonts w:ascii="宋体" w:hAnsi="宋体" w:eastAsia="宋体"/>
          <w:b w:val="0"/>
          <w:i w:val="0"/>
          <w:sz w:val="24"/>
        </w:rPr>
        <w:t>内存价格由需求、供给与库存共同形成。AI 服务器需求扩大时，供应商可能将有限资源优先用于高收益产品，其他产品获得的增量供给就会受到影响，这一传导路径见图 4。产能转换需要设备、工艺与客户验证，不能理解为把一块普通内存条直接改装成 HBM。TrendForce 在 2026 年 9 月 29 日的研究中指出，AI 服务器扩张使 HBM 与一般 DRAM 竞争有限的先进制程与晶圆产能，新产品良率及产量提升也需要时间[6]。</w:t>
      </w:r>
    </w:p>
    <w:p>
      <w:pPr>
        <w:spacing w:line="360" w:lineRule="auto" w:before="0" w:after="0"/>
        <w:ind w:firstLine="480"/>
        <w:jc w:val="both"/>
      </w:pPr>
      <w:r>
        <w:rPr>
          <w:rFonts w:ascii="宋体" w:hAnsi="宋体" w:eastAsia="宋体"/>
          <w:b w:val="0"/>
          <w:i w:val="0"/>
          <w:sz w:val="24"/>
        </w:rPr>
        <w:t>公开资料能够支持“某些产品在特定阶段明显涨价”，但需要保留对象与时间限定。2025 年 8 月 11 日，TrendForce 称 2025 年 7 月消费类 DDR4 合约价出现 60–85% 的涨幅；其消费类 DRAM 主要指工控、网络、电视等应用，不直接等于个人电脑零售内存条[3]。2026 年 9 月 30 日，该机构预测 2026 年第四季度一般 DRAM 合约价将较上一季度上涨 10–15%[4]，该结论在本文检索时仍为预测。两条资料的对象、时间与适用限制见表 2。</w:t>
      </w:r>
    </w:p>
    <w:p>
      <w:pPr>
        <w:spacing w:line="360" w:lineRule="auto" w:before="0" w:after="0"/>
        <w:ind w:firstLine="480"/>
        <w:jc w:val="both"/>
      </w:pPr>
      <w:r>
        <w:rPr>
          <w:rFonts w:ascii="宋体" w:hAnsi="宋体" w:eastAsia="宋体"/>
          <w:b w:val="0"/>
          <w:i w:val="0"/>
          <w:sz w:val="24"/>
        </w:rPr>
        <w:t>价格判断还应避免把营收增长等同于单价上涨。企业营收同时受到销量、售价与产品组合影响；高价 HBM 占比提高，即使其他产品价格没有同比例变化，也可能抬高平均收入。本文据此判断，AI 需求是解释市场变化的重要因素，但现有公开证据不足以精确分离其对每一款零售产品价格的独立贡献。</w:t>
      </w:r>
    </w:p>
    <w:p>
      <w:pPr>
        <w:spacing w:before="160" w:after="40"/>
        <w:jc w:val="center"/>
      </w:pPr>
      <w:r>
        <w:drawing>
          <wp:inline xmlns:a="http://schemas.openxmlformats.org/drawingml/2006/main" xmlns:pic="http://schemas.openxmlformats.org/drawingml/2006/picture">
            <wp:extent cx="4320000" cy="2700000"/>
            <wp:docPr id="4" name="Picture 4"/>
            <wp:cNvGraphicFramePr>
              <a:graphicFrameLocks noChangeAspect="1"/>
            </wp:cNvGraphicFramePr>
            <a:graphic>
              <a:graphicData uri="http://schemas.openxmlformats.org/drawingml/2006/picture">
                <pic:pic>
                  <pic:nvPicPr>
                    <pic:cNvPr id="0" name="chain.png"/>
                    <pic:cNvPicPr/>
                  </pic:nvPicPr>
                  <pic:blipFill>
                    <a:blip r:embed="rId12"/>
                    <a:stretch>
                      <a:fillRect/>
                    </a:stretch>
                  </pic:blipFill>
                  <pic:spPr>
                    <a:xfrm>
                      <a:off x="0" y="0"/>
                      <a:ext cx="4320000" cy="2700000"/>
                    </a:xfrm>
                    <a:prstGeom prst="rect"/>
                  </pic:spPr>
                </pic:pic>
              </a:graphicData>
            </a:graphic>
          </wp:inline>
        </w:drawing>
      </w:r>
    </w:p>
    <w:p>
      <w:pPr>
        <w:spacing w:before="40" w:after="40"/>
        <w:jc w:val="center"/>
      </w:pPr>
      <w:r>
        <w:rPr>
          <w:rFonts w:ascii="宋体" w:hAnsi="宋体" w:eastAsia="宋体"/>
          <w:b/>
          <w:i w:val="0"/>
          <w:sz w:val="21"/>
        </w:rPr>
        <w:t>图 4　AI 需求向存储价格的传导路径：服务器需求—先进制程—其他 DRAM 供给</w:t>
      </w:r>
    </w:p>
    <w:p>
      <w:pPr>
        <w:spacing w:after="200"/>
        <w:jc w:val="center"/>
      </w:pPr>
      <w:r>
        <w:rPr>
          <w:rFonts w:ascii="宋体" w:hAnsi="宋体" w:eastAsia="宋体"/>
          <w:b w:val="0"/>
          <w:i w:val="0"/>
          <w:color w:val="666666"/>
          <w:sz w:val="18"/>
        </w:rPr>
        <w:t>图片来源：本文绘制，依据 TrendForce 公开研究整理</w:t>
      </w:r>
    </w:p>
    <w:p>
      <w:pPr>
        <w:spacing w:before="120" w:after="80"/>
        <w:jc w:val="center"/>
      </w:pPr>
      <w:r>
        <w:rPr>
          <w:rFonts w:ascii="宋体" w:hAnsi="宋体" w:eastAsia="宋体"/>
          <w:b/>
          <w:i w:val="0"/>
          <w:sz w:val="21"/>
        </w:rPr>
        <w:t>表 2　市场价格证据及其适用范围</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1814"/>
          </w:tcPr>
          <w:p>
            <w:pPr>
              <w:spacing w:before="40" w:after="40"/>
              <w:jc w:val="center"/>
            </w:pPr>
            <w:r>
              <w:rPr>
                <w:rFonts w:ascii="宋体" w:hAnsi="宋体" w:eastAsia="宋体"/>
                <w:b/>
                <w:i w:val="0"/>
                <w:sz w:val="20"/>
              </w:rPr>
              <w:t>资料日期</w:t>
            </w:r>
          </w:p>
        </w:tc>
        <w:tc>
          <w:tcPr>
            <w:tcW w:type="dxa" w:w="3742"/>
          </w:tcPr>
          <w:p>
            <w:pPr>
              <w:spacing w:before="40" w:after="40"/>
              <w:jc w:val="center"/>
            </w:pPr>
            <w:r>
              <w:rPr>
                <w:rFonts w:ascii="宋体" w:hAnsi="宋体" w:eastAsia="宋体"/>
                <w:b/>
                <w:i w:val="0"/>
                <w:sz w:val="20"/>
              </w:rPr>
              <w:t>对象与报告内容</w:t>
            </w:r>
          </w:p>
        </w:tc>
        <w:tc>
          <w:tcPr>
            <w:tcW w:type="dxa" w:w="3515"/>
          </w:tcPr>
          <w:p>
            <w:pPr>
              <w:spacing w:before="40" w:after="40"/>
              <w:jc w:val="center"/>
            </w:pPr>
            <w:r>
              <w:rPr>
                <w:rFonts w:ascii="宋体" w:hAnsi="宋体" w:eastAsia="宋体"/>
                <w:b/>
                <w:i w:val="0"/>
                <w:sz w:val="20"/>
              </w:rPr>
              <w:t>可支持的结论与限制</w:t>
            </w:r>
          </w:p>
        </w:tc>
      </w:tr>
      <w:tr>
        <w:trPr>
          <w:cantSplit/>
        </w:trPr>
        <w:tc>
          <w:tcPr>
            <w:tcW w:type="dxa" w:w="1814"/>
          </w:tcPr>
          <w:p>
            <w:pPr>
              <w:spacing w:before="40" w:after="40"/>
              <w:jc w:val="left"/>
            </w:pPr>
            <w:r>
              <w:rPr>
                <w:rFonts w:ascii="宋体" w:hAnsi="宋体" w:eastAsia="宋体"/>
                <w:b w:val="0"/>
                <w:i w:val="0"/>
                <w:sz w:val="20"/>
              </w:rPr>
              <w:t>2025-08-11</w:t>
            </w:r>
          </w:p>
        </w:tc>
        <w:tc>
          <w:tcPr>
            <w:tcW w:type="dxa" w:w="3742"/>
          </w:tcPr>
          <w:p>
            <w:pPr>
              <w:spacing w:before="40" w:after="40"/>
              <w:jc w:val="left"/>
            </w:pPr>
            <w:r>
              <w:rPr>
                <w:rFonts w:ascii="宋体" w:hAnsi="宋体" w:eastAsia="宋体"/>
                <w:b w:val="0"/>
                <w:i w:val="0"/>
                <w:sz w:val="20"/>
              </w:rPr>
              <w:t>2025 年 7 月消费类 DDR4 合约价出现 60–85% 的涨幅[3]</w:t>
            </w:r>
          </w:p>
        </w:tc>
        <w:tc>
          <w:tcPr>
            <w:tcW w:type="dxa" w:w="3515"/>
          </w:tcPr>
          <w:p>
            <w:pPr>
              <w:spacing w:before="40" w:after="40"/>
              <w:jc w:val="left"/>
            </w:pPr>
            <w:r>
              <w:rPr>
                <w:rFonts w:ascii="宋体" w:hAnsi="宋体" w:eastAsia="宋体"/>
                <w:b w:val="0"/>
                <w:i w:val="0"/>
                <w:sz w:val="20"/>
              </w:rPr>
              <w:t>已发生的行业观察；用途含工控、网络、电视；不能等同 PC 零售内存条</w:t>
            </w:r>
          </w:p>
        </w:tc>
      </w:tr>
      <w:tr>
        <w:trPr>
          <w:cantSplit/>
        </w:trPr>
        <w:tc>
          <w:tcPr>
            <w:tcW w:type="dxa" w:w="1814"/>
          </w:tcPr>
          <w:p>
            <w:pPr>
              <w:spacing w:before="40" w:after="40"/>
              <w:jc w:val="left"/>
            </w:pPr>
            <w:r>
              <w:rPr>
                <w:rFonts w:ascii="宋体" w:hAnsi="宋体" w:eastAsia="宋体"/>
                <w:b w:val="0"/>
                <w:i w:val="0"/>
                <w:sz w:val="20"/>
              </w:rPr>
              <w:t>2026-09-30</w:t>
            </w:r>
          </w:p>
        </w:tc>
        <w:tc>
          <w:tcPr>
            <w:tcW w:type="dxa" w:w="3742"/>
          </w:tcPr>
          <w:p>
            <w:pPr>
              <w:spacing w:before="40" w:after="40"/>
              <w:jc w:val="left"/>
            </w:pPr>
            <w:r>
              <w:rPr>
                <w:rFonts w:ascii="宋体" w:hAnsi="宋体" w:eastAsia="宋体"/>
                <w:b w:val="0"/>
                <w:i w:val="0"/>
                <w:sz w:val="20"/>
              </w:rPr>
              <w:t>预测 2026 年第四季度一般 DRAM 合约价季涨 10–15%[4]</w:t>
            </w:r>
          </w:p>
        </w:tc>
        <w:tc>
          <w:tcPr>
            <w:tcW w:type="dxa" w:w="3515"/>
          </w:tcPr>
          <w:p>
            <w:pPr>
              <w:spacing w:before="40" w:after="40"/>
              <w:jc w:val="left"/>
            </w:pPr>
            <w:r>
              <w:rPr>
                <w:rFonts w:ascii="宋体" w:hAnsi="宋体" w:eastAsia="宋体"/>
                <w:b w:val="0"/>
                <w:i w:val="0"/>
                <w:sz w:val="20"/>
              </w:rPr>
              <w:t>预测值；检索时无完整季度结果；不是零售价涨幅</w:t>
            </w:r>
          </w:p>
        </w:tc>
      </w:tr>
    </w:tbl>
    <w:p>
      <w:pPr>
        <w:spacing w:after="200"/>
        <w:jc w:val="center"/>
      </w:pPr>
      <w:r>
        <w:rPr>
          <w:rFonts w:ascii="宋体" w:hAnsi="宋体" w:eastAsia="宋体"/>
          <w:b w:val="0"/>
          <w:i w:val="0"/>
          <w:color w:val="666666"/>
          <w:sz w:val="18"/>
        </w:rPr>
        <w:t>资料来源：TrendForce 公开研究；口径说明见 3.3 节</w:t>
      </w:r>
    </w:p>
    <w:p>
      <w:pPr>
        <w:pStyle w:val="Heading2"/>
        <w:keepNext/>
        <w:spacing w:before="200" w:after="80"/>
      </w:pPr>
      <w:r>
        <w:rPr>
          <w:rFonts w:ascii="黑体" w:hAnsi="黑体" w:eastAsia="黑体"/>
          <w:b/>
          <w:i w:val="0"/>
          <w:color w:val="000000"/>
          <w:sz w:val="24"/>
        </w:rPr>
        <w:t>4.4　市场集中度与政策约束</w:t>
      </w:r>
    </w:p>
    <w:p>
      <w:pPr>
        <w:spacing w:line="360" w:lineRule="auto" w:before="0" w:after="0"/>
        <w:ind w:firstLine="480"/>
        <w:jc w:val="both"/>
      </w:pPr>
      <w:r>
        <w:rPr>
          <w:rFonts w:ascii="宋体" w:hAnsi="宋体" w:eastAsia="宋体"/>
          <w:b w:val="0"/>
          <w:i w:val="0"/>
          <w:sz w:val="24"/>
        </w:rPr>
        <w:t>DRAM 产业具有较高的技术与资金门槛，市场份额可以用来观察供应集中程度。TrendForce 公布的 2026 年第二季度全球 DRAM 营收份额为：三星 39.4%、SK hynix 24.9%、美光 23.3%[5]，三者合计 87.6%，其余企业合计 12.4%，份额分布见图 5。该结果的分母是当季全球 DRAM 营收，包含不同 DRAM 产品，不是出货量、晶圆产能或零售内存条市场份额。</w:t>
      </w:r>
    </w:p>
    <w:p>
      <w:pPr>
        <w:spacing w:line="360" w:lineRule="auto" w:before="0" w:after="0"/>
        <w:ind w:firstLine="480"/>
        <w:jc w:val="both"/>
      </w:pPr>
      <w:r>
        <w:rPr>
          <w:rFonts w:ascii="宋体" w:hAnsi="宋体" w:eastAsia="宋体"/>
          <w:b w:val="0"/>
          <w:i w:val="0"/>
          <w:sz w:val="24"/>
        </w:rPr>
        <w:t>较高集中度意味着少数供应商的产品规划与产能分配可能影响行业供给，但集中度本身不能证明违法合谋，也不能证明某个国家能够任意决定所有产品价格。三星与 SK hynix 来自韩国，美光来自美国，存储供应还涉及材料、设备、软件、封装与下游整机等环节，因此应把企业竞争、跨国供应链与政府政策分开研究。</w:t>
      </w:r>
    </w:p>
    <w:p>
      <w:pPr>
        <w:spacing w:line="360" w:lineRule="auto" w:before="0" w:after="0"/>
        <w:ind w:firstLine="480"/>
        <w:jc w:val="both"/>
      </w:pPr>
      <w:r>
        <w:rPr>
          <w:rFonts w:ascii="宋体" w:hAnsi="宋体" w:eastAsia="宋体"/>
          <w:b w:val="0"/>
          <w:i w:val="0"/>
          <w:sz w:val="24"/>
        </w:rPr>
        <w:t>作为历史政策案例，美国商务部工业与安全局（BIS）在 2024 年 12 月 2 日公布的措施包括对 24 类半导体制造设备、3 类软件工具以及 HBM 的新管制[7]。其公告说明，部分外国制造产品在符合相关规则条件时也可能受到影响。该案例表明，一国可以通过特定技术与规则影响跨国供应，但不能据此写成“美国禁止一切普通内存条对华销售”，本文也不将其当作截至 2026 年 10 月的现行法规完整清单。</w:t>
      </w:r>
    </w:p>
    <w:p>
      <w:pPr>
        <w:pStyle w:val="Heading1"/>
        <w:keepNext/>
        <w:spacing w:before="280" w:after="120"/>
      </w:pPr>
      <w:r>
        <w:rPr>
          <w:rFonts w:ascii="黑体" w:hAnsi="黑体" w:eastAsia="黑体"/>
          <w:b/>
          <w:i w:val="0"/>
          <w:color w:val="000000"/>
          <w:sz w:val="28"/>
        </w:rPr>
        <w:t>5　讨论</w:t>
      </w:r>
    </w:p>
    <w:p>
      <w:pPr>
        <w:pStyle w:val="Heading2"/>
        <w:keepNext/>
        <w:spacing w:before="200" w:after="80"/>
      </w:pPr>
      <w:r>
        <w:rPr>
          <w:rFonts w:ascii="黑体" w:hAnsi="黑体" w:eastAsia="黑体"/>
          <w:b/>
          <w:i w:val="0"/>
          <w:color w:val="000000"/>
          <w:sz w:val="24"/>
        </w:rPr>
        <w:t>5.1　主要发现</w:t>
      </w:r>
    </w:p>
    <w:p>
      <w:pPr>
        <w:spacing w:line="360" w:lineRule="auto" w:before="0" w:after="0"/>
        <w:ind w:firstLine="480"/>
        <w:jc w:val="both"/>
      </w:pPr>
      <w:r>
        <w:rPr>
          <w:rFonts w:ascii="宋体" w:hAnsi="宋体" w:eastAsia="宋体"/>
          <w:b w:val="0"/>
          <w:i w:val="0"/>
          <w:sz w:val="24"/>
        </w:rPr>
        <w:t>第一，性能判断必须落到瓶颈：容量、带宽、算力与存储介质是不同维度，先识别限制来源，再讨论升级。第二，AI 需求通过服务器采购、先进制造资源与封装能力改变存储供需，但价格仍由多种因素共同决定。第三，价格结论必须说明产品对象、统计口径与时间范围；合约价、现货价与零售价不能混用，预测也不等于结果。</w:t>
      </w:r>
    </w:p>
    <w:p>
      <w:pPr>
        <w:pStyle w:val="Heading2"/>
        <w:keepNext/>
        <w:spacing w:before="200" w:after="80"/>
      </w:pPr>
      <w:r>
        <w:rPr>
          <w:rFonts w:ascii="黑体" w:hAnsi="黑体" w:eastAsia="黑体"/>
          <w:b/>
          <w:i w:val="0"/>
          <w:color w:val="000000"/>
          <w:sz w:val="24"/>
        </w:rPr>
        <w:t>5.2　与既有研究的比较</w:t>
      </w:r>
    </w:p>
    <w:p>
      <w:pPr>
        <w:spacing w:line="360" w:lineRule="auto" w:before="0" w:after="0"/>
        <w:ind w:firstLine="480"/>
        <w:jc w:val="both"/>
      </w:pPr>
      <w:r>
        <w:rPr>
          <w:rFonts w:ascii="宋体" w:hAnsi="宋体" w:eastAsia="宋体"/>
          <w:b w:val="0"/>
          <w:i w:val="0"/>
          <w:sz w:val="24"/>
        </w:rPr>
        <w:t>按资料类型看，本文使用的文献可分为四类。第一类是技术文档与官方配置页[1][2]，用于界定游戏与大模型推理的最低要求、显存占用与带宽影响；这类资料权威、可复核，但只描述产品能力，不涉及价格与市场。第二类是市场研究机构的新闻稿[3][4][5][6]，提供合约价涨跌幅、营收份额与产能判断；其价值在于口径明确、可追溯，局限在于多为预测，且“消费类 DRAM”“一般 DRAM”等口径不等于零售内存条。第三类是政府公告[7]与企业新闻[8]，前者说明管制的范围与生效条件，后者说明产品展示与量产之间的距离；两者都需要与后续执行情况对照，不能单独作为结论。第四类是网络视频[9]，反映公众对技术变化的直观感受，适合作为讨论起点，但不能替代数据。</w:t>
      </w:r>
    </w:p>
    <w:p>
      <w:pPr>
        <w:spacing w:line="360" w:lineRule="auto" w:before="0" w:after="0"/>
        <w:ind w:firstLine="480"/>
        <w:jc w:val="both"/>
      </w:pPr>
      <w:r>
        <w:rPr>
          <w:rFonts w:ascii="宋体" w:hAnsi="宋体" w:eastAsia="宋体"/>
          <w:b w:val="0"/>
          <w:i w:val="0"/>
          <w:sz w:val="24"/>
        </w:rPr>
        <w:t>与上述资料相比，本文的增量在于把技术机制与市场证据并置：先用概念区分明确对象，再用公式估算给出数量级，最后用带口径的公开数据检验市场判断。已有行业研究多以供应链与价格数据为主，较少同时讨论消费端的配置决策；已有技术文档也很少说明价格含义。</w:t>
      </w:r>
    </w:p>
    <w:p>
      <w:pPr>
        <w:pStyle w:val="Heading2"/>
        <w:keepNext/>
        <w:spacing w:before="200" w:after="80"/>
      </w:pPr>
      <w:r>
        <w:rPr>
          <w:rFonts w:ascii="黑体" w:hAnsi="黑体" w:eastAsia="黑体"/>
          <w:b/>
          <w:i w:val="0"/>
          <w:color w:val="000000"/>
          <w:sz w:val="24"/>
        </w:rPr>
        <w:t>5.3　研究局限</w:t>
      </w:r>
    </w:p>
    <w:p>
      <w:pPr>
        <w:spacing w:line="360" w:lineRule="auto" w:before="0" w:after="0"/>
        <w:ind w:firstLine="480"/>
        <w:jc w:val="both"/>
      </w:pPr>
      <w:r>
        <w:rPr>
          <w:rFonts w:ascii="宋体" w:hAnsi="宋体" w:eastAsia="宋体"/>
          <w:b w:val="0"/>
          <w:i w:val="0"/>
          <w:sz w:val="24"/>
        </w:rPr>
        <w:t>本文的局限主要有三点。其一，未开展游戏帧率实测与模型运行实验，技术部分的数量关系来自公式与公开文档，缺少同平台对照数据。其二，未建立同型号零售内存条的连续价格样本，市场部分依赖机构发布的合约价与份额数据，难以识别各因素的因果贡献。其三，政策部分仅选取一个历史案例，不能代表现行法规全貌。上述问题有待后续通过受控实验与长期价格跟踪补充。</w:t>
      </w:r>
    </w:p>
    <w:p>
      <w:pPr>
        <w:pStyle w:val="Heading1"/>
        <w:keepNext/>
        <w:spacing w:before="280" w:after="120"/>
      </w:pPr>
      <w:r>
        <w:rPr>
          <w:rFonts w:ascii="黑体" w:hAnsi="黑体" w:eastAsia="黑体"/>
          <w:b/>
          <w:i w:val="0"/>
          <w:color w:val="000000"/>
          <w:sz w:val="28"/>
        </w:rPr>
        <w:t>6　结论与建议</w:t>
      </w:r>
    </w:p>
    <w:p>
      <w:pPr>
        <w:pStyle w:val="Heading2"/>
        <w:keepNext/>
        <w:spacing w:before="200" w:after="80"/>
      </w:pPr>
      <w:r>
        <w:rPr>
          <w:rFonts w:ascii="黑体" w:hAnsi="黑体" w:eastAsia="黑体"/>
          <w:b/>
          <w:i w:val="0"/>
          <w:color w:val="000000"/>
          <w:sz w:val="24"/>
        </w:rPr>
        <w:t>6.1　结论</w:t>
      </w:r>
    </w:p>
    <w:p>
      <w:pPr>
        <w:spacing w:line="360" w:lineRule="auto" w:before="0" w:after="0"/>
        <w:ind w:firstLine="480"/>
        <w:jc w:val="both"/>
      </w:pPr>
      <w:r>
        <w:rPr>
          <w:rFonts w:ascii="宋体" w:hAnsi="宋体" w:eastAsia="宋体"/>
          <w:b w:val="0"/>
          <w:i w:val="0"/>
          <w:sz w:val="24"/>
        </w:rPr>
        <w:t>内存在游戏与 AI 系统中承担不同层次的数据保存与传输任务。判断电脑升级需求，应识别 CPU、GPU、主存与显存之间的实际瓶颈；评估大模型资源，应同时考虑权重、KV 缓存、运行开销与带宽。70 亿参数 FP16 权重约 14 GB 与 4096 token 下约 2 GiB 的 KV 缓存，仅说明估算方法及并发、上下文的影响，不能当作产品性能实测结论。</w:t>
      </w:r>
    </w:p>
    <w:p>
      <w:pPr>
        <w:spacing w:line="360" w:lineRule="auto" w:before="0" w:after="0"/>
        <w:ind w:firstLine="480"/>
        <w:jc w:val="both"/>
      </w:pPr>
      <w:r>
        <w:rPr>
          <w:rFonts w:ascii="宋体" w:hAnsi="宋体" w:eastAsia="宋体"/>
          <w:b w:val="0"/>
          <w:i w:val="0"/>
          <w:sz w:val="24"/>
        </w:rPr>
        <w:t>AI 需求可以通过服务器采购、先进制造资源与封装能力改变存储供需，市场价格仍由多种因素共同决定。公开合约价证据、行业营收份额与政策案例分别说明价格变化、供应集中与外部约束，不能相互替代。</w:t>
      </w:r>
    </w:p>
    <w:p>
      <w:pPr>
        <w:pStyle w:val="Heading2"/>
        <w:keepNext/>
        <w:spacing w:before="200" w:after="80"/>
      </w:pPr>
      <w:r>
        <w:rPr>
          <w:rFonts w:ascii="黑体" w:hAnsi="黑体" w:eastAsia="黑体"/>
          <w:b/>
          <w:i w:val="0"/>
          <w:color w:val="000000"/>
          <w:sz w:val="24"/>
        </w:rPr>
        <w:t>6.2　对学生与家庭用户的建议</w:t>
      </w:r>
    </w:p>
    <w:p>
      <w:pPr>
        <w:spacing w:line="360" w:lineRule="auto" w:before="0" w:after="0"/>
        <w:ind w:firstLine="480"/>
        <w:jc w:val="both"/>
      </w:pPr>
      <w:r>
        <w:rPr>
          <w:rFonts w:ascii="宋体" w:hAnsi="宋体" w:eastAsia="宋体"/>
          <w:b w:val="0"/>
          <w:i w:val="0"/>
          <w:sz w:val="24"/>
        </w:rPr>
        <w:t>购买前核对主板与 CPU 支持的内存代际、插槽、容量和推荐配置，观察常用程序是否出现持续换页与卡顿；若瓶颈来自 GPU 或 CPU，仅增加主存容量可能难以解决问题。选择产品时应比较相同容量、代际、套装与保修条件的价格，并把总预算、稳定性与售后纳入判断。追踪价格时应固定型号、容量与渠道，记录日期与实际到手价，避免把促销差异当成行业变化。</w:t>
      </w:r>
    </w:p>
    <w:p>
      <w:pPr>
        <w:pStyle w:val="Heading2"/>
        <w:keepNext/>
        <w:spacing w:before="200" w:after="80"/>
      </w:pPr>
      <w:r>
        <w:rPr>
          <w:rFonts w:ascii="黑体" w:hAnsi="黑体" w:eastAsia="黑体"/>
          <w:b/>
          <w:i w:val="0"/>
          <w:color w:val="000000"/>
          <w:sz w:val="24"/>
        </w:rPr>
        <w:t>6.3　对产业与政策的建议</w:t>
      </w:r>
    </w:p>
    <w:p>
      <w:pPr>
        <w:spacing w:line="360" w:lineRule="auto" w:before="0" w:after="0"/>
        <w:ind w:firstLine="480"/>
        <w:jc w:val="both"/>
      </w:pPr>
      <w:r>
        <w:rPr>
          <w:rFonts w:ascii="宋体" w:hAnsi="宋体" w:eastAsia="宋体"/>
          <w:b w:val="0"/>
          <w:i w:val="0"/>
          <w:sz w:val="24"/>
        </w:rPr>
        <w:t>产业层面的重点应放在制造工艺、材料设备、设计、测试与封装的持续研发，并通过人才培养与稳定投入提高工程能力；下游企业可以在符合质量要求的前提下开展多来源验证，使新产品获得真实使用反馈。对“让内存降价”应理解为条件性的市场目标：技术进步、良率改善、有效产能增加与竞争可能降低单位成本，但新品研发与扩产需要时间，价格还受需求与库存影响。</w:t>
      </w:r>
    </w:p>
    <w:p>
      <w:r>
        <w:br w:type="page"/>
      </w:r>
    </w:p>
    <w:p>
      <w:pPr>
        <w:pStyle w:val="Heading1"/>
        <w:keepNext/>
        <w:spacing w:before="280" w:after="120"/>
      </w:pPr>
      <w:r>
        <w:rPr>
          <w:rFonts w:ascii="黑体" w:hAnsi="黑体" w:eastAsia="黑体"/>
          <w:b/>
          <w:i w:val="0"/>
          <w:color w:val="000000"/>
          <w:sz w:val="28"/>
        </w:rPr>
        <w:t>参考文献</w:t>
      </w:r>
    </w:p>
    <w:p>
      <w:pPr>
        <w:spacing w:line="312" w:lineRule="auto" w:after="40"/>
        <w:ind w:left="482" w:hanging="482"/>
        <w:jc w:val="left"/>
      </w:pPr>
      <w:r>
        <w:rPr>
          <w:rFonts w:ascii="宋体" w:hAnsi="宋体" w:eastAsia="宋体"/>
          <w:b w:val="0"/>
          <w:i w:val="0"/>
          <w:sz w:val="19"/>
        </w:rPr>
        <w:t>[1] VALVE. Counter-Strike 2[EB/OL]. [2026-10-18]. https://store.steampowered.com/app/730/CounterStrike_2/.</w:t>
      </w:r>
    </w:p>
    <w:p>
      <w:pPr>
        <w:spacing w:line="312" w:lineRule="auto" w:after="40"/>
        <w:ind w:left="482" w:hanging="482"/>
        <w:jc w:val="left"/>
      </w:pPr>
      <w:r>
        <w:rPr>
          <w:rFonts w:ascii="宋体" w:hAnsi="宋体" w:eastAsia="宋体"/>
          <w:b w:val="0"/>
          <w:i w:val="0"/>
          <w:sz w:val="19"/>
        </w:rPr>
        <w:t>[2] NVIDIA. Mastering LLM Techniques: Inference Optimization[EB/OL]. [2026-10-18]. https://developer.nvidia.com/blog/mastering-llm-techniques-inference-optimization/.</w:t>
      </w:r>
    </w:p>
    <w:p>
      <w:pPr>
        <w:spacing w:line="312" w:lineRule="auto" w:after="40"/>
        <w:ind w:left="482" w:hanging="482"/>
        <w:jc w:val="left"/>
      </w:pPr>
      <w:r>
        <w:rPr>
          <w:rFonts w:ascii="宋体" w:hAnsi="宋体" w:eastAsia="宋体"/>
          <w:b w:val="0"/>
          <w:i w:val="0"/>
          <w:sz w:val="19"/>
        </w:rPr>
        <w:t>[3] TRENDFORCE. DDR4 and LPDDR4 Supply Tightens Sharply in 2H25 as Structural Shortage Drives Strong Price Surge, Says TrendForce[EB/OL]. (2025-08-11)[2026-10-18]. https://www.trendforce.com/presscenter/news/20250811-12667.html.</w:t>
      </w:r>
    </w:p>
    <w:p>
      <w:pPr>
        <w:spacing w:line="312" w:lineRule="auto" w:after="40"/>
        <w:ind w:left="482" w:hanging="482"/>
        <w:jc w:val="left"/>
      </w:pPr>
      <w:r>
        <w:rPr>
          <w:rFonts w:ascii="宋体" w:hAnsi="宋体" w:eastAsia="宋体"/>
          <w:b w:val="0"/>
          <w:i w:val="0"/>
          <w:sz w:val="19"/>
        </w:rPr>
        <w:t>[4] TRENDFORCE. AI Server Demand Sustains Memory Contract Price Increases in 4Q26, While Consumer-Side Pressure Persists, Says TrendForce[EB/OL]. (2026-09-30)[2026-10-18]. https://www.trendforce.com/presscenter/news/20260930-13258.html.</w:t>
      </w:r>
    </w:p>
    <w:p>
      <w:pPr>
        <w:spacing w:line="312" w:lineRule="auto" w:after="40"/>
        <w:ind w:left="482" w:hanging="482"/>
        <w:jc w:val="left"/>
      </w:pPr>
      <w:r>
        <w:rPr>
          <w:rFonts w:ascii="宋体" w:hAnsi="宋体" w:eastAsia="宋体"/>
          <w:b w:val="0"/>
          <w:i w:val="0"/>
          <w:sz w:val="19"/>
        </w:rPr>
        <w:t>[5] TRENDFORCE. DRAM Industry Revenue Rises 59.5% QoQ in 2Q26 as Supply Expansion Continues to Lag Demand Growth, Says TrendForce[EB/OL]. (2026-09-07)[2026-10-18]. https://www.trendforce.com/presscenter/news/20260907-13219.html.</w:t>
      </w:r>
    </w:p>
    <w:p>
      <w:pPr>
        <w:spacing w:line="312" w:lineRule="auto" w:after="40"/>
        <w:ind w:left="482" w:hanging="482"/>
        <w:jc w:val="left"/>
      </w:pPr>
      <w:r>
        <w:rPr>
          <w:rFonts w:ascii="宋体" w:hAnsi="宋体" w:eastAsia="宋体"/>
          <w:b w:val="0"/>
          <w:i w:val="0"/>
          <w:sz w:val="19"/>
        </w:rPr>
        <w:t>[6] TRENDFORCE. HBM Supply Constraints Persist, 2027 Price Outlook Revised Upward with Blended ASP Forecast to Rise 121% YoY, Says TrendForce[EB/OL]. (2026-09-29)[2026-10-18]. https://www.trendforce.com/presscenter/news/20260929-13255.html.</w:t>
      </w:r>
    </w:p>
    <w:p>
      <w:pPr>
        <w:spacing w:line="312" w:lineRule="auto" w:after="40"/>
        <w:ind w:left="482" w:hanging="482"/>
        <w:jc w:val="left"/>
      </w:pPr>
      <w:r>
        <w:rPr>
          <w:rFonts w:ascii="宋体" w:hAnsi="宋体" w:eastAsia="宋体"/>
          <w:b w:val="0"/>
          <w:i w:val="0"/>
          <w:sz w:val="19"/>
        </w:rPr>
        <w:t>[7] BUREAU OF INDUSTRY AND SECURITY. Commerce Strengthens Export Controls to Restrict China's Capability to Produce Advanced Semiconductors for Military Applications[EB/OL]. (2024-12-02)[2026-10-18]. https://media.bis.gov/press-release/commerce-strengthens-export-controls-restrict-chinas-capability-produce-advanced-semiconductors-military.</w:t>
      </w:r>
    </w:p>
    <w:p>
      <w:pPr>
        <w:spacing w:line="312" w:lineRule="auto" w:after="40"/>
        <w:ind w:left="482" w:hanging="482"/>
        <w:jc w:val="left"/>
      </w:pPr>
      <w:r>
        <w:rPr>
          <w:rFonts w:ascii="宋体" w:hAnsi="宋体" w:eastAsia="宋体"/>
          <w:b w:val="0"/>
          <w:i w:val="0"/>
          <w:sz w:val="19"/>
        </w:rPr>
        <w:t>[8] CXMT. CXMT Debuts Latest DDR5 &amp; LPDDR5X Portfolio at IC China[EB/OL]. (2025-11-23)[2026-10-18]. https://www.cxmt.com/en/news/info_20.html.</w:t>
      </w:r>
    </w:p>
    <w:p>
      <w:pPr>
        <w:spacing w:line="312" w:lineRule="auto" w:after="40"/>
        <w:ind w:left="482" w:hanging="482"/>
        <w:jc w:val="left"/>
      </w:pPr>
      <w:r>
        <w:rPr>
          <w:rFonts w:ascii="宋体" w:hAnsi="宋体" w:eastAsia="宋体"/>
          <w:b w:val="0"/>
          <w:i w:val="0"/>
          <w:sz w:val="19"/>
        </w:rPr>
        <w:t>[9] 夜清月明. 一年前AI和一年后AI[EB/OL]. 哔哩哔哩, (2024-02-24)[2026-10-18]. https://www.bilibili.com/video/BV1pv421r7Yu/.</w:t>
      </w:r>
    </w:p>
    <w:p>
      <w:r>
        <w:br w:type="page"/>
      </w:r>
    </w:p>
    <w:p>
      <w:pPr>
        <w:pStyle w:val="Heading1"/>
        <w:keepNext/>
        <w:spacing w:before="280" w:after="120"/>
      </w:pPr>
      <w:r>
        <w:rPr>
          <w:rFonts w:ascii="黑体" w:hAnsi="黑体" w:eastAsia="黑体"/>
          <w:b/>
          <w:i w:val="0"/>
          <w:color w:val="000000"/>
          <w:sz w:val="28"/>
        </w:rPr>
        <w:t>致谢</w:t>
      </w:r>
    </w:p>
    <w:p>
      <w:pPr>
        <w:spacing w:line="360" w:lineRule="auto" w:before="0" w:after="0"/>
        <w:ind w:firstLine="480"/>
        <w:jc w:val="both"/>
      </w:pPr>
      <w:r>
        <w:rPr>
          <w:rFonts w:ascii="宋体" w:hAnsi="宋体" w:eastAsia="宋体"/>
          <w:b w:val="0"/>
          <w:i w:val="0"/>
          <w:sz w:val="24"/>
        </w:rPr>
        <w:t>本文使用的技术参数、市场价格与政策文本均来自公开资料，感谢 Valve、NVIDIA、TrendForce、美国商务部工业与安全局与长鑫存储等机构公开发布的信息。感谢信息科技综合研究小组的成员在选题讨论与展示排练中提出的意见。文中的计算、判断与疏漏由作者负责。</w:t>
      </w:r>
    </w:p>
    <w:p>
      <w:pPr>
        <w:spacing w:line="360" w:lineRule="auto" w:before="0" w:after="0"/>
        <w:ind w:firstLine="480"/>
        <w:jc w:val="both"/>
      </w:pPr>
      <w:r>
        <w:rPr>
          <w:rFonts w:ascii="宋体" w:hAnsi="宋体" w:eastAsia="宋体"/>
          <w:b w:val="0"/>
          <w:i w:val="0"/>
          <w:sz w:val="24"/>
        </w:rPr>
        <w:t>数据可得性：本文引用的全部资料均为公开来源，题录与访问日期见参考文献与附录 B1；正文的估算过程见 3.2 节与附录 A，读者可代入自己的参数复算。本文未使用未公开的第三方数据。</w:t>
      </w:r>
    </w:p>
    <w:p>
      <w:pPr>
        <w:spacing w:line="360" w:lineRule="auto" w:before="0" w:after="0"/>
        <w:ind w:firstLine="480"/>
        <w:jc w:val="both"/>
      </w:pPr>
      <w:r>
        <w:rPr>
          <w:rFonts w:ascii="宋体" w:hAnsi="宋体" w:eastAsia="宋体"/>
          <w:b w:val="0"/>
          <w:i w:val="0"/>
          <w:sz w:val="24"/>
        </w:rPr>
        <w:t>利益冲突声明：作者声明不存在与本文研究相关的利益冲突。</w:t>
      </w:r>
    </w:p>
    <w:p>
      <w:pPr>
        <w:pStyle w:val="Heading1"/>
        <w:keepNext/>
        <w:spacing w:before="280" w:after="120"/>
      </w:pPr>
      <w:r>
        <w:rPr>
          <w:rFonts w:ascii="黑体" w:hAnsi="黑体" w:eastAsia="黑体"/>
          <w:b/>
          <w:i w:val="0"/>
          <w:color w:val="000000"/>
          <w:sz w:val="28"/>
        </w:rPr>
        <w:t>附录 A　KV 缓存估算的推导</w:t>
      </w:r>
    </w:p>
    <w:p>
      <w:pPr>
        <w:spacing w:line="360" w:lineRule="auto" w:before="0" w:after="0"/>
        <w:ind w:firstLine="480"/>
        <w:jc w:val="both"/>
      </w:pPr>
      <w:r>
        <w:rPr>
          <w:rFonts w:ascii="宋体" w:hAnsi="宋体" w:eastAsia="宋体"/>
          <w:b w:val="0"/>
          <w:i w:val="0"/>
          <w:sz w:val="24"/>
        </w:rPr>
        <w:t>正文 3.2 节的估算式可拆解为四步。第一步，确定需要保存的张量：自注意力中每个 token 需要保存键（Key）与值（Value）两份张量，故乘 2。第二步，确定每个 token 的维度：层数 L、KV 头数 Hkv 与每头维度 d 的乘积，即 L×Hkv×d。第三步，确定元素大小：FP16 每个元素 2 字节，故乘 b＝2。第四步，乘以请求数（批量 B）与序列长度 T。合并即得 M＝2×B×T×L×Hkv×d×b。</w:t>
      </w:r>
    </w:p>
    <w:p>
      <w:pPr>
        <w:spacing w:line="360" w:lineRule="auto" w:before="0" w:after="0"/>
        <w:ind w:firstLine="480"/>
        <w:jc w:val="both"/>
      </w:pPr>
      <w:r>
        <w:rPr>
          <w:rFonts w:ascii="宋体" w:hAnsi="宋体" w:eastAsia="宋体"/>
          <w:b w:val="0"/>
          <w:i w:val="0"/>
          <w:sz w:val="24"/>
        </w:rPr>
        <w:t>代入本文假设 B＝1、T＝4096、L＝32、Hkv＝32、d＝128、b＝2：M＝2×1×4096×32×32×128×2＝2147483648 字节。按 1 GiB＝1073741824 字节换算，M≈2.00 GiB。保持其他参数不变，T 增至 8192 与 16384 时，M 分别约为 4.00 GiB 与 8.00 GiB；B 增至 4 时约为 8.00 GiB。上述结果说明：序列长度与并发数对缓存的贡献是线性的，而模型层数与头数决定了基数。</w:t>
      </w:r>
    </w:p>
    <w:p>
      <w:pPr>
        <w:spacing w:line="360" w:lineRule="auto" w:before="0" w:after="0"/>
        <w:ind w:firstLine="480"/>
        <w:jc w:val="both"/>
      </w:pPr>
      <w:r>
        <w:rPr>
          <w:rFonts w:ascii="宋体" w:hAnsi="宋体" w:eastAsia="宋体"/>
          <w:b w:val="0"/>
          <w:i w:val="0"/>
          <w:sz w:val="24"/>
        </w:rPr>
        <w:t>需要说明，该式给出的是理论下界与量级。实际框架还会分配临时张量、对齐填充与框架自身开销；分组查询注意力（GQA）会减少 KV 头数，缓存量化会改变每元素字节数，这些都会改变真实占用。因此正文强调“给定假设下的估算”，不把它当作产品实测。</w:t>
      </w:r>
    </w:p>
    <w:p>
      <w:r>
        <w:br w:type="page"/>
      </w:r>
    </w:p>
    <w:p>
      <w:pPr>
        <w:pStyle w:val="Heading1"/>
        <w:keepNext/>
        <w:spacing w:before="280" w:after="120"/>
      </w:pPr>
      <w:r>
        <w:rPr>
          <w:rFonts w:ascii="黑体" w:hAnsi="黑体" w:eastAsia="黑体"/>
          <w:b/>
          <w:i w:val="0"/>
          <w:color w:val="000000"/>
          <w:sz w:val="28"/>
        </w:rPr>
        <w:t>附录 B　主要资料来源</w:t>
      </w:r>
    </w:p>
    <w:p>
      <w:pPr>
        <w:spacing w:line="360" w:lineRule="auto" w:before="0" w:after="0"/>
        <w:ind w:firstLine="480"/>
        <w:jc w:val="both"/>
      </w:pPr>
      <w:r>
        <w:rPr>
          <w:rFonts w:ascii="宋体" w:hAnsi="宋体" w:eastAsia="宋体"/>
          <w:b w:val="0"/>
          <w:i w:val="0"/>
          <w:sz w:val="24"/>
        </w:rPr>
        <w:t>本文引用的公开资料、访问日期与用途见表 B1；正文提到的“对比法”示例数值见表 B2。</w:t>
      </w:r>
    </w:p>
    <w:p>
      <w:pPr>
        <w:spacing w:before="120" w:after="80"/>
        <w:jc w:val="center"/>
      </w:pPr>
      <w:r>
        <w:rPr>
          <w:rFonts w:ascii="宋体" w:hAnsi="宋体" w:eastAsia="宋体"/>
          <w:b/>
          <w:i w:val="0"/>
          <w:sz w:val="21"/>
        </w:rPr>
        <w:t>表 B1　本文引用的公开资料与用途</w:t>
      </w:r>
    </w:p>
    <w:tbl>
      <w:tblPr>
        <w:tblStyle w:val="TableGrid"/>
        <w:tblW w:type="auto" w:w="0"/>
        <w:jc w:val="center"/>
        <w:tblLook w:firstColumn="1" w:firstRow="1" w:lastColumn="0" w:lastRow="0" w:noHBand="0" w:noVBand="1" w:val="04A0"/>
      </w:tblPr>
      <w:tblGrid>
        <w:gridCol w:w="2268"/>
        <w:gridCol w:w="2268"/>
        <w:gridCol w:w="2268"/>
        <w:gridCol w:w="2268"/>
      </w:tblGrid>
      <w:tr>
        <w:trPr>
          <w:cantSplit/>
        </w:trPr>
        <w:tc>
          <w:tcPr>
            <w:tcW w:type="dxa" w:w="1247"/>
          </w:tcPr>
          <w:p>
            <w:pPr>
              <w:spacing w:before="40" w:after="40"/>
              <w:jc w:val="center"/>
            </w:pPr>
            <w:r>
              <w:rPr>
                <w:rFonts w:ascii="宋体" w:hAnsi="宋体" w:eastAsia="宋体"/>
                <w:b/>
                <w:i w:val="0"/>
                <w:sz w:val="20"/>
              </w:rPr>
              <w:t>编号</w:t>
            </w:r>
          </w:p>
        </w:tc>
        <w:tc>
          <w:tcPr>
            <w:tcW w:type="dxa" w:w="2494"/>
          </w:tcPr>
          <w:p>
            <w:pPr>
              <w:spacing w:before="40" w:after="40"/>
              <w:jc w:val="center"/>
            </w:pPr>
            <w:r>
              <w:rPr>
                <w:rFonts w:ascii="宋体" w:hAnsi="宋体" w:eastAsia="宋体"/>
                <w:b/>
                <w:i w:val="0"/>
                <w:sz w:val="20"/>
              </w:rPr>
              <w:t>来源类型</w:t>
            </w:r>
          </w:p>
        </w:tc>
        <w:tc>
          <w:tcPr>
            <w:tcW w:type="dxa" w:w="1814"/>
          </w:tcPr>
          <w:p>
            <w:pPr>
              <w:spacing w:before="40" w:after="40"/>
              <w:jc w:val="center"/>
            </w:pPr>
            <w:r>
              <w:rPr>
                <w:rFonts w:ascii="宋体" w:hAnsi="宋体" w:eastAsia="宋体"/>
                <w:b/>
                <w:i w:val="0"/>
                <w:sz w:val="20"/>
              </w:rPr>
              <w:t>访问日期</w:t>
            </w:r>
          </w:p>
        </w:tc>
        <w:tc>
          <w:tcPr>
            <w:tcW w:type="dxa" w:w="3515"/>
          </w:tcPr>
          <w:p>
            <w:pPr>
              <w:spacing w:before="40" w:after="40"/>
              <w:jc w:val="center"/>
            </w:pPr>
            <w:r>
              <w:rPr>
                <w:rFonts w:ascii="宋体" w:hAnsi="宋体" w:eastAsia="宋体"/>
                <w:b/>
                <w:i w:val="0"/>
                <w:sz w:val="20"/>
              </w:rPr>
              <w:t>在本文中的用途</w:t>
            </w:r>
          </w:p>
        </w:tc>
      </w:tr>
      <w:tr>
        <w:trPr>
          <w:cantSplit/>
        </w:trPr>
        <w:tc>
          <w:tcPr>
            <w:tcW w:type="dxa" w:w="1247"/>
          </w:tcPr>
          <w:p>
            <w:pPr>
              <w:spacing w:before="40" w:after="40"/>
              <w:jc w:val="left"/>
            </w:pPr>
            <w:r>
              <w:rPr>
                <w:rFonts w:ascii="宋体" w:hAnsi="宋体" w:eastAsia="宋体"/>
                <w:b w:val="0"/>
                <w:i w:val="0"/>
                <w:sz w:val="20"/>
              </w:rPr>
              <w:t>[1]</w:t>
            </w:r>
          </w:p>
        </w:tc>
        <w:tc>
          <w:tcPr>
            <w:tcW w:type="dxa" w:w="2494"/>
          </w:tcPr>
          <w:p>
            <w:pPr>
              <w:spacing w:before="40" w:after="40"/>
              <w:jc w:val="left"/>
            </w:pPr>
            <w:r>
              <w:rPr>
                <w:rFonts w:ascii="宋体" w:hAnsi="宋体" w:eastAsia="宋体"/>
                <w:b w:val="0"/>
                <w:i w:val="0"/>
                <w:sz w:val="20"/>
              </w:rPr>
              <w:t>厂商商店页</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CS2 最低配置与存储空间</w:t>
            </w:r>
          </w:p>
        </w:tc>
      </w:tr>
      <w:tr>
        <w:trPr>
          <w:cantSplit/>
        </w:trPr>
        <w:tc>
          <w:tcPr>
            <w:tcW w:type="dxa" w:w="1247"/>
          </w:tcPr>
          <w:p>
            <w:pPr>
              <w:spacing w:before="40" w:after="40"/>
              <w:jc w:val="left"/>
            </w:pPr>
            <w:r>
              <w:rPr>
                <w:rFonts w:ascii="宋体" w:hAnsi="宋体" w:eastAsia="宋体"/>
                <w:b w:val="0"/>
                <w:i w:val="0"/>
                <w:sz w:val="20"/>
              </w:rPr>
              <w:t>[2]</w:t>
            </w:r>
          </w:p>
        </w:tc>
        <w:tc>
          <w:tcPr>
            <w:tcW w:type="dxa" w:w="2494"/>
          </w:tcPr>
          <w:p>
            <w:pPr>
              <w:spacing w:before="40" w:after="40"/>
              <w:jc w:val="left"/>
            </w:pPr>
            <w:r>
              <w:rPr>
                <w:rFonts w:ascii="宋体" w:hAnsi="宋体" w:eastAsia="宋体"/>
                <w:b w:val="0"/>
                <w:i w:val="0"/>
                <w:sz w:val="20"/>
              </w:rPr>
              <w:t>厂商技术博客</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推理优化与带宽讨论</w:t>
            </w:r>
          </w:p>
        </w:tc>
      </w:tr>
      <w:tr>
        <w:trPr>
          <w:cantSplit/>
        </w:trPr>
        <w:tc>
          <w:tcPr>
            <w:tcW w:type="dxa" w:w="1247"/>
          </w:tcPr>
          <w:p>
            <w:pPr>
              <w:spacing w:before="40" w:after="40"/>
              <w:jc w:val="left"/>
            </w:pPr>
            <w:r>
              <w:rPr>
                <w:rFonts w:ascii="宋体" w:hAnsi="宋体" w:eastAsia="宋体"/>
                <w:b w:val="0"/>
                <w:i w:val="0"/>
                <w:sz w:val="20"/>
              </w:rPr>
              <w:t>[3]</w:t>
            </w:r>
          </w:p>
        </w:tc>
        <w:tc>
          <w:tcPr>
            <w:tcW w:type="dxa" w:w="2494"/>
          </w:tcPr>
          <w:p>
            <w:pPr>
              <w:spacing w:before="40" w:after="40"/>
              <w:jc w:val="left"/>
            </w:pPr>
            <w:r>
              <w:rPr>
                <w:rFonts w:ascii="宋体" w:hAnsi="宋体" w:eastAsia="宋体"/>
                <w:b w:val="0"/>
                <w:i w:val="0"/>
                <w:sz w:val="20"/>
              </w:rPr>
              <w:t>研究机构新闻稿</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2025 年 7 月消费类 DDR4 合约价</w:t>
            </w:r>
          </w:p>
        </w:tc>
      </w:tr>
      <w:tr>
        <w:trPr>
          <w:cantSplit/>
        </w:trPr>
        <w:tc>
          <w:tcPr>
            <w:tcW w:type="dxa" w:w="1247"/>
          </w:tcPr>
          <w:p>
            <w:pPr>
              <w:spacing w:before="40" w:after="40"/>
              <w:jc w:val="left"/>
            </w:pPr>
            <w:r>
              <w:rPr>
                <w:rFonts w:ascii="宋体" w:hAnsi="宋体" w:eastAsia="宋体"/>
                <w:b w:val="0"/>
                <w:i w:val="0"/>
                <w:sz w:val="20"/>
              </w:rPr>
              <w:t>[4]</w:t>
            </w:r>
          </w:p>
        </w:tc>
        <w:tc>
          <w:tcPr>
            <w:tcW w:type="dxa" w:w="2494"/>
          </w:tcPr>
          <w:p>
            <w:pPr>
              <w:spacing w:before="40" w:after="40"/>
              <w:jc w:val="left"/>
            </w:pPr>
            <w:r>
              <w:rPr>
                <w:rFonts w:ascii="宋体" w:hAnsi="宋体" w:eastAsia="宋体"/>
                <w:b w:val="0"/>
                <w:i w:val="0"/>
                <w:sz w:val="20"/>
              </w:rPr>
              <w:t>研究机构新闻稿</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4Q26 一般 DRAM 合约价预测</w:t>
            </w:r>
          </w:p>
        </w:tc>
      </w:tr>
      <w:tr>
        <w:trPr>
          <w:cantSplit/>
        </w:trPr>
        <w:tc>
          <w:tcPr>
            <w:tcW w:type="dxa" w:w="1247"/>
          </w:tcPr>
          <w:p>
            <w:pPr>
              <w:spacing w:before="40" w:after="40"/>
              <w:jc w:val="left"/>
            </w:pPr>
            <w:r>
              <w:rPr>
                <w:rFonts w:ascii="宋体" w:hAnsi="宋体" w:eastAsia="宋体"/>
                <w:b w:val="0"/>
                <w:i w:val="0"/>
                <w:sz w:val="20"/>
              </w:rPr>
              <w:t>[5]</w:t>
            </w:r>
          </w:p>
        </w:tc>
        <w:tc>
          <w:tcPr>
            <w:tcW w:type="dxa" w:w="2494"/>
          </w:tcPr>
          <w:p>
            <w:pPr>
              <w:spacing w:before="40" w:after="40"/>
              <w:jc w:val="left"/>
            </w:pPr>
            <w:r>
              <w:rPr>
                <w:rFonts w:ascii="宋体" w:hAnsi="宋体" w:eastAsia="宋体"/>
                <w:b w:val="0"/>
                <w:i w:val="0"/>
                <w:sz w:val="20"/>
              </w:rPr>
              <w:t>研究机构新闻稿</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2Q26 全球 DRAM 营收份额</w:t>
            </w:r>
          </w:p>
        </w:tc>
      </w:tr>
      <w:tr>
        <w:trPr>
          <w:cantSplit/>
        </w:trPr>
        <w:tc>
          <w:tcPr>
            <w:tcW w:type="dxa" w:w="1247"/>
          </w:tcPr>
          <w:p>
            <w:pPr>
              <w:spacing w:before="40" w:after="40"/>
              <w:jc w:val="left"/>
            </w:pPr>
            <w:r>
              <w:rPr>
                <w:rFonts w:ascii="宋体" w:hAnsi="宋体" w:eastAsia="宋体"/>
                <w:b w:val="0"/>
                <w:i w:val="0"/>
                <w:sz w:val="20"/>
              </w:rPr>
              <w:t>[6]</w:t>
            </w:r>
          </w:p>
        </w:tc>
        <w:tc>
          <w:tcPr>
            <w:tcW w:type="dxa" w:w="2494"/>
          </w:tcPr>
          <w:p>
            <w:pPr>
              <w:spacing w:before="40" w:after="40"/>
              <w:jc w:val="left"/>
            </w:pPr>
            <w:r>
              <w:rPr>
                <w:rFonts w:ascii="宋体" w:hAnsi="宋体" w:eastAsia="宋体"/>
                <w:b w:val="0"/>
                <w:i w:val="0"/>
                <w:sz w:val="20"/>
              </w:rPr>
              <w:t>研究机构新闻稿</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HBM 与一般 DRAM 的产能竞争</w:t>
            </w:r>
          </w:p>
        </w:tc>
      </w:tr>
      <w:tr>
        <w:trPr>
          <w:cantSplit/>
        </w:trPr>
        <w:tc>
          <w:tcPr>
            <w:tcW w:type="dxa" w:w="1247"/>
          </w:tcPr>
          <w:p>
            <w:pPr>
              <w:spacing w:before="40" w:after="40"/>
              <w:jc w:val="left"/>
            </w:pPr>
            <w:r>
              <w:rPr>
                <w:rFonts w:ascii="宋体" w:hAnsi="宋体" w:eastAsia="宋体"/>
                <w:b w:val="0"/>
                <w:i w:val="0"/>
                <w:sz w:val="20"/>
              </w:rPr>
              <w:t>[7]</w:t>
            </w:r>
          </w:p>
        </w:tc>
        <w:tc>
          <w:tcPr>
            <w:tcW w:type="dxa" w:w="2494"/>
          </w:tcPr>
          <w:p>
            <w:pPr>
              <w:spacing w:before="40" w:after="40"/>
              <w:jc w:val="left"/>
            </w:pPr>
            <w:r>
              <w:rPr>
                <w:rFonts w:ascii="宋体" w:hAnsi="宋体" w:eastAsia="宋体"/>
                <w:b w:val="0"/>
                <w:i w:val="0"/>
                <w:sz w:val="20"/>
              </w:rPr>
              <w:t>政府公告</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2024-12-02 出口管制范围</w:t>
            </w:r>
          </w:p>
        </w:tc>
      </w:tr>
      <w:tr>
        <w:trPr>
          <w:cantSplit/>
        </w:trPr>
        <w:tc>
          <w:tcPr>
            <w:tcW w:type="dxa" w:w="1247"/>
          </w:tcPr>
          <w:p>
            <w:pPr>
              <w:spacing w:before="40" w:after="40"/>
              <w:jc w:val="left"/>
            </w:pPr>
            <w:r>
              <w:rPr>
                <w:rFonts w:ascii="宋体" w:hAnsi="宋体" w:eastAsia="宋体"/>
                <w:b w:val="0"/>
                <w:i w:val="0"/>
                <w:sz w:val="20"/>
              </w:rPr>
              <w:t>[8]</w:t>
            </w:r>
          </w:p>
        </w:tc>
        <w:tc>
          <w:tcPr>
            <w:tcW w:type="dxa" w:w="2494"/>
          </w:tcPr>
          <w:p>
            <w:pPr>
              <w:spacing w:before="40" w:after="40"/>
              <w:jc w:val="left"/>
            </w:pPr>
            <w:r>
              <w:rPr>
                <w:rFonts w:ascii="宋体" w:hAnsi="宋体" w:eastAsia="宋体"/>
                <w:b w:val="0"/>
                <w:i w:val="0"/>
                <w:sz w:val="20"/>
              </w:rPr>
              <w:t>企业新闻</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长鑫 DDR5/LPDDR5X 展示</w:t>
            </w:r>
          </w:p>
        </w:tc>
      </w:tr>
      <w:tr>
        <w:trPr>
          <w:cantSplit/>
        </w:trPr>
        <w:tc>
          <w:tcPr>
            <w:tcW w:type="dxa" w:w="1247"/>
          </w:tcPr>
          <w:p>
            <w:pPr>
              <w:spacing w:before="40" w:after="40"/>
              <w:jc w:val="left"/>
            </w:pPr>
            <w:r>
              <w:rPr>
                <w:rFonts w:ascii="宋体" w:hAnsi="宋体" w:eastAsia="宋体"/>
                <w:b w:val="0"/>
                <w:i w:val="0"/>
                <w:sz w:val="20"/>
              </w:rPr>
              <w:t>[9]</w:t>
            </w:r>
          </w:p>
        </w:tc>
        <w:tc>
          <w:tcPr>
            <w:tcW w:type="dxa" w:w="2494"/>
          </w:tcPr>
          <w:p>
            <w:pPr>
              <w:spacing w:before="40" w:after="40"/>
              <w:jc w:val="left"/>
            </w:pPr>
            <w:r>
              <w:rPr>
                <w:rFonts w:ascii="宋体" w:hAnsi="宋体" w:eastAsia="宋体"/>
                <w:b w:val="0"/>
                <w:i w:val="0"/>
                <w:sz w:val="20"/>
              </w:rPr>
              <w:t>网络视频</w:t>
            </w:r>
          </w:p>
        </w:tc>
        <w:tc>
          <w:tcPr>
            <w:tcW w:type="dxa" w:w="1814"/>
          </w:tcPr>
          <w:p>
            <w:pPr>
              <w:spacing w:before="40" w:after="40"/>
              <w:jc w:val="left"/>
            </w:pPr>
            <w:r>
              <w:rPr>
                <w:rFonts w:ascii="宋体" w:hAnsi="宋体" w:eastAsia="宋体"/>
                <w:b w:val="0"/>
                <w:i w:val="0"/>
                <w:sz w:val="20"/>
              </w:rPr>
              <w:t>2026-10-18</w:t>
            </w:r>
          </w:p>
        </w:tc>
        <w:tc>
          <w:tcPr>
            <w:tcW w:type="dxa" w:w="3515"/>
          </w:tcPr>
          <w:p>
            <w:pPr>
              <w:spacing w:before="40" w:after="40"/>
              <w:jc w:val="left"/>
            </w:pPr>
            <w:r>
              <w:rPr>
                <w:rFonts w:ascii="宋体" w:hAnsi="宋体" w:eastAsia="宋体"/>
                <w:b w:val="0"/>
                <w:i w:val="0"/>
                <w:sz w:val="20"/>
              </w:rPr>
              <w:t>公众对 AI 能力变化的观感案例</w:t>
            </w:r>
          </w:p>
        </w:tc>
      </w:tr>
    </w:tbl>
    <w:p>
      <w:pPr>
        <w:spacing w:after="200"/>
        <w:jc w:val="center"/>
      </w:pPr>
      <w:r>
        <w:rPr>
          <w:rFonts w:ascii="宋体" w:hAnsi="宋体" w:eastAsia="宋体"/>
          <w:b w:val="0"/>
          <w:i w:val="0"/>
          <w:color w:val="666666"/>
          <w:sz w:val="18"/>
        </w:rPr>
        <w:t>资料来源：本文整理；完整题录见参考文献</w:t>
      </w:r>
    </w:p>
    <w:p>
      <w:pPr>
        <w:spacing w:before="160" w:after="40"/>
        <w:jc w:val="center"/>
      </w:pPr>
      <w:r>
        <w:drawing>
          <wp:inline xmlns:a="http://schemas.openxmlformats.org/drawingml/2006/main" xmlns:pic="http://schemas.openxmlformats.org/drawingml/2006/picture">
            <wp:extent cx="4320000" cy="2430000"/>
            <wp:docPr id="5" name="Picture 5"/>
            <wp:cNvGraphicFramePr>
              <a:graphicFrameLocks noChangeAspect="1"/>
            </wp:cNvGraphicFramePr>
            <a:graphic>
              <a:graphicData uri="http://schemas.openxmlformats.org/drawingml/2006/picture">
                <pic:pic>
                  <pic:nvPicPr>
                    <pic:cNvPr id="0" name="video_poster.png"/>
                    <pic:cNvPicPr/>
                  </pic:nvPicPr>
                  <pic:blipFill>
                    <a:blip r:embed="rId13"/>
                    <a:stretch>
                      <a:fillRect/>
                    </a:stretch>
                  </pic:blipFill>
                  <pic:spPr>
                    <a:xfrm>
                      <a:off x="0" y="0"/>
                      <a:ext cx="4320000" cy="2430000"/>
                    </a:xfrm>
                    <a:prstGeom prst="rect"/>
                  </pic:spPr>
                </pic:pic>
              </a:graphicData>
            </a:graphic>
          </wp:inline>
        </w:drawing>
      </w:r>
    </w:p>
    <w:p>
      <w:pPr>
        <w:spacing w:before="40" w:after="40"/>
        <w:jc w:val="center"/>
      </w:pPr>
      <w:r>
        <w:rPr>
          <w:rFonts w:ascii="宋体" w:hAnsi="宋体" w:eastAsia="宋体"/>
          <w:b/>
          <w:i w:val="0"/>
          <w:sz w:val="21"/>
        </w:rPr>
        <w:t>图 1　视频案例封面（BV1pv421r7Yu，时长 1 分 51 秒）</w:t>
      </w:r>
    </w:p>
    <w:p>
      <w:pPr>
        <w:spacing w:after="200"/>
        <w:jc w:val="center"/>
      </w:pPr>
      <w:r>
        <w:rPr>
          <w:rFonts w:ascii="宋体" w:hAnsi="宋体" w:eastAsia="宋体"/>
          <w:b w:val="0"/>
          <w:i w:val="0"/>
          <w:color w:val="666666"/>
          <w:sz w:val="18"/>
        </w:rPr>
        <w:t>图片来源：哔哩哔哩 UP 主 夜清月明；本文仅作研究案例引用</w:t>
      </w:r>
    </w:p>
    <w:p>
      <w:pPr>
        <w:spacing w:before="120" w:after="80"/>
        <w:jc w:val="center"/>
      </w:pPr>
      <w:r>
        <w:rPr>
          <w:rFonts w:ascii="宋体" w:hAnsi="宋体" w:eastAsia="宋体"/>
          <w:b/>
          <w:i w:val="0"/>
          <w:sz w:val="21"/>
        </w:rPr>
        <w:t>表 B2　“对比法”示例：数值与含义</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3402"/>
          </w:tcPr>
          <w:p>
            <w:pPr>
              <w:spacing w:before="40" w:after="40"/>
              <w:jc w:val="center"/>
            </w:pPr>
            <w:r>
              <w:rPr>
                <w:rFonts w:ascii="宋体" w:hAnsi="宋体" w:eastAsia="宋体"/>
                <w:b/>
                <w:i w:val="0"/>
                <w:sz w:val="20"/>
              </w:rPr>
              <w:t>对象</w:t>
            </w:r>
          </w:p>
        </w:tc>
        <w:tc>
          <w:tcPr>
            <w:tcW w:type="dxa" w:w="1701"/>
          </w:tcPr>
          <w:p>
            <w:pPr>
              <w:spacing w:before="40" w:after="40"/>
              <w:jc w:val="center"/>
            </w:pPr>
            <w:r>
              <w:rPr>
                <w:rFonts w:ascii="宋体" w:hAnsi="宋体" w:eastAsia="宋体"/>
                <w:b/>
                <w:i w:val="0"/>
                <w:sz w:val="20"/>
              </w:rPr>
              <w:t>数值</w:t>
            </w:r>
          </w:p>
        </w:tc>
        <w:tc>
          <w:tcPr>
            <w:tcW w:type="dxa" w:w="3969"/>
          </w:tcPr>
          <w:p>
            <w:pPr>
              <w:spacing w:before="40" w:after="40"/>
              <w:jc w:val="center"/>
            </w:pPr>
            <w:r>
              <w:rPr>
                <w:rFonts w:ascii="宋体" w:hAnsi="宋体" w:eastAsia="宋体"/>
                <w:b/>
                <w:i w:val="0"/>
                <w:sz w:val="20"/>
              </w:rPr>
              <w:t>含义</w:t>
            </w:r>
          </w:p>
        </w:tc>
      </w:tr>
      <w:tr>
        <w:trPr>
          <w:cantSplit/>
        </w:trPr>
        <w:tc>
          <w:tcPr>
            <w:tcW w:type="dxa" w:w="3402"/>
          </w:tcPr>
          <w:p>
            <w:pPr>
              <w:spacing w:before="40" w:after="40"/>
              <w:jc w:val="left"/>
            </w:pPr>
            <w:r>
              <w:rPr>
                <w:rFonts w:ascii="宋体" w:hAnsi="宋体" w:eastAsia="宋体"/>
                <w:b w:val="0"/>
                <w:i w:val="0"/>
                <w:sz w:val="20"/>
              </w:rPr>
              <w:t>DDR5 内存条（立起）</w:t>
            </w:r>
          </w:p>
        </w:tc>
        <w:tc>
          <w:tcPr>
            <w:tcW w:type="dxa" w:w="1701"/>
          </w:tcPr>
          <w:p>
            <w:pPr>
              <w:spacing w:before="40" w:after="40"/>
              <w:jc w:val="left"/>
            </w:pPr>
            <w:r>
              <w:rPr>
                <w:rFonts w:ascii="宋体" w:hAnsi="宋体" w:eastAsia="宋体"/>
                <w:b w:val="0"/>
                <w:i w:val="0"/>
                <w:sz w:val="20"/>
              </w:rPr>
              <w:t>133 mm × 31 mm</w:t>
            </w:r>
          </w:p>
        </w:tc>
        <w:tc>
          <w:tcPr>
            <w:tcW w:type="dxa" w:w="3969"/>
          </w:tcPr>
          <w:p>
            <w:pPr>
              <w:spacing w:before="40" w:after="40"/>
              <w:jc w:val="left"/>
            </w:pPr>
            <w:r>
              <w:rPr>
                <w:rFonts w:ascii="宋体" w:hAnsi="宋体" w:eastAsia="宋体"/>
                <w:b w:val="0"/>
                <w:i w:val="0"/>
                <w:sz w:val="20"/>
              </w:rPr>
              <w:t>长边 133 mm、PCB 高度 31 mm；不含金手指公差</w:t>
            </w:r>
          </w:p>
        </w:tc>
      </w:tr>
      <w:tr>
        <w:trPr>
          <w:cantSplit/>
        </w:trPr>
        <w:tc>
          <w:tcPr>
            <w:tcW w:type="dxa" w:w="3402"/>
          </w:tcPr>
          <w:p>
            <w:pPr>
              <w:spacing w:before="40" w:after="40"/>
              <w:jc w:val="left"/>
            </w:pPr>
            <w:r>
              <w:rPr>
                <w:rFonts w:ascii="宋体" w:hAnsi="宋体" w:eastAsia="宋体"/>
                <w:b w:val="0"/>
                <w:i w:val="0"/>
                <w:sz w:val="20"/>
              </w:rPr>
              <w:t>1 元硬币（立起）</w:t>
            </w:r>
          </w:p>
        </w:tc>
        <w:tc>
          <w:tcPr>
            <w:tcW w:type="dxa" w:w="1701"/>
          </w:tcPr>
          <w:p>
            <w:pPr>
              <w:spacing w:before="40" w:after="40"/>
              <w:jc w:val="left"/>
            </w:pPr>
            <w:r>
              <w:rPr>
                <w:rFonts w:ascii="宋体" w:hAnsi="宋体" w:eastAsia="宋体"/>
                <w:b w:val="0"/>
                <w:i w:val="0"/>
                <w:sz w:val="20"/>
              </w:rPr>
              <w:t>25 mm</w:t>
            </w:r>
          </w:p>
        </w:tc>
        <w:tc>
          <w:tcPr>
            <w:tcW w:type="dxa" w:w="3969"/>
          </w:tcPr>
          <w:p>
            <w:pPr>
              <w:spacing w:before="40" w:after="40"/>
              <w:jc w:val="left"/>
            </w:pPr>
            <w:r>
              <w:rPr>
                <w:rFonts w:ascii="宋体" w:hAnsi="宋体" w:eastAsia="宋体"/>
                <w:b w:val="0"/>
                <w:i w:val="0"/>
                <w:sz w:val="20"/>
              </w:rPr>
              <w:t>直径；立起时比较的是直径而非厚度</w:t>
            </w:r>
          </w:p>
        </w:tc>
      </w:tr>
      <w:tr>
        <w:trPr>
          <w:cantSplit/>
        </w:trPr>
        <w:tc>
          <w:tcPr>
            <w:tcW w:type="dxa" w:w="3402"/>
          </w:tcPr>
          <w:p>
            <w:pPr>
              <w:spacing w:before="40" w:after="40"/>
              <w:jc w:val="left"/>
            </w:pPr>
            <w:r>
              <w:rPr>
                <w:rFonts w:ascii="宋体" w:hAnsi="宋体" w:eastAsia="宋体"/>
                <w:b w:val="0"/>
                <w:i w:val="0"/>
                <w:sz w:val="20"/>
              </w:rPr>
              <w:t>合上的笔记本（示意）</w:t>
            </w:r>
          </w:p>
        </w:tc>
        <w:tc>
          <w:tcPr>
            <w:tcW w:type="dxa" w:w="1701"/>
          </w:tcPr>
          <w:p>
            <w:pPr>
              <w:spacing w:before="40" w:after="40"/>
              <w:jc w:val="left"/>
            </w:pPr>
            <w:r>
              <w:rPr>
                <w:rFonts w:ascii="宋体" w:hAnsi="宋体" w:eastAsia="宋体"/>
                <w:b w:val="0"/>
                <w:i w:val="0"/>
                <w:sz w:val="20"/>
              </w:rPr>
              <w:t>16 mm</w:t>
            </w:r>
          </w:p>
        </w:tc>
        <w:tc>
          <w:tcPr>
            <w:tcW w:type="dxa" w:w="3969"/>
          </w:tcPr>
          <w:p>
            <w:pPr>
              <w:spacing w:before="40" w:after="40"/>
              <w:jc w:val="left"/>
            </w:pPr>
            <w:r>
              <w:rPr>
                <w:rFonts w:ascii="宋体" w:hAnsi="宋体" w:eastAsia="宋体"/>
                <w:b w:val="0"/>
                <w:i w:val="0"/>
                <w:sz w:val="20"/>
              </w:rPr>
              <w:t>机身厚度；与硬币直径属不同维度</w:t>
            </w:r>
          </w:p>
        </w:tc>
      </w:tr>
      <w:tr>
        <w:trPr>
          <w:cantSplit/>
        </w:trPr>
        <w:tc>
          <w:tcPr>
            <w:tcW w:type="dxa" w:w="3402"/>
          </w:tcPr>
          <w:p>
            <w:pPr>
              <w:spacing w:before="40" w:after="40"/>
              <w:jc w:val="left"/>
            </w:pPr>
            <w:r>
              <w:rPr>
                <w:rFonts w:ascii="宋体" w:hAnsi="宋体" w:eastAsia="宋体"/>
                <w:b w:val="0"/>
                <w:i w:val="0"/>
                <w:sz w:val="20"/>
              </w:rPr>
              <w:t>内存条与硬币差值</w:t>
            </w:r>
          </w:p>
        </w:tc>
        <w:tc>
          <w:tcPr>
            <w:tcW w:type="dxa" w:w="1701"/>
          </w:tcPr>
          <w:p>
            <w:pPr>
              <w:spacing w:before="40" w:after="40"/>
              <w:jc w:val="left"/>
            </w:pPr>
            <w:r>
              <w:rPr>
                <w:rFonts w:ascii="宋体" w:hAnsi="宋体" w:eastAsia="宋体"/>
                <w:b w:val="0"/>
                <w:i w:val="0"/>
                <w:sz w:val="20"/>
              </w:rPr>
              <w:t>6 mm</w:t>
            </w:r>
          </w:p>
        </w:tc>
        <w:tc>
          <w:tcPr>
            <w:tcW w:type="dxa" w:w="3969"/>
          </w:tcPr>
          <w:p>
            <w:pPr>
              <w:spacing w:before="40" w:after="40"/>
              <w:jc w:val="left"/>
            </w:pPr>
            <w:r>
              <w:rPr>
                <w:rFonts w:ascii="宋体" w:hAnsi="宋体" w:eastAsia="宋体"/>
                <w:b w:val="0"/>
                <w:i w:val="0"/>
                <w:sz w:val="20"/>
              </w:rPr>
              <w:t>同一维度可比；仍属示意测量</w:t>
            </w:r>
          </w:p>
        </w:tc>
      </w:tr>
    </w:tbl>
    <w:p>
      <w:pPr>
        <w:spacing w:after="200"/>
        <w:jc w:val="center"/>
      </w:pPr>
      <w:r>
        <w:rPr>
          <w:rFonts w:ascii="宋体" w:hAnsi="宋体" w:eastAsia="宋体"/>
          <w:b w:val="0"/>
          <w:i w:val="0"/>
          <w:color w:val="666666"/>
          <w:sz w:val="18"/>
        </w:rPr>
        <w:t>资料来源：本文整理；数值为公开规格的近似值，仅用于说明参照物选择的影响</w:t>
      </w:r>
    </w:p>
    <w:p>
      <w:pPr>
        <w:pStyle w:val="Heading1"/>
        <w:keepNext/>
        <w:spacing w:before="280" w:after="120"/>
      </w:pPr>
      <w:r>
        <w:rPr>
          <w:rFonts w:ascii="黑体" w:hAnsi="黑体" w:eastAsia="黑体"/>
          <w:b/>
          <w:i w:val="0"/>
          <w:color w:val="000000"/>
          <w:sz w:val="28"/>
        </w:rPr>
        <w:t>作者简介</w:t>
      </w:r>
    </w:p>
    <w:p>
      <w:pPr>
        <w:spacing w:line="312" w:lineRule="auto" w:before="0" w:after="40"/>
        <w:jc w:val="both"/>
      </w:pPr>
      <w:r>
        <w:rPr>
          <w:rFonts w:ascii="宋体" w:hAnsi="宋体" w:eastAsia="宋体"/>
          <w:b w:val="0"/>
          <w:i w:val="0"/>
          <w:sz w:val="18"/>
        </w:rPr>
        <w:t>宋明喆（2013—），男，汉族，天津人，初中，研究方向为信息科技，E-mail：smz130227@Gmail.com。</w:t>
      </w:r>
    </w:p>
    <w:p>
      <w:pPr>
        <w:spacing w:line="312" w:lineRule="auto" w:before="0" w:after="80"/>
        <w:jc w:val="both"/>
      </w:pPr>
      <w:r>
        <w:rPr>
          <w:rFonts w:ascii="宋体" w:hAnsi="宋体" w:eastAsia="宋体"/>
          <w:b w:val="0"/>
          <w:i w:val="0"/>
          <w:sz w:val="18"/>
        </w:rPr>
        <w:t>郭宸瑞（2012—），男，汉族，天津人，初中，研究方向：暂无，E-mail：2559646252@qq.com。</w:t>
      </w:r>
    </w:p>
    <w:p>
      <w:pPr>
        <w:spacing w:line="312" w:lineRule="auto" w:before="0" w:after="120"/>
        <w:jc w:val="both"/>
      </w:pPr>
      <w:r>
        <w:rPr>
          <w:rFonts w:ascii="宋体" w:hAnsi="宋体" w:eastAsia="宋体"/>
          <w:b w:val="0"/>
          <w:i w:val="0"/>
          <w:color w:val="555555"/>
          <w:sz w:val="18"/>
        </w:rPr>
        <w:t>说明：本次研究 100% 由 AI 生成——选题拆解、资料检索、文字撰写、图表绘制与排版均由 AI 完成，人工仅做方向确认。</w:t>
      </w:r>
    </w:p>
    <w:sectPr w:rsidR="00FC693F" w:rsidRPr="0006063C" w:rsidSect="00034616">
      <w:headerReference w:type="default" r:id="rId14"/>
      <w:footerReference w:type="default" r:id="rId15"/>
      <w:pgSz w:w="11906" w:h="16838"/>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宋体" w:hAnsi="宋体" w:eastAsia="宋体"/>
        <w:b w:val="0"/>
        <w:i w:val="0"/>
        <w:color w:val="888888"/>
        <w:sz w:val="18"/>
      </w:rPr>
      <w:t>信息科技综合研究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eader" Target="header1.xml"/><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人工智能发展背景下的内存需求与市场变化研究</dc:title>
  <dc:subject>信息科技综合研究</dc:subject>
  <dc:creator>宋明喆　郭宸瑞</dc:creator>
  <cp:keywords/>
  <dc:description>generated by python-docx</dc:description>
  <cp:lastModifiedBy/>
  <cp:revision>1</cp:revision>
  <dcterms:created xsi:type="dcterms:W3CDTF">2013-12-23T23:15:00Z</dcterms:created>
  <dcterms:modified xsi:type="dcterms:W3CDTF">2013-12-23T23:15:00Z</dcterms:modified>
  <cp:category/>
</cp:coreProperties>
</file>