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BE23" w14:textId="77777777" w:rsidR="00A2136E"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VAST user manual</w:t>
      </w:r>
    </w:p>
    <w:p w14:paraId="3FEC205A" w14:textId="77777777" w:rsidR="008947B7"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60A1FC27" w14:textId="77777777" w:rsidR="008947B7" w:rsidRDefault="008947B7" w:rsidP="008947B7">
      <w:pPr>
        <w:spacing w:after="0" w:line="480" w:lineRule="auto"/>
        <w:rPr>
          <w:rFonts w:ascii="Times New Roman" w:hAnsi="Times New Roman" w:cs="Times New Roman"/>
          <w:sz w:val="24"/>
          <w:szCs w:val="24"/>
        </w:rPr>
      </w:pPr>
    </w:p>
    <w:p w14:paraId="41534DBE"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sidR="00E71A2E">
        <w:rPr>
          <w:rFonts w:ascii="Times New Roman" w:hAnsi="Times New Roman" w:cs="Times New Roman"/>
          <w:sz w:val="24"/>
          <w:szCs w:val="24"/>
        </w:rPr>
        <w:t xml:space="preserve"> </w:t>
      </w:r>
      <w:r w:rsidR="00E71A2E">
        <w:rPr>
          <w:rFonts w:ascii="Times New Roman" w:hAnsi="Times New Roman" w:cs="Times New Roman"/>
          <w:b/>
          <w:sz w:val="28"/>
          <w:szCs w:val="28"/>
        </w:rPr>
        <w:t>of document</w:t>
      </w:r>
      <w:r>
        <w:rPr>
          <w:rFonts w:ascii="Times New Roman" w:hAnsi="Times New Roman" w:cs="Times New Roman"/>
          <w:sz w:val="24"/>
          <w:szCs w:val="24"/>
        </w:rPr>
        <w:t>:</w:t>
      </w:r>
    </w:p>
    <w:p w14:paraId="33DA493E" w14:textId="792382D6"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document is intended to document the model structure and user-options available in package VAST.  For guidance and examples of how to use the model, please see the </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 xml:space="preserve"> tutorials in the GitHub “/examples” directory.  In the following, I try to use n</w:t>
      </w:r>
      <w:r w:rsidR="00593A7B">
        <w:rPr>
          <w:rFonts w:ascii="Times New Roman" w:hAnsi="Times New Roman" w:cs="Times New Roman"/>
          <w:sz w:val="24"/>
          <w:szCs w:val="24"/>
        </w:rPr>
        <w:t xml:space="preserve">otation similar to the TMB code:  I use parentheses to indicate a parameter or variable that is indexed by the specified indices, and I use subscripts for naming (e.g., to indicate different parameters for different model components).  </w:t>
      </w:r>
      <w:r>
        <w:rPr>
          <w:rFonts w:ascii="Times New Roman" w:hAnsi="Times New Roman" w:cs="Times New Roman"/>
          <w:sz w:val="24"/>
          <w:szCs w:val="24"/>
        </w:rPr>
        <w:t>Feel free to change notation when describing the model to suite your purposes.</w:t>
      </w:r>
      <w:r w:rsidR="00493EE0">
        <w:rPr>
          <w:rFonts w:ascii="Times New Roman" w:hAnsi="Times New Roman" w:cs="Times New Roman"/>
          <w:sz w:val="24"/>
          <w:szCs w:val="24"/>
        </w:rPr>
        <w:t xml:space="preserve">  For further details regarding terminology, motivation, and statistical properties, please read the papers listed on the GitHub main page.  </w:t>
      </w:r>
    </w:p>
    <w:p w14:paraId="5838937B"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sidR="00E71A2E">
        <w:rPr>
          <w:rFonts w:ascii="Times New Roman" w:hAnsi="Times New Roman" w:cs="Times New Roman"/>
          <w:b/>
          <w:sz w:val="28"/>
          <w:szCs w:val="28"/>
        </w:rPr>
        <w:t xml:space="preserve"> description</w:t>
      </w:r>
      <w:r>
        <w:rPr>
          <w:rFonts w:ascii="Times New Roman" w:hAnsi="Times New Roman" w:cs="Times New Roman"/>
          <w:sz w:val="24"/>
          <w:szCs w:val="24"/>
        </w:rPr>
        <w:t>:</w:t>
      </w:r>
    </w:p>
    <w:p w14:paraId="0D7ECC39" w14:textId="77777777" w:rsidR="00E71A2E" w:rsidRPr="00E71A2E" w:rsidRDefault="00E71A2E" w:rsidP="008947B7">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546D67D2" w14:textId="77777777"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I use a delta-model that includes two linear predictors.  The linear predictor for encounter probability:</w:t>
      </w:r>
    </w:p>
    <w:p w14:paraId="0434B736" w14:textId="77777777" w:rsidR="008947B7" w:rsidRPr="00493EE0" w:rsidRDefault="001219C9" w:rsidP="008947B7">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756556E0" w14:textId="77777777"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hAnsi="Cambria Math" w:cs="Times New Roman"/>
            <w:sz w:val="24"/>
            <w:szCs w:val="24"/>
          </w:rPr>
          <m:t>p</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predictor for cell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in the extrapolation grid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Pr>
          <w:rFonts w:ascii="Times New Roman" w:eastAsiaTheme="minorEastAsia" w:hAnsi="Times New Roman" w:cs="Times New Roman"/>
          <w:iCs/>
          <w:sz w:val="24"/>
          <w:szCs w:val="24"/>
        </w:rPr>
        <w:t xml:space="preserve"> represents spatial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spatial covariation among categories for this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spatio-temporal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w:t>
      </w:r>
      <w:r>
        <w:rPr>
          <w:rFonts w:ascii="Times New Roman" w:eastAsiaTheme="minorEastAsia" w:hAnsi="Times New Roman" w:cs="Times New Roman"/>
          <w:iCs/>
          <w:sz w:val="24"/>
          <w:szCs w:val="24"/>
        </w:rPr>
        <w:lastRenderedPageBreak/>
        <w:t xml:space="preserve">that generates spatio-temporal covariation for this predictor,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Pr>
          <w:rFonts w:ascii="Times New Roman" w:eastAsiaTheme="minorEastAsia" w:hAnsi="Times New Roman" w:cs="Times New Roman"/>
          <w:iCs/>
          <w:sz w:val="24"/>
          <w:szCs w:val="24"/>
        </w:rPr>
        <w:t xml:space="preserve"> is random variation in catchability among a grouping variable (tows or vessels)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oMath>
      <w:r>
        <w:rPr>
          <w:rFonts w:ascii="Times New Roman" w:eastAsiaTheme="minorEastAsia" w:hAnsi="Times New Roman" w:cs="Times New Roman"/>
          <w:iCs/>
          <w:sz w:val="24"/>
          <w:szCs w:val="24"/>
          <w:lang w:val="en-US"/>
        </w:rPr>
        <w:t xml:space="preserve"> is a loadings matrix that generates covariation in catchability among categories for this pr</w:t>
      </w:r>
      <w:proofErr w:type="spellStart"/>
      <w:r>
        <w:rPr>
          <w:rFonts w:ascii="Times New Roman" w:eastAsiaTheme="minorEastAsia" w:hAnsi="Times New Roman" w:cs="Times New Roman"/>
          <w:iCs/>
          <w:sz w:val="24"/>
          <w:szCs w:val="24"/>
          <w:lang w:val="en-US"/>
        </w:rPr>
        <w:t>edictor</w:t>
      </w:r>
      <w:proofErr w:type="spellEnd"/>
      <w:r>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are measured density covariates that explain variation in density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is the estimated impact of density covariates, and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Pr>
          <w:rFonts w:ascii="Times New Roman" w:eastAsiaTheme="minorEastAsia" w:hAnsi="Times New Roman" w:cs="Times New Roman"/>
          <w:iCs/>
          <w:sz w:val="24"/>
          <w:szCs w:val="24"/>
        </w:rPr>
        <w:t xml:space="preserve"> are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Pr>
          <w:rFonts w:ascii="Times New Roman" w:eastAsiaTheme="minorEastAsia" w:hAnsi="Times New Roman" w:cs="Times New Roman"/>
          <w:iCs/>
          <w:sz w:val="24"/>
          <w:szCs w:val="24"/>
        </w:rPr>
        <w:t xml:space="preserve"> is the estimated impact of catchability covariates for this linear predictor.  Similarly, the linear predictor for positive catch rates:</w:t>
      </w:r>
    </w:p>
    <w:p w14:paraId="4BC2BB6C" w14:textId="77777777" w:rsidR="00493EE0" w:rsidRPr="00493EE0" w:rsidRDefault="001219C9" w:rsidP="00493EE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089CF561" w14:textId="77777777"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p>
    <w:p w14:paraId="087E473C" w14:textId="77777777" w:rsidR="006D220D" w:rsidRDefault="006D220D"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The user controls the number of spatial and spatio-temporal factors used for each component via input:</w:t>
      </w:r>
    </w:p>
    <w:p w14:paraId="6F7F76BA"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factors</w:t>
      </w:r>
    </w:p>
    <w:p w14:paraId="07FAA4AD"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358C31ED" w14:textId="77777777" w:rsidR="006D220D" w:rsidRDefault="006D220D" w:rsidP="006D220D">
      <w:pPr>
        <w:spacing w:after="0" w:line="480" w:lineRule="auto"/>
        <w:rPr>
          <w:rFonts w:ascii="Times New Roman" w:eastAsiaTheme="minorEastAsia" w:hAnsi="Times New Roman" w:cs="Times New Roman"/>
          <w:iCs/>
          <w:sz w:val="24"/>
          <w:szCs w:val="24"/>
        </w:rPr>
      </w:pPr>
    </w:p>
    <w:p w14:paraId="5E6429F6" w14:textId="77777777" w:rsidR="006D220D" w:rsidRDefault="006D220D" w:rsidP="006D220D">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The user controls the number of </w:t>
      </w:r>
      <w:r w:rsidR="00D23016">
        <w:rPr>
          <w:rFonts w:ascii="Times New Roman" w:eastAsiaTheme="minorEastAsia" w:hAnsi="Times New Roman" w:cs="Times New Roman"/>
          <w:iCs/>
          <w:sz w:val="24"/>
          <w:szCs w:val="24"/>
        </w:rPr>
        <w:t xml:space="preserve">catchability </w:t>
      </w:r>
      <w:r>
        <w:rPr>
          <w:rFonts w:ascii="Times New Roman" w:eastAsiaTheme="minorEastAsia" w:hAnsi="Times New Roman" w:cs="Times New Roman"/>
          <w:iCs/>
          <w:sz w:val="24"/>
          <w:szCs w:val="24"/>
        </w:rPr>
        <w:t xml:space="preserve">factors </w:t>
      </w:r>
      <w:r w:rsidR="00D23016">
        <w:rPr>
          <w:rFonts w:ascii="Times New Roman" w:eastAsiaTheme="minorEastAsia" w:hAnsi="Times New Roman" w:cs="Times New Roman"/>
          <w:iCs/>
          <w:sz w:val="24"/>
          <w:szCs w:val="24"/>
        </w:rPr>
        <w:t>used for each component via input:</w:t>
      </w:r>
    </w:p>
    <w:p w14:paraId="43AAAC8A"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05AA12BD"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c("Delta1"=0, "Delta2"=0)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689D7FA6" w14:textId="77777777" w:rsidR="00D23016" w:rsidRDefault="00D23016" w:rsidP="00D23016">
      <w:pPr>
        <w:spacing w:after="0" w:line="480" w:lineRule="auto"/>
        <w:rPr>
          <w:rFonts w:ascii="Times New Roman" w:eastAsiaTheme="minorEastAsia" w:hAnsi="Times New Roman" w:cs="Times New Roman"/>
          <w:iCs/>
          <w:sz w:val="24"/>
          <w:szCs w:val="24"/>
        </w:rPr>
      </w:pPr>
    </w:p>
    <w:p w14:paraId="7D36FCD6" w14:textId="77777777" w:rsidR="006D220D" w:rsidRDefault="00D23016"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xml:space="preserve">, and a value of zero again “turns off” that component of random covariation in catchability.  </w:t>
      </w:r>
    </w:p>
    <w:p w14:paraId="418E8F69" w14:textId="77777777" w:rsidR="00A2136E" w:rsidRPr="00A2136E" w:rsidRDefault="00A2136E" w:rsidP="008947B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Link functions</w:t>
      </w:r>
    </w:p>
    <w:p w14:paraId="152077C1" w14:textId="77777777" w:rsidR="00493EE0" w:rsidRDefault="00522AB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ab/>
        <w:t xml:space="preserve">There are different user-controlled options for link-functions that calculate expected encounter probability and positive catch rates given these two linear predictors.  </w:t>
      </w:r>
    </w:p>
    <w:p w14:paraId="199EDAF7" w14:textId="77777777" w:rsidR="00A2136E" w:rsidRPr="00A2136E" w:rsidRDefault="00A2136E"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D23016">
        <w:rPr>
          <w:rFonts w:ascii="Consolas" w:eastAsia="Times New Roman" w:hAnsi="Consolas" w:cs="Consolas"/>
          <w:color w:val="24292E"/>
          <w:sz w:val="20"/>
          <w:szCs w:val="20"/>
          <w:bdr w:val="none" w:sz="0" w:space="0" w:color="auto" w:frame="1"/>
          <w:lang w:eastAsia="en-GB"/>
        </w:rPr>
        <w:t>number of catchability factors</w:t>
      </w:r>
    </w:p>
    <w:p w14:paraId="7E4303E1" w14:textId="77777777" w:rsidR="00A2136E" w:rsidRPr="00A2136E" w:rsidRDefault="00D23016"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sidRPr="00D23016">
        <w:rPr>
          <w:rFonts w:ascii="Consolas" w:eastAsia="Times New Roman" w:hAnsi="Consolas" w:cs="Consolas"/>
          <w:color w:val="24292E"/>
          <w:sz w:val="20"/>
          <w:szCs w:val="20"/>
          <w:bdr w:val="none" w:sz="0" w:space="0" w:color="auto" w:frame="1"/>
          <w:lang w:eastAsia="en-GB"/>
        </w:rPr>
        <w:t xml:space="preserve"> = c("Vessel"=0, "</w:t>
      </w:r>
      <w:proofErr w:type="spellStart"/>
      <w:r w:rsidRPr="00D23016">
        <w:rPr>
          <w:rFonts w:ascii="Consolas" w:eastAsia="Times New Roman" w:hAnsi="Consolas" w:cs="Consolas"/>
          <w:color w:val="24292E"/>
          <w:sz w:val="20"/>
          <w:szCs w:val="20"/>
          <w:bdr w:val="none" w:sz="0" w:space="0" w:color="auto" w:frame="1"/>
          <w:lang w:eastAsia="en-GB"/>
        </w:rPr>
        <w:t>VesselYear</w:t>
      </w:r>
      <w:proofErr w:type="spellEnd"/>
      <w:r w:rsidRPr="00D23016">
        <w:rPr>
          <w:rFonts w:ascii="Consolas" w:eastAsia="Times New Roman" w:hAnsi="Consolas" w:cs="Consolas"/>
          <w:color w:val="24292E"/>
          <w:sz w:val="20"/>
          <w:szCs w:val="20"/>
          <w:bdr w:val="none" w:sz="0" w:space="0" w:color="auto" w:frame="1"/>
          <w:lang w:eastAsia="en-GB"/>
        </w:rPr>
        <w:t>"=0)</w:t>
      </w:r>
      <w:r w:rsidR="00A2136E" w:rsidRPr="00A2136E">
        <w:rPr>
          <w:rFonts w:ascii="Consolas" w:eastAsia="Times New Roman" w:hAnsi="Consolas" w:cs="Consolas"/>
          <w:color w:val="24292E"/>
          <w:sz w:val="20"/>
          <w:szCs w:val="20"/>
          <w:bdr w:val="none" w:sz="0" w:space="0" w:color="auto" w:frame="1"/>
          <w:lang w:eastAsia="en-GB"/>
        </w:rPr>
        <w:t xml:space="preserve">  </w:t>
      </w:r>
    </w:p>
    <w:p w14:paraId="6BF8B9E2" w14:textId="77777777" w:rsidR="00A2136E" w:rsidRDefault="00A2136E" w:rsidP="008947B7">
      <w:pPr>
        <w:spacing w:after="0" w:line="480" w:lineRule="auto"/>
        <w:rPr>
          <w:rFonts w:ascii="Times New Roman" w:eastAsiaTheme="minorEastAsia" w:hAnsi="Times New Roman" w:cs="Times New Roman"/>
          <w:iCs/>
          <w:sz w:val="24"/>
          <w:szCs w:val="24"/>
        </w:rPr>
      </w:pPr>
    </w:p>
    <w:p w14:paraId="400009B7" w14:textId="4CAD1A68" w:rsidR="00A2136E" w:rsidRDefault="00A2136E"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the 2</w:t>
      </w:r>
      <w:r w:rsidRPr="00A2136E">
        <w:rPr>
          <w:rFonts w:ascii="Times New Roman" w:eastAsiaTheme="minorEastAsia" w:hAnsi="Times New Roman" w:cs="Times New Roman"/>
          <w:iCs/>
          <w:sz w:val="24"/>
          <w:szCs w:val="24"/>
          <w:vertAlign w:val="superscript"/>
        </w:rPr>
        <w:t>nd</w:t>
      </w:r>
      <w:r>
        <w:rPr>
          <w:rFonts w:ascii="Times New Roman" w:eastAsiaTheme="minorEastAsia" w:hAnsi="Times New Roman" w:cs="Times New Roman"/>
          <w:iCs/>
          <w:sz w:val="24"/>
          <w:szCs w:val="24"/>
        </w:rPr>
        <w:t xml:space="preserve"> element of this vector controls the link functions.  </w:t>
      </w:r>
      <w:proofErr w:type="spellStart"/>
      <w:r w:rsidR="001219C9">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 xml:space="preserve">[2]=0 </w:t>
      </w:r>
      <w:r>
        <w:rPr>
          <w:rFonts w:ascii="Times New Roman" w:eastAsiaTheme="minorEastAsia" w:hAnsi="Times New Roman" w:cs="Times New Roman"/>
          <w:iCs/>
          <w:sz w:val="24"/>
          <w:szCs w:val="24"/>
        </w:rPr>
        <w:t>corresponds to a conventional delta-model:</w:t>
      </w:r>
    </w:p>
    <w:p w14:paraId="5C8179A3" w14:textId="77777777" w:rsidR="00A2136E" w:rsidRPr="00A2136E" w:rsidRDefault="001219C9"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oMath>
      </m:oMathPara>
    </w:p>
    <w:p w14:paraId="6E2438FB" w14:textId="77777777" w:rsidR="00A2136E" w:rsidRDefault="00A2136E" w:rsidP="00A2136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predictor encounter probability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(a)</m:t>
        </m:r>
      </m:oMath>
      <w:r>
        <w:rPr>
          <w:rFonts w:ascii="Times New Roman" w:eastAsiaTheme="minorEastAsia" w:hAnsi="Times New Roman" w:cs="Times New Roman"/>
          <w:iCs/>
          <w:sz w:val="24"/>
          <w:szCs w:val="24"/>
        </w:rPr>
        <w:t xml:space="preserve"> is the logistic function, and:</w:t>
      </w:r>
      <w:bookmarkStart w:id="0" w:name="_GoBack"/>
      <w:bookmarkEnd w:id="0"/>
    </w:p>
    <w:p w14:paraId="7EAADC0F" w14:textId="77777777" w:rsidR="00A2136E" w:rsidRPr="00A2136E" w:rsidRDefault="001219C9"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oMath>
      </m:oMathPara>
    </w:p>
    <w:p w14:paraId="7BC9146C" w14:textId="43CA2CAA" w:rsidR="00A2136E" w:rsidRDefault="00A2136E" w:rsidP="00A2136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predicted biomass density for positive catch rates and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(a)</m:t>
        </m:r>
      </m:oMath>
      <w:r>
        <w:rPr>
          <w:rFonts w:ascii="Times New Roman" w:eastAsiaTheme="minorEastAsia" w:hAnsi="Times New Roman" w:cs="Times New Roman"/>
          <w:iCs/>
          <w:sz w:val="24"/>
          <w:szCs w:val="24"/>
        </w:rPr>
        <w:t xml:space="preserve"> is the exponential fu</w:t>
      </w:r>
      <w:proofErr w:type="spellStart"/>
      <w:r>
        <w:rPr>
          <w:rFonts w:ascii="Times New Roman" w:eastAsiaTheme="minorEastAsia" w:hAnsi="Times New Roman" w:cs="Times New Roman"/>
          <w:iCs/>
          <w:sz w:val="24"/>
          <w:szCs w:val="24"/>
        </w:rPr>
        <w:t>nction</w:t>
      </w:r>
      <w:proofErr w:type="spellEnd"/>
      <w:r>
        <w:rPr>
          <w:rFonts w:ascii="Times New Roman" w:eastAsiaTheme="minorEastAsia" w:hAnsi="Times New Roman" w:cs="Times New Roman"/>
          <w:iCs/>
          <w:sz w:val="24"/>
          <w:szCs w:val="24"/>
        </w:rPr>
        <w:t xml:space="preserve">.  Alternatively, </w:t>
      </w:r>
      <w:proofErr w:type="spellStart"/>
      <w:r w:rsidR="001219C9">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 xml:space="preserve">[2]=1 </w:t>
      </w:r>
      <w:r>
        <w:rPr>
          <w:rFonts w:ascii="Times New Roman" w:eastAsiaTheme="minorEastAsia" w:hAnsi="Times New Roman" w:cs="Times New Roman"/>
          <w:iCs/>
          <w:sz w:val="24"/>
          <w:szCs w:val="24"/>
        </w:rPr>
        <w:t>corresponds to a “Poisson-process” link function that approximates a Tweedie distribution:</w:t>
      </w:r>
    </w:p>
    <w:p w14:paraId="6C215F81" w14:textId="77777777" w:rsidR="00A2136E" w:rsidRPr="00A2136E" w:rsidRDefault="001219C9"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=1-exp</m:t>
          </m:r>
          <m:d>
            <m:dPr>
              <m:ctrlPr>
                <w:rPr>
                  <w:rFonts w:ascii="Cambria Math" w:hAnsi="Cambria Math" w:cs="Times New Roman"/>
                  <w:i/>
                  <w:iCs/>
                  <w:sz w:val="24"/>
                  <w:szCs w:val="24"/>
                </w:rPr>
              </m:ctrlPr>
            </m:dPr>
            <m:e>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e>
          </m:d>
          <m:r>
            <w:rPr>
              <w:rFonts w:ascii="Cambria Math" w:hAnsi="Cambria Math" w:cs="Times New Roman"/>
              <w:sz w:val="24"/>
              <w:szCs w:val="24"/>
            </w:rPr>
            <m:t xml:space="preserve"> </m:t>
          </m:r>
        </m:oMath>
      </m:oMathPara>
    </w:p>
    <w:p w14:paraId="5759C3D5" w14:textId="77777777" w:rsidR="00A2136E" w:rsidRDefault="00A2136E" w:rsidP="00A2136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1-exp</m:t>
        </m:r>
        <m:d>
          <m:dPr>
            <m:ctrlPr>
              <w:rPr>
                <w:rFonts w:ascii="Cambria Math" w:hAnsi="Cambria Math" w:cs="Times New Roman"/>
                <w:i/>
                <w:iCs/>
                <w:sz w:val="24"/>
                <w:szCs w:val="24"/>
              </w:rPr>
            </m:ctrlPr>
          </m:dPr>
          <m:e>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r>
                      <w:rPr>
                        <w:rFonts w:ascii="Cambria Math" w:hAnsi="Cambria Math" w:cs="Times New Roman"/>
                        <w:sz w:val="24"/>
                        <w:szCs w:val="24"/>
                      </w:rPr>
                      <m:t>a</m:t>
                    </m:r>
                  </m:e>
                </m:d>
              </m:e>
            </m:func>
          </m:e>
        </m:d>
      </m:oMath>
      <w:r>
        <w:rPr>
          <w:rFonts w:ascii="Times New Roman" w:eastAsiaTheme="minorEastAsia" w:hAnsi="Times New Roman" w:cs="Times New Roman"/>
          <w:iCs/>
          <w:sz w:val="24"/>
          <w:szCs w:val="24"/>
        </w:rPr>
        <w:t xml:space="preserve"> is a complementary log-log link, and:</w:t>
      </w:r>
    </w:p>
    <w:p w14:paraId="29BAB8D8" w14:textId="77777777" w:rsidR="00A2136E" w:rsidRPr="00A2136E" w:rsidRDefault="001219C9"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Cs/>
                  <w:sz w:val="24"/>
                  <w:szCs w:val="24"/>
                </w:rPr>
              </m:ctrlPr>
            </m:fPr>
            <m:num>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oMath>
      </m:oMathPara>
    </w:p>
    <w:p w14:paraId="7B51F09C" w14:textId="77777777" w:rsidR="00A2136E" w:rsidRDefault="00C920D5" w:rsidP="00A2136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predicted biomass density for positive catch rates.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oMath>
      <w:r>
        <w:rPr>
          <w:rFonts w:ascii="Times New Roman" w:eastAsiaTheme="minorEastAsia" w:hAnsi="Times New Roman" w:cs="Times New Roman"/>
          <w:iCs/>
          <w:sz w:val="24"/>
          <w:szCs w:val="24"/>
        </w:rPr>
        <w:t xml:space="preserve"> is interpreted as the density in number of individuals per area,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oMath>
      <w:r>
        <w:rPr>
          <w:rFonts w:ascii="Times New Roman" w:eastAsiaTheme="minorEastAsia" w:hAnsi="Times New Roman" w:cs="Times New Roman"/>
          <w:iCs/>
          <w:sz w:val="24"/>
          <w:szCs w:val="24"/>
        </w:rPr>
        <w:t xml:space="preserve"> is interpreted as the average weight per individual.  </w:t>
      </w:r>
    </w:p>
    <w:p w14:paraId="11888F14" w14:textId="77777777" w:rsidR="00E71A2E" w:rsidRDefault="00E71A2E" w:rsidP="00A2136E">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3EE5B63A" w14:textId="77777777"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positive catch rates.  </w:t>
      </w:r>
    </w:p>
    <w:p w14:paraId="0D8C9F3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66C5F4F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 xml:space="preserve"> = c(2,0)</w:t>
      </w:r>
      <w:r w:rsidRPr="00A2136E">
        <w:rPr>
          <w:rFonts w:ascii="Consolas" w:eastAsia="Times New Roman" w:hAnsi="Consolas" w:cs="Consolas"/>
          <w:color w:val="24292E"/>
          <w:sz w:val="20"/>
          <w:szCs w:val="20"/>
          <w:bdr w:val="none" w:sz="0" w:space="0" w:color="auto" w:frame="1"/>
          <w:lang w:eastAsia="en-GB"/>
        </w:rPr>
        <w:t xml:space="preserve">  </w:t>
      </w:r>
    </w:p>
    <w:p w14:paraId="5354D4EB" w14:textId="77777777" w:rsidR="00E71A2E" w:rsidRDefault="00E71A2E" w:rsidP="00E71A2E">
      <w:pPr>
        <w:spacing w:after="0" w:line="480" w:lineRule="auto"/>
        <w:rPr>
          <w:rFonts w:ascii="Times New Roman" w:eastAsiaTheme="minorEastAsia" w:hAnsi="Times New Roman" w:cs="Times New Roman"/>
          <w:iCs/>
          <w:sz w:val="24"/>
          <w:szCs w:val="24"/>
        </w:rPr>
      </w:pPr>
    </w:p>
    <w:p w14:paraId="787925FE" w14:textId="77777777"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w:t>
      </w:r>
      <w:r w:rsidR="0098740E">
        <w:rPr>
          <w:rFonts w:ascii="Times New Roman" w:eastAsiaTheme="minorEastAsia" w:hAnsi="Times New Roman" w:cs="Times New Roman"/>
          <w:iCs/>
          <w:sz w:val="24"/>
          <w:szCs w:val="24"/>
        </w:rPr>
        <w:t>probability density function</w:t>
      </w:r>
      <w:r>
        <w:rPr>
          <w:rFonts w:ascii="Times New Roman" w:eastAsiaTheme="minorEastAsia" w:hAnsi="Times New Roman" w:cs="Times New Roman"/>
          <w:iCs/>
          <w:sz w:val="24"/>
          <w:szCs w:val="24"/>
        </w:rPr>
        <w:t xml:space="preserve"> </w:t>
      </w:r>
      <w:r w:rsidR="0098740E">
        <w:rPr>
          <w:rFonts w:ascii="Times New Roman" w:eastAsiaTheme="minorEastAsia" w:hAnsi="Times New Roman" w:cs="Times New Roman"/>
          <w:iCs/>
          <w:sz w:val="24"/>
          <w:szCs w:val="24"/>
        </w:rPr>
        <w:t xml:space="preserve">used for positive catch rates </w:t>
      </w:r>
      <w:r>
        <w:rPr>
          <w:rFonts w:ascii="Times New Roman" w:eastAsiaTheme="minorEastAsia" w:hAnsi="Times New Roman" w:cs="Times New Roman"/>
          <w:iCs/>
          <w:sz w:val="24"/>
          <w:szCs w:val="24"/>
        </w:rPr>
        <w:t xml:space="preserve">(see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for a list of options).  VAST then calculates the probability of data as:</w:t>
      </w:r>
    </w:p>
    <w:p w14:paraId="5AB36D52" w14:textId="205963F7" w:rsidR="00E71A2E" w:rsidRDefault="001219C9" w:rsidP="00E71A2E">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3075B9EF" w14:textId="34CF9D86"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is a probability density function for positive catch rates with expectation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w:t>
      </w:r>
    </w:p>
    <w:p w14:paraId="04BF3F86" w14:textId="77777777" w:rsidR="00AC32E7" w:rsidRPr="003B75F4" w:rsidRDefault="003B75F4"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37F4A144" w14:textId="77777777" w:rsidR="00A75CC9"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3EDB8046"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05D4DDB7"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24A789E" w14:textId="77777777" w:rsidR="00BD775A" w:rsidRDefault="00BD775A" w:rsidP="00BD775A">
      <w:pPr>
        <w:spacing w:after="0" w:line="480" w:lineRule="auto"/>
        <w:rPr>
          <w:rFonts w:ascii="Times New Roman" w:eastAsiaTheme="minorEastAsia" w:hAnsi="Times New Roman" w:cs="Times New Roman"/>
          <w:iCs/>
          <w:sz w:val="24"/>
          <w:szCs w:val="24"/>
        </w:rPr>
      </w:pPr>
    </w:p>
    <w:p w14:paraId="0E0215A6" w14:textId="77777777" w:rsidR="003B75F4"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7872DA19" w14:textId="3B4ADA42" w:rsidR="001828F8"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737A0">
        <w:rPr>
          <w:rFonts w:ascii="Times New Roman" w:eastAsiaTheme="minorEastAsia" w:hAnsi="Times New Roman" w:cs="Times New Roman"/>
          <w:iCs/>
          <w:sz w:val="24"/>
          <w:szCs w:val="24"/>
        </w:rPr>
        <w:t xml:space="preserve">Outputs from this triangulated mesh can then be used to </w:t>
      </w:r>
      <w:r w:rsidR="000F4520">
        <w:rPr>
          <w:rFonts w:ascii="Times New Roman" w:eastAsiaTheme="minorEastAsia" w:hAnsi="Times New Roman" w:cs="Times New Roman"/>
          <w:iCs/>
          <w:sz w:val="24"/>
          <w:szCs w:val="24"/>
        </w:rPr>
        <w:t xml:space="preserve">calculate the precision (inverse-covariance) matrix for a multivariate normal probability density function for the value of </w:t>
      </w:r>
      <w:r w:rsidR="002737A0">
        <w:rPr>
          <w:rFonts w:ascii="Times New Roman" w:eastAsiaTheme="minorEastAsia" w:hAnsi="Times New Roman" w:cs="Times New Roman"/>
          <w:iCs/>
          <w:sz w:val="24"/>
          <w:szCs w:val="24"/>
        </w:rPr>
        <w:t xml:space="preserve">a spatial variable at each </w:t>
      </w:r>
      <w:r w:rsidR="000F4520">
        <w:rPr>
          <w:rFonts w:ascii="Times New Roman" w:eastAsiaTheme="minorEastAsia" w:hAnsi="Times New Roman" w:cs="Times New Roman"/>
          <w:iCs/>
          <w:sz w:val="24"/>
          <w:szCs w:val="24"/>
        </w:rPr>
        <w:t xml:space="preserve">mesh </w:t>
      </w:r>
      <w:r w:rsidR="001828F8">
        <w:rPr>
          <w:rFonts w:ascii="Times New Roman" w:eastAsiaTheme="minorEastAsia" w:hAnsi="Times New Roman" w:cs="Times New Roman"/>
          <w:iCs/>
          <w:sz w:val="24"/>
          <w:szCs w:val="24"/>
        </w:rPr>
        <w:t>vertex.  Specifically, the correlation</w:t>
      </w:r>
      <w:r w:rsidR="002232B6">
        <w:rPr>
          <w:rFonts w:ascii="Times New Roman" w:eastAsiaTheme="minorEastAsia" w:hAnsi="Times New Roman" w:cs="Times New Roman"/>
          <w:iCs/>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sidR="002232B6">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sidR="002232B6">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2232B6">
        <w:rPr>
          <w:rFonts w:ascii="Times New Roman" w:eastAsiaTheme="minorEastAsia" w:hAnsi="Times New Roman" w:cs="Times New Roman"/>
          <w:sz w:val="24"/>
          <w:szCs w:val="24"/>
        </w:rPr>
        <w:t xml:space="preserve"> </w:t>
      </w:r>
      <w:r w:rsidR="002232B6">
        <w:rPr>
          <w:rFonts w:ascii="Times New Roman" w:eastAsiaTheme="minorEastAsia" w:hAnsi="Times New Roman" w:cs="Times New Roman"/>
          <w:iCs/>
          <w:sz w:val="24"/>
          <w:szCs w:val="24"/>
        </w:rPr>
        <w:t xml:space="preserve">for spatial and spatio-temporal terms included in the first linear predictor </w:t>
      </w:r>
      <w:r w:rsidR="001828F8">
        <w:rPr>
          <w:rFonts w:ascii="Times New Roman" w:eastAsiaTheme="minorEastAsia" w:hAnsi="Times New Roman" w:cs="Times New Roman"/>
          <w:iCs/>
          <w:sz w:val="24"/>
          <w:szCs w:val="24"/>
        </w:rPr>
        <w:t xml:space="preserve">is approximated as following a </w:t>
      </w:r>
      <w:proofErr w:type="spellStart"/>
      <w:r w:rsidR="001828F8">
        <w:rPr>
          <w:rFonts w:ascii="Times New Roman" w:eastAsiaTheme="minorEastAsia" w:hAnsi="Times New Roman" w:cs="Times New Roman"/>
          <w:iCs/>
          <w:sz w:val="24"/>
          <w:szCs w:val="24"/>
        </w:rPr>
        <w:t>Matern</w:t>
      </w:r>
      <w:proofErr w:type="spellEnd"/>
      <w:r w:rsidR="001828F8">
        <w:rPr>
          <w:rFonts w:ascii="Times New Roman" w:eastAsiaTheme="minorEastAsia" w:hAnsi="Times New Roman" w:cs="Times New Roman"/>
          <w:iCs/>
          <w:sz w:val="24"/>
          <w:szCs w:val="24"/>
        </w:rPr>
        <w:t xml:space="preserve"> function:</w:t>
      </w:r>
    </w:p>
    <w:p w14:paraId="7DD5C3B8" w14:textId="1C7BB552" w:rsidR="001828F8" w:rsidRDefault="001219C9" w:rsidP="00A75CC9">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n</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46DF4577" w14:textId="597BBD6B" w:rsidR="001828F8" w:rsidRDefault="001828F8" w:rsidP="00A75CC9">
      <w:pPr>
        <w:spacing w:after="0" w:line="480" w:lineRule="auto"/>
        <w:rPr>
          <w:rFonts w:ascii="Times New Roman" w:eastAsiaTheme="minorEastAsia" w:hAnsi="Times New Roman" w:cs="Times New Roman"/>
        </w:rPr>
      </w:pPr>
      <w:r>
        <w:rPr>
          <w:rFonts w:ascii="Times New Roman" w:eastAsiaTheme="minorEastAsia" w:hAnsi="Times New Roman" w:cs="Times New Roman"/>
          <w:iCs/>
          <w:sz w:val="24"/>
          <w:szCs w:val="24"/>
        </w:rPr>
        <w:t xml:space="preserve">where </w:t>
      </w:r>
      <m:oMath>
        <m:r>
          <m:rPr>
            <m:sty m:val="b"/>
          </m:rPr>
          <w:rPr>
            <w:rFonts w:ascii="Cambria Math" w:hAnsi="Cambria Math"/>
          </w:rPr>
          <m:t>H</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is a </w:t>
      </w:r>
      <w:r w:rsidR="002232B6">
        <w:rPr>
          <w:rFonts w:ascii="Times New Roman" w:eastAsiaTheme="minorEastAsia" w:hAnsi="Times New Roman" w:cs="Times New Roman"/>
        </w:rPr>
        <w:t xml:space="preserve">two-dimensional </w:t>
      </w:r>
      <w:r>
        <w:rPr>
          <w:rFonts w:ascii="Times New Roman" w:eastAsiaTheme="minorEastAsia" w:hAnsi="Times New Roman" w:cs="Times New Roman"/>
        </w:rPr>
        <w:t xml:space="preserve">linear transformation </w:t>
      </w:r>
      <w:r w:rsidR="00593A7B">
        <w:rPr>
          <w:rFonts w:ascii="Times New Roman" w:eastAsiaTheme="minorEastAsia" w:hAnsi="Times New Roman" w:cs="Times New Roman"/>
        </w:rPr>
        <w:t xml:space="preserve">representing geometric anisotropy </w:t>
      </w:r>
      <w:r>
        <w:rPr>
          <w:rFonts w:ascii="Times New Roman" w:eastAsiaTheme="minorEastAsia" w:hAnsi="Times New Roman" w:cs="Times New Roman"/>
        </w:rPr>
        <w:t>(with a determinant of 1.0)</w:t>
      </w:r>
      <w:r w:rsidR="002232B6">
        <w:rPr>
          <w:rFonts w:ascii="Times New Roman" w:eastAsiaTheme="minorEastAsia" w:hAnsi="Times New Roman" w:cs="Times New Roman"/>
        </w:rPr>
        <w:t xml:space="preserve">, </w:t>
      </w:r>
      <m:oMath>
        <m:r>
          <w:rPr>
            <w:rFonts w:ascii="Cambria Math" w:hAnsi="Cambria Math"/>
          </w:rPr>
          <m:t>ν</m:t>
        </m:r>
      </m:oMath>
      <w:r w:rsidR="002232B6">
        <w:rPr>
          <w:rFonts w:ascii="Times New Roman" w:eastAsiaTheme="minorEastAsia" w:hAnsi="Times New Roman" w:cs="Times New Roman"/>
        </w:rPr>
        <w:t xml:space="preserve"> is the Matern smoothness (fixed at 1.0), and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544F3D">
        <w:rPr>
          <w:rFonts w:ascii="Times New Roman" w:eastAsiaTheme="minorEastAsia" w:hAnsi="Times New Roman" w:cs="Times New Roman"/>
        </w:rPr>
        <w:t xml:space="preserve"> governs the decorrelation distance for that first linear predictor</w:t>
      </w:r>
      <w:r w:rsidR="00593A7B">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sidR="00593A7B">
        <w:rPr>
          <w:rFonts w:ascii="Times New Roman" w:eastAsiaTheme="minorEastAsia" w:hAnsi="Times New Roman" w:cs="Times New Roman"/>
        </w:rPr>
        <w:t xml:space="preserve"> is also separately estimated for the second linear predictor)</w:t>
      </w:r>
      <w:r w:rsidR="00544F3D">
        <w:rPr>
          <w:rFonts w:ascii="Times New Roman" w:eastAsiaTheme="minorEastAsia" w:hAnsi="Times New Roman" w:cs="Times New Roman"/>
        </w:rPr>
        <w:t xml:space="preserve">.  </w:t>
      </w:r>
      <w:r w:rsidR="00593A7B">
        <w:rPr>
          <w:rFonts w:ascii="Times New Roman" w:eastAsiaTheme="minorEastAsia" w:hAnsi="Times New Roman" w:cs="Times New Roman"/>
        </w:rPr>
        <w:t xml:space="preserve">By default, the two degrees of freedom in </w:t>
      </w:r>
      <m:oMath>
        <m:r>
          <m:rPr>
            <m:sty m:val="b"/>
          </m:rPr>
          <w:rPr>
            <w:rFonts w:ascii="Cambria Math" w:hAnsi="Cambria Math"/>
          </w:rPr>
          <m:t>H</m:t>
        </m:r>
      </m:oMath>
      <w:r w:rsidR="00593A7B">
        <w:rPr>
          <w:rFonts w:ascii="Times New Roman" w:eastAsiaTheme="minorEastAsia" w:hAnsi="Times New Roman" w:cs="Times New Roman"/>
          <w:b/>
        </w:rPr>
        <w:t xml:space="preserve"> </w:t>
      </w:r>
      <w:r w:rsidR="00593A7B">
        <w:rPr>
          <w:rFonts w:ascii="Times New Roman" w:eastAsiaTheme="minorEastAsia" w:hAnsi="Times New Roman" w:cs="Times New Roman"/>
        </w:rPr>
        <w:t xml:space="preserve">are estimated as fixed effects, but the user can specify isotropy (i.e., </w:t>
      </w:r>
      <m:oMath>
        <m:r>
          <m:rPr>
            <m:sty m:val="b"/>
          </m:rPr>
          <w:rPr>
            <w:rFonts w:ascii="Cambria Math" w:hAnsi="Cambria Math"/>
          </w:rPr>
          <m:t>H=I</m:t>
        </m:r>
      </m:oMath>
      <w:r w:rsidR="00593A7B">
        <w:rPr>
          <w:rFonts w:ascii="Times New Roman" w:eastAsiaTheme="minorEastAsia" w:hAnsi="Times New Roman" w:cs="Times New Roman"/>
        </w:rPr>
        <w:t>) by specifying:</w:t>
      </w:r>
    </w:p>
    <w:p w14:paraId="09E199A4" w14:textId="2B0B631A"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ECFEE0A" w14:textId="545DA786"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Data_Fn</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7B1E9B97" w14:textId="7B54A8B1" w:rsidR="00593A7B" w:rsidRDefault="00593A7B" w:rsidP="00A75CC9">
      <w:pPr>
        <w:spacing w:after="0" w:line="480" w:lineRule="auto"/>
        <w:rPr>
          <w:rFonts w:ascii="Times New Roman" w:eastAsiaTheme="minorEastAsia" w:hAnsi="Times New Roman" w:cs="Times New Roman"/>
          <w:iCs/>
          <w:sz w:val="24"/>
          <w:szCs w:val="24"/>
        </w:rPr>
      </w:pPr>
    </w:p>
    <w:p w14:paraId="79D898D7" w14:textId="27F6A1FA" w:rsidR="00593A7B" w:rsidRDefault="00593A7B" w:rsidP="00593A7B">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w:t>
      </w:r>
      <w:r w:rsidR="00603463">
        <w:rPr>
          <w:rFonts w:ascii="Times New Roman" w:eastAsiaTheme="minorEastAsia" w:hAnsi="Times New Roman" w:cs="Times New Roman"/>
          <w:iCs/>
          <w:sz w:val="24"/>
          <w:szCs w:val="24"/>
        </w:rPr>
        <w:t>.  By default VAST specifies these as follows</w:t>
      </w:r>
      <w:r>
        <w:rPr>
          <w:rFonts w:ascii="Times New Roman" w:eastAsiaTheme="minorEastAsia" w:hAnsi="Times New Roman" w:cs="Times New Roman"/>
          <w:iCs/>
          <w:sz w:val="24"/>
          <w:szCs w:val="24"/>
        </w:rPr>
        <w:t>:</w:t>
      </w:r>
    </w:p>
    <w:p w14:paraId="2CEAF2BC" w14:textId="7BDC7550" w:rsidR="00593A7B" w:rsidRDefault="001219C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CC84307" w14:textId="6F446FD8" w:rsidR="00593A7B" w:rsidRDefault="001219C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77E9975C" w14:textId="76F9C7F9" w:rsidR="00593A7B" w:rsidRDefault="001219C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5600BFA9" w14:textId="32D377C3" w:rsidR="00593A7B" w:rsidRDefault="001219C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51CB5687" w14:textId="32221766" w:rsidR="00593A7B" w:rsidRDefault="00B920C4"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where other parameters are defined similarly.  Specifying a variance of 1.0 ensures that the covariance among categories is defined by the loadings matrix for that term.  </w:t>
      </w:r>
      <w:r w:rsidR="00603463">
        <w:rPr>
          <w:rFonts w:ascii="Times New Roman" w:eastAsiaTheme="minorEastAsia" w:hAnsi="Times New Roman" w:cs="Times New Roman"/>
          <w:iCs/>
          <w:sz w:val="24"/>
          <w:szCs w:val="24"/>
        </w:rPr>
        <w:t>However, VAST allows spatio-temporal variance to be specified differently as discussed in the section titled “</w:t>
      </w:r>
      <w:r w:rsidR="00603463" w:rsidRPr="00603463">
        <w:rPr>
          <w:rFonts w:ascii="Times New Roman" w:eastAsiaTheme="minorEastAsia" w:hAnsi="Times New Roman" w:cs="Times New Roman"/>
          <w:iCs/>
          <w:sz w:val="24"/>
          <w:szCs w:val="24"/>
        </w:rPr>
        <w:t>Structure on parameters among years</w:t>
      </w:r>
      <w:r w:rsidR="00603463">
        <w:rPr>
          <w:rFonts w:ascii="Times New Roman" w:eastAsiaTheme="minorEastAsia" w:hAnsi="Times New Roman" w:cs="Times New Roman"/>
          <w:iCs/>
          <w:sz w:val="24"/>
          <w:szCs w:val="24"/>
        </w:rPr>
        <w:t xml:space="preserve">”.  </w:t>
      </w:r>
    </w:p>
    <w:p w14:paraId="519F9A3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Structure on parameters among years</w:t>
      </w:r>
      <w:r>
        <w:rPr>
          <w:rFonts w:ascii="Times New Roman" w:eastAsiaTheme="minorEastAsia" w:hAnsi="Times New Roman" w:cs="Times New Roman"/>
          <w:iCs/>
          <w:sz w:val="24"/>
          <w:szCs w:val="24"/>
        </w:rPr>
        <w:t>:</w:t>
      </w:r>
    </w:p>
    <w:p w14:paraId="72EB7E7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4F5EFF82" w14:textId="74760670"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AF3FA3">
        <w:rPr>
          <w:rFonts w:ascii="Consolas" w:eastAsia="Times New Roman" w:hAnsi="Consolas" w:cs="Consolas"/>
          <w:color w:val="24292E"/>
          <w:sz w:val="20"/>
          <w:szCs w:val="20"/>
          <w:bdr w:val="none" w:sz="0" w:space="0" w:color="auto" w:frame="1"/>
          <w:lang w:eastAsia="en-GB"/>
        </w:rPr>
        <w:t>autoregressive structure for parameters over time</w:t>
      </w:r>
    </w:p>
    <w:p w14:paraId="0A7CF047"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761A834B" w14:textId="77777777" w:rsidR="00593A7B" w:rsidRDefault="00593A7B" w:rsidP="00593A7B">
      <w:pPr>
        <w:spacing w:after="0" w:line="480" w:lineRule="auto"/>
        <w:rPr>
          <w:rFonts w:ascii="Times New Roman" w:eastAsiaTheme="minorEastAsia" w:hAnsi="Times New Roman" w:cs="Times New Roman"/>
          <w:iCs/>
          <w:sz w:val="24"/>
          <w:szCs w:val="24"/>
        </w:rPr>
      </w:pPr>
    </w:p>
    <w:p w14:paraId="722BDA97" w14:textId="140AA38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[1]=0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[2]=0</w:t>
      </w:r>
      <w:r w:rsidR="00603463">
        <w:rPr>
          <w:rFonts w:ascii="Times New Roman" w:eastAsiaTheme="minorEastAsia" w:hAnsi="Times New Roman" w:cs="Times New Roman"/>
          <w:iCs/>
          <w:sz w:val="24"/>
          <w:szCs w:val="24"/>
        </w:rPr>
        <w:t>) t</w:t>
      </w:r>
      <w:r>
        <w:rPr>
          <w:rFonts w:ascii="Times New Roman" w:eastAsiaTheme="minorEastAsia" w:hAnsi="Times New Roman" w:cs="Times New Roman"/>
          <w:iCs/>
          <w:sz w:val="24"/>
          <w:szCs w:val="24"/>
        </w:rPr>
        <w:t xml:space="preserve">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176DC6EC" w14:textId="77777777" w:rsidR="00593A7B" w:rsidRDefault="001219C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9750D25" w14:textId="77777777" w:rsidR="00593A7B" w:rsidRDefault="001219C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4A86343C"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198EBBF0"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13CCAD5F"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2E23DE6B"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31187E99"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13BD7140"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AE6A88" w14:textId="12B88F6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[3]=0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[4]=0</w:t>
      </w:r>
      <w:r w:rsidR="0060346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6F39CBC7" w14:textId="707D6D87" w:rsidR="00593A7B" w:rsidRDefault="001219C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174B9279" w14:textId="7B965163" w:rsidR="00593A7B" w:rsidRDefault="001219C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493EE521"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0CE8ED2C"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5EDF5DB7"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3A1B202E"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42DD2AC3" w14:textId="77777777" w:rsidR="00BD775A"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derived quantities</w:t>
      </w:r>
    </w:p>
    <w:p w14:paraId="1D400EF3" w14:textId="2011144B" w:rsidR="00B920C4" w:rsidRDefault="00B920C4" w:rsidP="00A75CC9">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value of fixed effects that maximizes the Laplace approximation to the marginal likelihood, Template Model Builder predicts the value </w:t>
      </w:r>
      <w:r>
        <w:rPr>
          <w:rFonts w:ascii="Times New Roman" w:eastAsiaTheme="minorEastAsia" w:hAnsi="Times New Roman" w:cs="Times New Roman"/>
          <w:iCs/>
          <w:sz w:val="24"/>
          <w:szCs w:val="24"/>
        </w:rPr>
        <w:lastRenderedPageBreak/>
        <w:t xml:space="preserve">of random effects that maximizes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for :</w:t>
      </w:r>
    </w:p>
    <w:p w14:paraId="0F02CB16" w14:textId="12572130" w:rsidR="00B920C4" w:rsidRPr="00B920C4"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4F86F02" w14:textId="7F635726"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21135002" w14:textId="5A6AC81A"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By default, density is used to predict total abundance for the entire domain </w:t>
      </w:r>
      <w:r w:rsidR="00713A3F">
        <w:rPr>
          <w:rFonts w:ascii="Times New Roman" w:eastAsiaTheme="minorEastAsia" w:hAnsi="Times New Roman" w:cs="Times New Roman"/>
          <w:iCs/>
          <w:sz w:val="24"/>
          <w:szCs w:val="24"/>
        </w:rPr>
        <w:t xml:space="preserve">(or a subset of the domain) </w:t>
      </w:r>
      <w:r>
        <w:rPr>
          <w:rFonts w:ascii="Times New Roman" w:eastAsiaTheme="minorEastAsia" w:hAnsi="Times New Roman" w:cs="Times New Roman"/>
          <w:iCs/>
          <w:sz w:val="24"/>
          <w:szCs w:val="24"/>
        </w:rPr>
        <w:t>for a given species:</w:t>
      </w:r>
    </w:p>
    <w:p w14:paraId="2FCDB559" w14:textId="7232C7CA" w:rsidR="00B920C4" w:rsidRPr="00713A3F"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929C5EB" w14:textId="4268483C" w:rsidR="00713A3F" w:rsidRDefault="00713A3F"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iCs/>
          <w:sz w:val="24"/>
          <w:szCs w:val="24"/>
        </w:rPr>
        <w:t>.  The user can also specify additional post-hoc calculations via input:</w:t>
      </w:r>
    </w:p>
    <w:p w14:paraId="0FF8D03B" w14:textId="77777777"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57591909" w14:textId="4C56F15B"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w:t>
      </w:r>
      <w:proofErr w:type="spellStart"/>
      <w:r w:rsidRPr="00713A3F">
        <w:rPr>
          <w:rFonts w:ascii="Consolas" w:eastAsia="Times New Roman" w:hAnsi="Consolas" w:cs="Consolas"/>
          <w:color w:val="24292E"/>
          <w:sz w:val="20"/>
          <w:szCs w:val="20"/>
          <w:bdr w:val="none" w:sz="0" w:space="0" w:color="auto" w:frame="1"/>
          <w:lang w:eastAsia="en-GB"/>
        </w:rPr>
        <w:t>SD_site_density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SD_site_lo</w:t>
      </w:r>
      <w:r w:rsidR="00642D15">
        <w:rPr>
          <w:rFonts w:ascii="Consolas" w:eastAsia="Times New Roman" w:hAnsi="Consolas" w:cs="Consolas"/>
          <w:color w:val="24292E"/>
          <w:sz w:val="20"/>
          <w:szCs w:val="20"/>
          <w:bdr w:val="none" w:sz="0" w:space="0" w:color="auto" w:frame="1"/>
          <w:lang w:eastAsia="en-GB"/>
        </w:rPr>
        <w:t>gdensity</w:t>
      </w:r>
      <w:proofErr w:type="spellEnd"/>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Calculate_Range</w:t>
      </w:r>
      <w:proofErr w:type="spellEnd"/>
      <w:r w:rsidR="00642D15">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Calculate_evenness</w:t>
      </w:r>
      <w:proofErr w:type="spellEnd"/>
      <w:r w:rsidRPr="00713A3F">
        <w:rPr>
          <w:rFonts w:ascii="Consolas" w:eastAsia="Times New Roman" w:hAnsi="Consolas" w:cs="Consolas"/>
          <w:color w:val="24292E"/>
          <w:sz w:val="20"/>
          <w:szCs w:val="20"/>
          <w:bdr w:val="none" w:sz="0" w:space="0" w:color="auto" w:frame="1"/>
          <w:lang w:eastAsia="en-GB"/>
        </w:rPr>
        <w:t>"</w:t>
      </w:r>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Calculate_effective_area</w:t>
      </w:r>
      <w:proofErr w:type="spellEnd"/>
      <w:r w:rsidR="00642D15">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Calculate_Cov_SE</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Calculate_Synchrony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Calculate_Coherence</w:t>
      </w:r>
      <w:proofErr w:type="spellEnd"/>
      <w:r w:rsidRPr="00713A3F">
        <w:rPr>
          <w:rFonts w:ascii="Consolas" w:eastAsia="Times New Roman" w:hAnsi="Consolas" w:cs="Consolas"/>
          <w:color w:val="24292E"/>
          <w:sz w:val="20"/>
          <w:szCs w:val="20"/>
          <w:bdr w:val="none" w:sz="0" w:space="0" w:color="auto" w:frame="1"/>
          <w:lang w:eastAsia="en-GB"/>
        </w:rPr>
        <w:t>'=0)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022518E" w14:textId="77777777" w:rsidR="00713A3F" w:rsidRDefault="00713A3F" w:rsidP="00713A3F">
      <w:pPr>
        <w:spacing w:after="0" w:line="480" w:lineRule="auto"/>
        <w:rPr>
          <w:rFonts w:ascii="Times New Roman" w:eastAsiaTheme="minorEastAsia" w:hAnsi="Times New Roman" w:cs="Times New Roman"/>
          <w:iCs/>
          <w:sz w:val="24"/>
          <w:szCs w:val="24"/>
        </w:rPr>
      </w:pPr>
    </w:p>
    <w:p w14:paraId="35A7F7D8" w14:textId="2AED3640" w:rsidR="00713A3F" w:rsidRP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642D15">
        <w:rPr>
          <w:rFonts w:ascii="Times New Roman" w:eastAsia="Times New Roman" w:hAnsi="Times New Roman" w:cs="Times New Roman"/>
          <w:color w:val="24292E"/>
          <w:sz w:val="24"/>
          <w:szCs w:val="24"/>
          <w:bdr w:val="none" w:sz="0" w:space="0" w:color="auto" w:frame="1"/>
          <w:lang w:eastAsia="en-GB"/>
        </w:rPr>
        <w:t>Distribution shif</w:t>
      </w:r>
      <w:r w:rsidRPr="00642D15">
        <w:rPr>
          <w:rFonts w:ascii="Consolas" w:eastAsia="Times New Roman" w:hAnsi="Consolas" w:cs="Consolas"/>
          <w:color w:val="24292E"/>
          <w:sz w:val="20"/>
          <w:szCs w:val="20"/>
          <w:bdr w:val="none" w:sz="0" w:space="0" w:color="auto" w:frame="1"/>
          <w:lang w:eastAsia="en-GB"/>
        </w:rPr>
        <w:t xml:space="preserve">t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6DB390F2" w14:textId="03E0E5C4"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5F8979C6" w14:textId="01CA5C0E"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p>
    <w:p w14:paraId="02E4CB70" w14:textId="7CEFAC9F" w:rsid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Pr>
          <w:rFonts w:ascii="Times New Roman" w:eastAsia="Times New Roman" w:hAnsi="Times New Roman" w:cs="Times New Roman"/>
          <w:color w:val="24292E"/>
          <w:sz w:val="24"/>
          <w:szCs w:val="24"/>
          <w:bdr w:val="none" w:sz="0" w:space="0" w:color="auto" w:frame="1"/>
          <w:lang w:eastAsia="en-GB"/>
        </w:rPr>
        <w:t xml:space="preserve">Range expansion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6F711B83" w14:textId="4443137E" w:rsidR="00642D15" w:rsidRPr="00642D15" w:rsidRDefault="001219C9" w:rsidP="00642D15">
      <w:pPr>
        <w:pStyle w:val="ListParagraph"/>
        <w:spacing w:after="0" w:line="480" w:lineRule="auto"/>
        <w:ind w:left="360"/>
        <w:rPr>
          <w:rFonts w:ascii="Times New Roman" w:eastAsiaTheme="minorEastAsia" w:hAnsi="Times New Roman" w:cs="Times New Roman"/>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5C4FACCD" w14:textId="5FF0AA9F"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1E5D32B3" w14:textId="6EB332B1"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5855B6BB" w14:textId="3A81B66C" w:rsidR="002737A0" w:rsidRPr="002737A0" w:rsidRDefault="002737A0" w:rsidP="00A75CC9">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t>Works cited</w:t>
      </w:r>
    </w:p>
    <w:p w14:paraId="6B5004AA" w14:textId="77777777" w:rsidR="002737A0" w:rsidRPr="002737A0" w:rsidRDefault="002737A0" w:rsidP="002737A0">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Pr="002737A0">
        <w:rPr>
          <w:rFonts w:ascii="Times New Roman" w:hAnsi="Times New Roman" w:cs="Times New Roman"/>
          <w:sz w:val="24"/>
        </w:rPr>
        <w:t xml:space="preserve">Lindgren, F. 2012. Continuous domain spatial models in R-INLA. ISBA Bull. </w:t>
      </w:r>
      <w:r w:rsidRPr="002737A0">
        <w:rPr>
          <w:rFonts w:ascii="Times New Roman" w:hAnsi="Times New Roman" w:cs="Times New Roman"/>
          <w:b/>
          <w:bCs/>
          <w:sz w:val="24"/>
        </w:rPr>
        <w:t>19</w:t>
      </w:r>
      <w:r w:rsidRPr="002737A0">
        <w:rPr>
          <w:rFonts w:ascii="Times New Roman" w:hAnsi="Times New Roman" w:cs="Times New Roman"/>
          <w:sz w:val="24"/>
        </w:rPr>
        <w:t>(4): 14–20.</w:t>
      </w:r>
    </w:p>
    <w:p w14:paraId="77CFDAB3" w14:textId="77777777" w:rsidR="002737A0" w:rsidRPr="002737A0" w:rsidRDefault="002737A0" w:rsidP="002737A0">
      <w:pPr>
        <w:pStyle w:val="Bibliography"/>
        <w:rPr>
          <w:rFonts w:ascii="Times New Roman" w:hAnsi="Times New Roman" w:cs="Times New Roman"/>
          <w:sz w:val="24"/>
        </w:rPr>
      </w:pPr>
      <w:r w:rsidRPr="002737A0">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2737A0">
        <w:rPr>
          <w:rFonts w:ascii="Times New Roman" w:hAnsi="Times New Roman" w:cs="Times New Roman"/>
          <w:b/>
          <w:bCs/>
          <w:sz w:val="24"/>
        </w:rPr>
        <w:t>73</w:t>
      </w:r>
      <w:r w:rsidRPr="002737A0">
        <w:rPr>
          <w:rFonts w:ascii="Times New Roman" w:hAnsi="Times New Roman" w:cs="Times New Roman"/>
          <w:sz w:val="24"/>
        </w:rPr>
        <w:t>(4): 423–498. doi:10.1111/j.1467-9868.2011.00777.x.</w:t>
      </w:r>
    </w:p>
    <w:p w14:paraId="7C06096C" w14:textId="77777777" w:rsidR="002737A0"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0EA472F1" w14:textId="77777777" w:rsidR="002737A0" w:rsidRPr="00493EE0" w:rsidRDefault="002737A0" w:rsidP="00A75CC9">
      <w:pPr>
        <w:spacing w:after="0" w:line="480" w:lineRule="auto"/>
        <w:rPr>
          <w:rFonts w:ascii="Times New Roman" w:eastAsiaTheme="minorEastAsia" w:hAnsi="Times New Roman" w:cs="Times New Roman"/>
          <w:iCs/>
          <w:sz w:val="24"/>
          <w:szCs w:val="24"/>
        </w:rPr>
      </w:pPr>
    </w:p>
    <w:sectPr w:rsidR="002737A0" w:rsidRPr="00493EE0" w:rsidSect="00F64E99">
      <w:footerReference w:type="default" r:id="rId8"/>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63EDA" w14:textId="77777777" w:rsidR="00CD6DEB" w:rsidRDefault="00CD6DEB" w:rsidP="00F64E99">
      <w:pPr>
        <w:spacing w:after="0" w:line="240" w:lineRule="auto"/>
      </w:pPr>
      <w:r>
        <w:separator/>
      </w:r>
    </w:p>
  </w:endnote>
  <w:endnote w:type="continuationSeparator" w:id="0">
    <w:p w14:paraId="4F67D4E0" w14:textId="77777777" w:rsidR="00CD6DEB" w:rsidRDefault="00CD6DEB" w:rsidP="00F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46E293F" w14:textId="7607A4EE" w:rsidR="001219C9" w:rsidRDefault="001219C9">
        <w:pPr>
          <w:pStyle w:val="Footer"/>
          <w:jc w:val="center"/>
        </w:pPr>
        <w:r>
          <w:fldChar w:fldCharType="begin"/>
        </w:r>
        <w:r>
          <w:instrText xml:space="preserve"> PAGE   \* MERGEFORMAT </w:instrText>
        </w:r>
        <w:r>
          <w:fldChar w:fldCharType="separate"/>
        </w:r>
        <w:r w:rsidR="008D0970">
          <w:rPr>
            <w:noProof/>
          </w:rPr>
          <w:t>8</w:t>
        </w:r>
        <w:r>
          <w:rPr>
            <w:noProof/>
          </w:rPr>
          <w:fldChar w:fldCharType="end"/>
        </w:r>
      </w:p>
    </w:sdtContent>
  </w:sdt>
  <w:p w14:paraId="113119A0" w14:textId="77777777" w:rsidR="001219C9" w:rsidRDefault="00121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5DAA8" w14:textId="77777777" w:rsidR="00CD6DEB" w:rsidRDefault="00CD6DEB" w:rsidP="00F64E99">
      <w:pPr>
        <w:spacing w:after="0" w:line="240" w:lineRule="auto"/>
      </w:pPr>
      <w:r>
        <w:separator/>
      </w:r>
    </w:p>
  </w:footnote>
  <w:footnote w:type="continuationSeparator" w:id="0">
    <w:p w14:paraId="683EC869" w14:textId="77777777" w:rsidR="00CD6DEB" w:rsidRDefault="00CD6DEB" w:rsidP="00F6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D9B7995"/>
    <w:multiLevelType w:val="hybridMultilevel"/>
    <w:tmpl w:val="5150E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7"/>
    <w:rsid w:val="000F4520"/>
    <w:rsid w:val="001219C9"/>
    <w:rsid w:val="001828F8"/>
    <w:rsid w:val="001C2369"/>
    <w:rsid w:val="002232B6"/>
    <w:rsid w:val="002737A0"/>
    <w:rsid w:val="002B7DDC"/>
    <w:rsid w:val="003B75F4"/>
    <w:rsid w:val="00493EE0"/>
    <w:rsid w:val="00522AB0"/>
    <w:rsid w:val="00544F3D"/>
    <w:rsid w:val="00593A7B"/>
    <w:rsid w:val="00603463"/>
    <w:rsid w:val="00642D15"/>
    <w:rsid w:val="00682E89"/>
    <w:rsid w:val="006D220D"/>
    <w:rsid w:val="007108FF"/>
    <w:rsid w:val="00713A3F"/>
    <w:rsid w:val="00777154"/>
    <w:rsid w:val="007810F7"/>
    <w:rsid w:val="007B2DD9"/>
    <w:rsid w:val="008947B7"/>
    <w:rsid w:val="008D0970"/>
    <w:rsid w:val="008E17DC"/>
    <w:rsid w:val="008E2DF7"/>
    <w:rsid w:val="00984B1E"/>
    <w:rsid w:val="0098740E"/>
    <w:rsid w:val="00A2136E"/>
    <w:rsid w:val="00A75CC9"/>
    <w:rsid w:val="00AC32E7"/>
    <w:rsid w:val="00AF3FA3"/>
    <w:rsid w:val="00B1286D"/>
    <w:rsid w:val="00B920C4"/>
    <w:rsid w:val="00BD775A"/>
    <w:rsid w:val="00C920D5"/>
    <w:rsid w:val="00CD6DEB"/>
    <w:rsid w:val="00D23016"/>
    <w:rsid w:val="00E71A2E"/>
    <w:rsid w:val="00F6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A1E"/>
  <w15:chartTrackingRefBased/>
  <w15:docId w15:val="{79365A62-B870-46D5-A8C1-51347FC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E0"/>
    <w:rPr>
      <w:color w:val="808080"/>
    </w:rPr>
  </w:style>
  <w:style w:type="paragraph" w:styleId="NormalWeb">
    <w:name w:val="Normal (Web)"/>
    <w:basedOn w:val="Normal"/>
    <w:uiPriority w:val="99"/>
    <w:semiHidden/>
    <w:unhideWhenUsed/>
    <w:rsid w:val="00A21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2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3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136E"/>
    <w:rPr>
      <w:rFonts w:ascii="Courier New" w:eastAsia="Times New Roman" w:hAnsi="Courier New" w:cs="Courier New"/>
      <w:sz w:val="20"/>
      <w:szCs w:val="20"/>
    </w:rPr>
  </w:style>
  <w:style w:type="paragraph" w:styleId="Header">
    <w:name w:val="header"/>
    <w:basedOn w:val="Normal"/>
    <w:link w:val="HeaderChar"/>
    <w:uiPriority w:val="99"/>
    <w:unhideWhenUsed/>
    <w:rsid w:val="00F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99"/>
  </w:style>
  <w:style w:type="paragraph" w:styleId="Footer">
    <w:name w:val="footer"/>
    <w:basedOn w:val="Normal"/>
    <w:link w:val="FooterChar"/>
    <w:uiPriority w:val="99"/>
    <w:unhideWhenUsed/>
    <w:rsid w:val="00F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99"/>
  </w:style>
  <w:style w:type="character" w:styleId="LineNumber">
    <w:name w:val="line number"/>
    <w:basedOn w:val="DefaultParagraphFont"/>
    <w:uiPriority w:val="99"/>
    <w:semiHidden/>
    <w:unhideWhenUsed/>
    <w:rsid w:val="00F64E99"/>
  </w:style>
  <w:style w:type="paragraph" w:styleId="ListParagraph">
    <w:name w:val="List Paragraph"/>
    <w:basedOn w:val="Normal"/>
    <w:uiPriority w:val="34"/>
    <w:qFormat/>
    <w:rsid w:val="00AC32E7"/>
    <w:pPr>
      <w:ind w:left="720"/>
      <w:contextualSpacing/>
    </w:pPr>
  </w:style>
  <w:style w:type="paragraph" w:styleId="Bibliography">
    <w:name w:val="Bibliography"/>
    <w:basedOn w:val="Normal"/>
    <w:next w:val="Normal"/>
    <w:uiPriority w:val="37"/>
    <w:unhideWhenUsed/>
    <w:rsid w:val="002737A0"/>
    <w:pPr>
      <w:spacing w:after="0" w:line="240" w:lineRule="auto"/>
      <w:ind w:left="720" w:hanging="720"/>
    </w:pPr>
  </w:style>
  <w:style w:type="character" w:styleId="CommentReference">
    <w:name w:val="annotation reference"/>
    <w:basedOn w:val="DefaultParagraphFont"/>
    <w:uiPriority w:val="99"/>
    <w:semiHidden/>
    <w:unhideWhenUsed/>
    <w:rsid w:val="002737A0"/>
    <w:rPr>
      <w:sz w:val="16"/>
      <w:szCs w:val="16"/>
    </w:rPr>
  </w:style>
  <w:style w:type="paragraph" w:styleId="CommentText">
    <w:name w:val="annotation text"/>
    <w:basedOn w:val="Normal"/>
    <w:link w:val="CommentTextChar"/>
    <w:uiPriority w:val="99"/>
    <w:semiHidden/>
    <w:unhideWhenUsed/>
    <w:rsid w:val="002737A0"/>
    <w:pPr>
      <w:spacing w:line="240" w:lineRule="auto"/>
    </w:pPr>
    <w:rPr>
      <w:sz w:val="20"/>
      <w:szCs w:val="20"/>
    </w:rPr>
  </w:style>
  <w:style w:type="character" w:customStyle="1" w:styleId="CommentTextChar">
    <w:name w:val="Comment Text Char"/>
    <w:basedOn w:val="DefaultParagraphFont"/>
    <w:link w:val="CommentText"/>
    <w:uiPriority w:val="99"/>
    <w:semiHidden/>
    <w:rsid w:val="002737A0"/>
    <w:rPr>
      <w:sz w:val="20"/>
      <w:szCs w:val="20"/>
    </w:rPr>
  </w:style>
  <w:style w:type="paragraph" w:styleId="CommentSubject">
    <w:name w:val="annotation subject"/>
    <w:basedOn w:val="CommentText"/>
    <w:next w:val="CommentText"/>
    <w:link w:val="CommentSubjectChar"/>
    <w:uiPriority w:val="99"/>
    <w:semiHidden/>
    <w:unhideWhenUsed/>
    <w:rsid w:val="002737A0"/>
    <w:rPr>
      <w:b/>
      <w:bCs/>
    </w:rPr>
  </w:style>
  <w:style w:type="character" w:customStyle="1" w:styleId="CommentSubjectChar">
    <w:name w:val="Comment Subject Char"/>
    <w:basedOn w:val="CommentTextChar"/>
    <w:link w:val="CommentSubject"/>
    <w:uiPriority w:val="99"/>
    <w:semiHidden/>
    <w:rsid w:val="002737A0"/>
    <w:rPr>
      <w:b/>
      <w:bCs/>
      <w:sz w:val="20"/>
      <w:szCs w:val="20"/>
    </w:rPr>
  </w:style>
  <w:style w:type="paragraph" w:styleId="Revision">
    <w:name w:val="Revision"/>
    <w:hidden/>
    <w:uiPriority w:val="99"/>
    <w:semiHidden/>
    <w:rsid w:val="002737A0"/>
    <w:pPr>
      <w:spacing w:after="0" w:line="240" w:lineRule="auto"/>
    </w:pPr>
  </w:style>
  <w:style w:type="paragraph" w:styleId="BalloonText">
    <w:name w:val="Balloon Text"/>
    <w:basedOn w:val="Normal"/>
    <w:link w:val="BalloonTextChar"/>
    <w:uiPriority w:val="99"/>
    <w:semiHidden/>
    <w:unhideWhenUsed/>
    <w:rsid w:val="0027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2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5A699-53BF-4CF8-9466-25B6B8481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23</cp:revision>
  <cp:lastPrinted>2017-03-07T22:43:00Z</cp:lastPrinted>
  <dcterms:created xsi:type="dcterms:W3CDTF">2017-03-06T16:23:00Z</dcterms:created>
  <dcterms:modified xsi:type="dcterms:W3CDTF">2017-03-08T18:30:00Z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id="7wVvHwyO"/&gt;&lt;style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