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77777777"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I use a delta-model that includes two linear predictors.  The linear predictor for encounter probability:</w:t>
      </w:r>
    </w:p>
    <w:p w14:paraId="0434B736" w14:textId="527AA1D2" w:rsidR="008947B7" w:rsidRPr="00493EE0" w:rsidRDefault="001435DA"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2DC500DB"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w:t>
      </w:r>
      <w:r>
        <w:rPr>
          <w:rFonts w:ascii="Times New Roman" w:eastAsiaTheme="minorEastAsia" w:hAnsi="Times New Roman" w:cs="Times New Roman"/>
          <w:iCs/>
          <w:sz w:val="24"/>
          <w:szCs w:val="24"/>
        </w:rPr>
        <w:lastRenderedPageBreak/>
        <w:t xml:space="preserve">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linear predictor for positive catch rates:</w:t>
      </w:r>
    </w:p>
    <w:p w14:paraId="4BC2BB6C" w14:textId="78129563" w:rsidR="00493EE0" w:rsidRPr="00493EE0" w:rsidRDefault="001435DA"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89CF561" w14:textId="061EBAD2"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574423">
        <w:rPr>
          <w:rFonts w:ascii="Times New Roman" w:eastAsiaTheme="minorEastAsia" w:hAnsi="Times New Roman" w:cs="Times New Roman"/>
          <w:iCs/>
          <w:sz w:val="24"/>
          <w:szCs w:val="24"/>
        </w:rPr>
        <w:instrText xml:space="preserve"> ADDIN ZOTERO_ITEM CSL_CITATION {"citationID":"OuCA02XX","properties":{"formattedCitation":"(Thorson and Barnett In press, Thorson et al. In press)","plainCitation":"(Thorson and Barnett In press, Thorson et al. In press)"},"citationItems":[{"id":18,"uris":["http://zotero.org/users/251206/items/G264R26P"],"uri":["http://zotero.org/users/251206/items/G264R26P"],"itemData":{"id":18,"type":"article-journal","title":"The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press"}}},{"id":1079,"uris":["http://zotero.org/users/251206/items/M7HH22S9"],"uri":["http://zotero.org/users/251206/items/M7HH22S9"],"itemData":{"id":1079,"type":"article-journal","title":"Comparing estimates of abundance trends and distribution shifts using single- and multispecies models of fishes and biogenic habitat","container-title":"ICES Journal of Marine Science","source":"academic.oup.com","URL":"https://academic.oup.com/icesjms/article-abstract/doi/10.1093/icesjms/fsw193/2907795/Comparing-estimates-of-abundance-trends-and","DOI":"10.1093/icesjms/fsw193","journalAbbreviation":"ICES J Mar Sci","author":[{"family":"Thorson","given":"James T."},{"family":"Barnett","given":"Lewis A. K."}],"issued":{"literal":"In press"},"accessed":{"date-parts":[["2017",4,3]]}}}],"schema":"https://github.com/citation-style-language/schema/raw/master/csl-citation.json"}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574423" w:rsidRPr="00574423">
        <w:rPr>
          <w:rFonts w:ascii="Times New Roman" w:hAnsi="Times New Roman" w:cs="Times New Roman"/>
          <w:sz w:val="24"/>
        </w:rPr>
        <w:t>(Thorson and Barnett In press, Thorson et al. In press)</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w:t>
      </w:r>
      <w:r>
        <w:rPr>
          <w:rFonts w:ascii="Times New Roman" w:eastAsiaTheme="minorEastAsia" w:hAnsi="Times New Roman" w:cs="Times New Roman"/>
          <w:iCs/>
          <w:sz w:val="24"/>
          <w:szCs w:val="24"/>
        </w:rPr>
        <w:lastRenderedPageBreak/>
        <w:t xml:space="preserve">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652FF00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A2136E" w:rsidRPr="00836325">
        <w:rPr>
          <w:rFonts w:ascii="Times New Roman" w:eastAsiaTheme="minorEastAsia" w:hAnsi="Times New Roman" w:cs="Times New Roman"/>
          <w:iCs/>
          <w:sz w:val="24"/>
          <w:szCs w:val="24"/>
        </w:rPr>
        <w:t>corresponds to a conventional delta-model:</w:t>
      </w:r>
    </w:p>
    <w:p w14:paraId="5C8179A3" w14:textId="47134932" w:rsidR="00A2136E" w:rsidRPr="00A2136E" w:rsidRDefault="001435DA"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73A6F97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1435DA"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591F94E4"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5BA2770F"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lastRenderedPageBreak/>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“Poisson-process” link function that approximates a Tweedie distribution:</w:t>
      </w:r>
    </w:p>
    <w:p w14:paraId="6C215F81" w14:textId="3B063963" w:rsidR="00A2136E" w:rsidRPr="00A2136E" w:rsidRDefault="001435DA"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1435DA"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36362705"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{"citationID":"1uep9nrr30","properties":{"formattedCitation":"(Thorson In review)","plainCitation":"(Thorson In review)"},"citationItems":[{"id":3897,"uris":["http://zotero.org/users/251206/items/TAPTKH6C"],"uri":["http://zotero.org/users/251206/items/TAPTKH6C"],"itemData":{"id":3897,"type":"article-journal","title":"Three problems with the conventional delta-model for biomass sampling data, and a computationally efficient alternative","author":[{"family":"Thorson","given":"James T."}],"issued":{"literal":"In review"}}}],"schema":"https://github.com/citation-style-language/schema/raw/master/csl-citation.json"}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In review)</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positive catch rates.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bookmarkStart w:id="0" w:name="_GoBack"/>
      <w:bookmarkEnd w:id="0"/>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787925FE" w14:textId="13A170A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calculates the probability of data as:</w:t>
      </w:r>
    </w:p>
    <w:p w14:paraId="5AB36D52" w14:textId="782A1C4A" w:rsidR="00E71A2E" w:rsidRDefault="001435DA"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29FE84B8"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1C7BB552" w:rsidR="001828F8" w:rsidRDefault="001435DA"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n</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1435DA"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1435DA"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1435DA"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1435DA"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1435DA"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1435DA"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1435DA"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1435DA"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7BDDC46"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category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w:t>
      </w:r>
      <w:r>
        <w:rPr>
          <w:rFonts w:ascii="Times New Roman" w:eastAsiaTheme="minorEastAsia" w:hAnsi="Times New Roman" w:cs="Times New Roman"/>
          <w:iCs/>
          <w:sz w:val="24"/>
          <w:szCs w:val="24"/>
        </w:rPr>
        <w:lastRenderedPageBreak/>
        <w:t>VAST allows separate estimates of spatial vs. spatio-temporal covariation</w:t>
      </w:r>
      <w:r w:rsidR="00780695">
        <w:rPr>
          <w:rFonts w:ascii="Times New Roman" w:eastAsiaTheme="minorEastAsia" w:hAnsi="Times New Roman" w:cs="Times New Roman"/>
          <w:iCs/>
          <w:sz w:val="24"/>
          <w:szCs w:val="24"/>
        </w:rPr>
        <w:t xml:space="preserve"> and also the user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77777777"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57591909" w14:textId="4C56F15B"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1A9666D0" w:rsidR="00286D03" w:rsidRPr="00642D15"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5855B6BB" w14:textId="3A81B66C"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t>Works cited</w:t>
      </w:r>
    </w:p>
    <w:p w14:paraId="14352552" w14:textId="77777777" w:rsidR="00574423" w:rsidRPr="00574423" w:rsidRDefault="002737A0" w:rsidP="00574423">
      <w:pPr>
        <w:pStyle w:val="Bibliography"/>
        <w:rPr>
          <w:rFonts w:ascii="Times New Roman" w:hAnsi="Times New Roman" w:cs="Times New Roman"/>
          <w:sz w:val="24"/>
        </w:rPr>
      </w:pPr>
      <w:r>
        <w:rPr>
          <w:rFonts w:eastAsiaTheme="minorEastAsia"/>
          <w:b/>
          <w:iCs/>
        </w:rPr>
        <w:fldChar w:fldCharType="begin"/>
      </w:r>
      <w:r w:rsidR="00574423">
        <w:rPr>
          <w:rFonts w:eastAsiaTheme="minorEastAsia"/>
          <w:b/>
          <w:iCs/>
        </w:rPr>
        <w:instrText xml:space="preserve"> ADDIN ZOTERO_BIBL {"custom":[]} CSL_BIBLIOGRAPHY </w:instrText>
      </w:r>
      <w:r>
        <w:rPr>
          <w:rFonts w:eastAsiaTheme="minorEastAsia"/>
          <w:b/>
          <w:iCs/>
        </w:rPr>
        <w:fldChar w:fldCharType="separate"/>
      </w:r>
      <w:r w:rsidR="00574423" w:rsidRPr="00574423">
        <w:rPr>
          <w:rFonts w:ascii="Times New Roman" w:hAnsi="Times New Roman" w:cs="Times New Roman"/>
          <w:sz w:val="24"/>
        </w:rPr>
        <w:t xml:space="preserve">Lindgren, F. 2012. Continuous domain spatial models in R-INLA. ISBA Bull. </w:t>
      </w:r>
      <w:r w:rsidR="00574423" w:rsidRPr="00574423">
        <w:rPr>
          <w:rFonts w:ascii="Times New Roman" w:hAnsi="Times New Roman" w:cs="Times New Roman"/>
          <w:b/>
          <w:bCs/>
          <w:sz w:val="24"/>
        </w:rPr>
        <w:t>19</w:t>
      </w:r>
      <w:r w:rsidR="00574423" w:rsidRPr="00574423">
        <w:rPr>
          <w:rFonts w:ascii="Times New Roman" w:hAnsi="Times New Roman" w:cs="Times New Roman"/>
          <w:sz w:val="24"/>
        </w:rPr>
        <w:t>(4): 14–20.</w:t>
      </w:r>
    </w:p>
    <w:p w14:paraId="55E579BA"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574423">
        <w:rPr>
          <w:rFonts w:ascii="Times New Roman" w:hAnsi="Times New Roman" w:cs="Times New Roman"/>
          <w:b/>
          <w:bCs/>
          <w:sz w:val="24"/>
        </w:rPr>
        <w:t>73</w:t>
      </w:r>
      <w:r w:rsidRPr="00574423">
        <w:rPr>
          <w:rFonts w:ascii="Times New Roman" w:hAnsi="Times New Roman" w:cs="Times New Roman"/>
          <w:sz w:val="24"/>
        </w:rPr>
        <w:t>(4): 423–498. doi:10.1111/j.1467-9868.2011.00777.x.</w:t>
      </w:r>
    </w:p>
    <w:p w14:paraId="5F7BC496"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574423">
        <w:rPr>
          <w:rFonts w:ascii="Times New Roman" w:hAnsi="Times New Roman" w:cs="Times New Roman"/>
          <w:b/>
          <w:bCs/>
          <w:sz w:val="24"/>
        </w:rPr>
        <w:t>71</w:t>
      </w:r>
      <w:r w:rsidRPr="00574423">
        <w:rPr>
          <w:rFonts w:ascii="Times New Roman" w:hAnsi="Times New Roman" w:cs="Times New Roman"/>
          <w:sz w:val="24"/>
        </w:rPr>
        <w:t>(11): 1655–1666. doi:10.1139/cjfas-2013-0508.</w:t>
      </w:r>
    </w:p>
    <w:p w14:paraId="2A319D8A"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In review. Three problems with the conventional delta-model for biomass sampling data, and a computationally efficient alternative.</w:t>
      </w:r>
    </w:p>
    <w:p w14:paraId="4C7571F3"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and Barnett, L.A.K. In press. Comparing estimates of abundance trends and distribution shifts using single- and multispecies models of fishes and biogenic habitat. ICES J. Mar. Sci. doi:10.1093/icesjms/fsw193.</w:t>
      </w:r>
    </w:p>
    <w:p w14:paraId="50A167AB"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5B12F6A4"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Ianelli, J.N., Larsen, E.A., Ries, L., Scheuerell, M.D., Szuwalski, C., and Zipkin, E.F. 2016a. Joint dynamic species distribution models: a tool for community </w:t>
      </w:r>
      <w:r w:rsidRPr="00574423">
        <w:rPr>
          <w:rFonts w:ascii="Times New Roman" w:hAnsi="Times New Roman" w:cs="Times New Roman"/>
          <w:sz w:val="24"/>
        </w:rPr>
        <w:lastRenderedPageBreak/>
        <w:t xml:space="preserve">ordination and spatio-temporal monitoring. Glob. Ecol. Biogeogr. </w:t>
      </w:r>
      <w:r w:rsidRPr="00574423">
        <w:rPr>
          <w:rFonts w:ascii="Times New Roman" w:hAnsi="Times New Roman" w:cs="Times New Roman"/>
          <w:b/>
          <w:bCs/>
          <w:sz w:val="24"/>
        </w:rPr>
        <w:t>25</w:t>
      </w:r>
      <w:r w:rsidRPr="00574423">
        <w:rPr>
          <w:rFonts w:ascii="Times New Roman" w:hAnsi="Times New Roman" w:cs="Times New Roman"/>
          <w:sz w:val="24"/>
        </w:rPr>
        <w:t>(9): 1144–1158. doi:10.1111/geb.12464.</w:t>
      </w:r>
    </w:p>
    <w:p w14:paraId="018CE486"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574423">
        <w:rPr>
          <w:rFonts w:ascii="Times New Roman" w:hAnsi="Times New Roman" w:cs="Times New Roman"/>
          <w:b/>
          <w:bCs/>
          <w:sz w:val="24"/>
        </w:rPr>
        <w:t>7</w:t>
      </w:r>
      <w:r w:rsidRPr="00574423">
        <w:rPr>
          <w:rFonts w:ascii="Times New Roman" w:hAnsi="Times New Roman" w:cs="Times New Roman"/>
          <w:sz w:val="24"/>
        </w:rPr>
        <w:t>(8): 990–1002. doi:10.1111/2041-210X.12567.</w:t>
      </w:r>
    </w:p>
    <w:p w14:paraId="15278E39"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574423">
        <w:rPr>
          <w:rFonts w:ascii="Times New Roman" w:hAnsi="Times New Roman" w:cs="Times New Roman"/>
          <w:b/>
          <w:bCs/>
          <w:sz w:val="24"/>
        </w:rPr>
        <w:t>283</w:t>
      </w:r>
      <w:r w:rsidRPr="00574423">
        <w:rPr>
          <w:rFonts w:ascii="Times New Roman" w:hAnsi="Times New Roman" w:cs="Times New Roman"/>
          <w:sz w:val="24"/>
        </w:rPr>
        <w:t>(1840): 20161853. doi:10.1098/rspb.2016.1853.</w:t>
      </w:r>
    </w:p>
    <w:p w14:paraId="2987D443"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574423">
        <w:rPr>
          <w:rFonts w:ascii="Times New Roman" w:hAnsi="Times New Roman" w:cs="Times New Roman"/>
          <w:b/>
          <w:bCs/>
          <w:sz w:val="24"/>
        </w:rPr>
        <w:t>6</w:t>
      </w:r>
      <w:r w:rsidRPr="00574423">
        <w:rPr>
          <w:rFonts w:ascii="Times New Roman" w:hAnsi="Times New Roman" w:cs="Times New Roman"/>
          <w:sz w:val="24"/>
        </w:rPr>
        <w:t>(6): 627–637. doi:10.1111/2041-210X.12359.</w:t>
      </w:r>
    </w:p>
    <w:p w14:paraId="5AE6CC1E"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574423">
        <w:rPr>
          <w:rFonts w:ascii="Times New Roman" w:hAnsi="Times New Roman" w:cs="Times New Roman"/>
          <w:b/>
          <w:bCs/>
          <w:sz w:val="24"/>
        </w:rPr>
        <w:t>72</w:t>
      </w:r>
      <w:r w:rsidRPr="00574423">
        <w:rPr>
          <w:rFonts w:ascii="Times New Roman" w:hAnsi="Times New Roman" w:cs="Times New Roman"/>
          <w:sz w:val="24"/>
        </w:rPr>
        <w:t>(5): 1297–1310. doi:10.1093/icesjms/fsu243.</w:t>
      </w:r>
    </w:p>
    <w:p w14:paraId="63317ED0"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574423">
        <w:rPr>
          <w:rFonts w:ascii="Times New Roman" w:hAnsi="Times New Roman" w:cs="Times New Roman"/>
          <w:b/>
          <w:bCs/>
          <w:sz w:val="24"/>
        </w:rPr>
        <w:t>96</w:t>
      </w:r>
      <w:r w:rsidRPr="00574423">
        <w:rPr>
          <w:rFonts w:ascii="Times New Roman" w:hAnsi="Times New Roman" w:cs="Times New Roman"/>
          <w:sz w:val="24"/>
        </w:rPr>
        <w:t>(5): 1202–1212. doi:10.1890/14-0739.1.</w:t>
      </w:r>
    </w:p>
    <w:p w14:paraId="7C06096C" w14:textId="7CDAE6E6"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8"/>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669EF" w14:textId="77777777" w:rsidR="001435DA" w:rsidRDefault="001435DA" w:rsidP="00F64E99">
      <w:pPr>
        <w:spacing w:after="0" w:line="240" w:lineRule="auto"/>
      </w:pPr>
      <w:r>
        <w:separator/>
      </w:r>
    </w:p>
  </w:endnote>
  <w:endnote w:type="continuationSeparator" w:id="0">
    <w:p w14:paraId="33EC55E9" w14:textId="77777777" w:rsidR="001435DA" w:rsidRDefault="001435DA"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6699D4B0" w:rsidR="00836325" w:rsidRDefault="00836325">
        <w:pPr>
          <w:pStyle w:val="Footer"/>
          <w:jc w:val="center"/>
        </w:pPr>
        <w:r>
          <w:fldChar w:fldCharType="begin"/>
        </w:r>
        <w:r>
          <w:instrText xml:space="preserve"> PAGE   \* MERGEFORMAT </w:instrText>
        </w:r>
        <w:r>
          <w:fldChar w:fldCharType="separate"/>
        </w:r>
        <w:r w:rsidR="00CD0BBC">
          <w:rPr>
            <w:noProof/>
          </w:rPr>
          <w:t>4</w:t>
        </w:r>
        <w:r>
          <w:rPr>
            <w:noProof/>
          </w:rPr>
          <w:fldChar w:fldCharType="end"/>
        </w:r>
      </w:p>
    </w:sdtContent>
  </w:sdt>
  <w:p w14:paraId="113119A0" w14:textId="77777777" w:rsidR="00836325" w:rsidRDefault="00836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15C06" w14:textId="77777777" w:rsidR="001435DA" w:rsidRDefault="001435DA" w:rsidP="00F64E99">
      <w:pPr>
        <w:spacing w:after="0" w:line="240" w:lineRule="auto"/>
      </w:pPr>
      <w:r>
        <w:separator/>
      </w:r>
    </w:p>
  </w:footnote>
  <w:footnote w:type="continuationSeparator" w:id="0">
    <w:p w14:paraId="772005AB" w14:textId="77777777" w:rsidR="001435DA" w:rsidRDefault="001435DA"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D9B7995"/>
    <w:multiLevelType w:val="hybridMultilevel"/>
    <w:tmpl w:val="5150E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57F00"/>
    <w:rsid w:val="000F4520"/>
    <w:rsid w:val="001219C9"/>
    <w:rsid w:val="001435DA"/>
    <w:rsid w:val="00146248"/>
    <w:rsid w:val="001828F8"/>
    <w:rsid w:val="001C2369"/>
    <w:rsid w:val="002232B6"/>
    <w:rsid w:val="002737A0"/>
    <w:rsid w:val="00286D03"/>
    <w:rsid w:val="002B7DDC"/>
    <w:rsid w:val="002F5671"/>
    <w:rsid w:val="003B75F4"/>
    <w:rsid w:val="00470B75"/>
    <w:rsid w:val="00493EE0"/>
    <w:rsid w:val="00522AB0"/>
    <w:rsid w:val="00544F3D"/>
    <w:rsid w:val="00574423"/>
    <w:rsid w:val="00593A7B"/>
    <w:rsid w:val="00603463"/>
    <w:rsid w:val="00642D15"/>
    <w:rsid w:val="00682E89"/>
    <w:rsid w:val="006D220D"/>
    <w:rsid w:val="007108FF"/>
    <w:rsid w:val="00713A3F"/>
    <w:rsid w:val="00777154"/>
    <w:rsid w:val="00780695"/>
    <w:rsid w:val="007810F7"/>
    <w:rsid w:val="007B2DD9"/>
    <w:rsid w:val="00836325"/>
    <w:rsid w:val="008373C7"/>
    <w:rsid w:val="008947B7"/>
    <w:rsid w:val="008D0970"/>
    <w:rsid w:val="008E17DC"/>
    <w:rsid w:val="008E2DF7"/>
    <w:rsid w:val="00984B1E"/>
    <w:rsid w:val="0098740E"/>
    <w:rsid w:val="00A2136E"/>
    <w:rsid w:val="00A75CC9"/>
    <w:rsid w:val="00A87F7C"/>
    <w:rsid w:val="00AC32E7"/>
    <w:rsid w:val="00AF3FA3"/>
    <w:rsid w:val="00B1286D"/>
    <w:rsid w:val="00B920C4"/>
    <w:rsid w:val="00BD775A"/>
    <w:rsid w:val="00C920D5"/>
    <w:rsid w:val="00CD0BBC"/>
    <w:rsid w:val="00CD6DEB"/>
    <w:rsid w:val="00D23016"/>
    <w:rsid w:val="00D51253"/>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F0138-65A9-4DBF-8F10-44EBBAF6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7471</Words>
  <Characters>42591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32</cp:revision>
  <cp:lastPrinted>2017-03-09T18:55:00Z</cp:lastPrinted>
  <dcterms:created xsi:type="dcterms:W3CDTF">2017-03-06T16:23:00Z</dcterms:created>
  <dcterms:modified xsi:type="dcterms:W3CDTF">2017-04-05T14:56:00Z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id="orn6S5A7"/&gt;&lt;style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