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77777777"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I use a delta-model that includes two linear predictors.  The linear predictor for encounter probability:</w:t>
      </w:r>
    </w:p>
    <w:p w14:paraId="0434B736" w14:textId="77777777" w:rsidR="008947B7" w:rsidRPr="00493EE0" w:rsidRDefault="007810F7"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77777777"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hAnsi="Cambria Math" w:cs="Times New Roman"/>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for cell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in the extrapolation grid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w:t>
      </w:r>
      <w:r>
        <w:rPr>
          <w:rFonts w:ascii="Times New Roman" w:eastAsiaTheme="minorEastAsia" w:hAnsi="Times New Roman" w:cs="Times New Roman"/>
          <w:iCs/>
          <w:sz w:val="24"/>
          <w:szCs w:val="24"/>
        </w:rPr>
        <w:lastRenderedPageBreak/>
        <w:t xml:space="preserve">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w:t>
      </w:r>
      <w:proofErr w:type="spellStart"/>
      <w:r>
        <w:rPr>
          <w:rFonts w:ascii="Times New Roman" w:eastAsiaTheme="minorEastAsia" w:hAnsi="Times New Roman" w:cs="Times New Roman"/>
          <w:iCs/>
          <w:sz w:val="24"/>
          <w:szCs w:val="24"/>
          <w:lang w:val="en-US"/>
        </w:rPr>
        <w:t>edictor</w:t>
      </w:r>
      <w:proofErr w:type="spellEnd"/>
      <w:r>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linear predictor for positive catch rates:</w:t>
      </w:r>
    </w:p>
    <w:p w14:paraId="4BC2BB6C" w14:textId="77777777" w:rsidR="00493EE0" w:rsidRPr="00493EE0" w:rsidRDefault="007810F7"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89CF561" w14:textId="77777777"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77777777"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77777777"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ab/>
        <w:t xml:space="preserve">There are different user-controlled options for link-functions that calculate expected encounter probability and positive catch rates given these two linear predictors.  </w:t>
      </w:r>
    </w:p>
    <w:p w14:paraId="199EDAF7" w14:textId="77777777" w:rsidR="00A2136E" w:rsidRPr="00A2136E" w:rsidRDefault="00A2136E"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D23016">
        <w:rPr>
          <w:rFonts w:ascii="Consolas" w:eastAsia="Times New Roman" w:hAnsi="Consolas" w:cs="Consolas"/>
          <w:color w:val="24292E"/>
          <w:sz w:val="20"/>
          <w:szCs w:val="20"/>
          <w:bdr w:val="none" w:sz="0" w:space="0" w:color="auto" w:frame="1"/>
          <w:lang w:eastAsia="en-GB"/>
        </w:rPr>
        <w:t>number of catchability factors</w:t>
      </w:r>
    </w:p>
    <w:p w14:paraId="7E4303E1" w14:textId="77777777" w:rsidR="00A2136E" w:rsidRPr="00A2136E" w:rsidRDefault="00D23016"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sidRPr="00D23016">
        <w:rPr>
          <w:rFonts w:ascii="Consolas" w:eastAsia="Times New Roman" w:hAnsi="Consolas" w:cs="Consolas"/>
          <w:color w:val="24292E"/>
          <w:sz w:val="20"/>
          <w:szCs w:val="20"/>
          <w:bdr w:val="none" w:sz="0" w:space="0" w:color="auto" w:frame="1"/>
          <w:lang w:eastAsia="en-GB"/>
        </w:rPr>
        <w:t xml:space="preserve"> = c("Vessel"=0, "</w:t>
      </w:r>
      <w:proofErr w:type="spellStart"/>
      <w:r w:rsidRPr="00D23016">
        <w:rPr>
          <w:rFonts w:ascii="Consolas" w:eastAsia="Times New Roman" w:hAnsi="Consolas" w:cs="Consolas"/>
          <w:color w:val="24292E"/>
          <w:sz w:val="20"/>
          <w:szCs w:val="20"/>
          <w:bdr w:val="none" w:sz="0" w:space="0" w:color="auto" w:frame="1"/>
          <w:lang w:eastAsia="en-GB"/>
        </w:rPr>
        <w:t>VesselYear</w:t>
      </w:r>
      <w:proofErr w:type="spellEnd"/>
      <w:r w:rsidRPr="00D23016">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400009B7" w14:textId="77777777" w:rsidR="00A2136E"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roofErr w:type="spellStart"/>
      <w:r>
        <w:rPr>
          <w:rFonts w:ascii="Consolas" w:eastAsia="Times New Roman" w:hAnsi="Consolas" w:cs="Consolas"/>
          <w:color w:val="24292E"/>
          <w:sz w:val="20"/>
          <w:szCs w:val="20"/>
          <w:bdr w:val="none" w:sz="0" w:space="0" w:color="auto" w:frame="1"/>
          <w:lang w:eastAsia="en-GB"/>
        </w:rPr>
        <w:t>ObsModelp</w:t>
      </w:r>
      <w:proofErr w:type="spellEnd"/>
      <w:r>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corresponds to a conventional delta-model:</w:t>
      </w:r>
    </w:p>
    <w:p w14:paraId="5C8179A3" w14:textId="77777777" w:rsidR="00A2136E" w:rsidRPr="00A2136E" w:rsidRDefault="007810F7"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oMath>
      </m:oMathPara>
    </w:p>
    <w:p w14:paraId="6E2438FB"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encounter probability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(a)</m:t>
        </m:r>
      </m:oMath>
      <w:r>
        <w:rPr>
          <w:rFonts w:ascii="Times New Roman" w:eastAsiaTheme="minorEastAsia" w:hAnsi="Times New Roman" w:cs="Times New Roman"/>
          <w:iCs/>
          <w:sz w:val="24"/>
          <w:szCs w:val="24"/>
        </w:rPr>
        <w:t xml:space="preserve"> is the logistic function, and:</w:t>
      </w:r>
    </w:p>
    <w:p w14:paraId="7EAADC0F" w14:textId="77777777" w:rsidR="00A2136E" w:rsidRPr="00A2136E" w:rsidRDefault="007810F7"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oMath>
      </m:oMathPara>
    </w:p>
    <w:p w14:paraId="7BC9146C"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predicted biomass density for positive catch rates and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(a)</m:t>
        </m:r>
      </m:oMath>
      <w:r>
        <w:rPr>
          <w:rFonts w:ascii="Times New Roman" w:eastAsiaTheme="minorEastAsia" w:hAnsi="Times New Roman" w:cs="Times New Roman"/>
          <w:iCs/>
          <w:sz w:val="24"/>
          <w:szCs w:val="24"/>
        </w:rPr>
        <w:t xml:space="preserve"> is the exponential fu</w:t>
      </w:r>
      <w:proofErr w:type="spellStart"/>
      <w:r>
        <w:rPr>
          <w:rFonts w:ascii="Times New Roman" w:eastAsiaTheme="minorEastAsia" w:hAnsi="Times New Roman" w:cs="Times New Roman"/>
          <w:iCs/>
          <w:sz w:val="24"/>
          <w:szCs w:val="24"/>
        </w:rPr>
        <w:t>nction</w:t>
      </w:r>
      <w:proofErr w:type="spellEnd"/>
      <w:r>
        <w:rPr>
          <w:rFonts w:ascii="Times New Roman" w:eastAsiaTheme="minorEastAsia" w:hAnsi="Times New Roman" w:cs="Times New Roman"/>
          <w:iCs/>
          <w:sz w:val="24"/>
          <w:szCs w:val="24"/>
        </w:rPr>
        <w:t xml:space="preserve">.  Alternatively, </w:t>
      </w:r>
      <w:proofErr w:type="spellStart"/>
      <w:r>
        <w:rPr>
          <w:rFonts w:ascii="Consolas" w:eastAsia="Times New Roman" w:hAnsi="Consolas" w:cs="Consolas"/>
          <w:color w:val="24292E"/>
          <w:sz w:val="20"/>
          <w:szCs w:val="20"/>
          <w:bdr w:val="none" w:sz="0" w:space="0" w:color="auto" w:frame="1"/>
          <w:lang w:eastAsia="en-GB"/>
        </w:rPr>
        <w:t>ObsModelp</w:t>
      </w:r>
      <w:proofErr w:type="spellEnd"/>
      <w:r>
        <w:rPr>
          <w:rFonts w:ascii="Consolas" w:eastAsia="Times New Roman" w:hAnsi="Consolas" w:cs="Consolas"/>
          <w:color w:val="24292E"/>
          <w:sz w:val="20"/>
          <w:szCs w:val="20"/>
          <w:bdr w:val="none" w:sz="0" w:space="0" w:color="auto" w:frame="1"/>
          <w:lang w:eastAsia="en-GB"/>
        </w:rPr>
        <w:t xml:space="preserve">[2]=1 </w:t>
      </w:r>
      <w:r>
        <w:rPr>
          <w:rFonts w:ascii="Times New Roman" w:eastAsiaTheme="minorEastAsia" w:hAnsi="Times New Roman" w:cs="Times New Roman"/>
          <w:iCs/>
          <w:sz w:val="24"/>
          <w:szCs w:val="24"/>
        </w:rPr>
        <w:t>corresponds to a “Poisson-process” link function that approximates a Tweedie distribution:</w:t>
      </w:r>
    </w:p>
    <w:p w14:paraId="6C215F81" w14:textId="77777777" w:rsidR="00A2136E" w:rsidRPr="00A2136E" w:rsidRDefault="007810F7"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=1-exp</m:t>
          </m:r>
          <m:d>
            <m:dPr>
              <m:ctrlPr>
                <w:rPr>
                  <w:rFonts w:ascii="Cambria Math" w:hAnsi="Cambria Math" w:cs="Times New Roman"/>
                  <w:i/>
                  <w:iCs/>
                  <w:sz w:val="24"/>
                  <w:szCs w:val="24"/>
                </w:rPr>
              </m:ctrlPr>
            </m:dPr>
            <m:e>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e>
          </m:d>
          <m:r>
            <w:rPr>
              <w:rFonts w:ascii="Cambria Math" w:hAnsi="Cambria Math" w:cs="Times New Roman"/>
              <w:sz w:val="24"/>
              <w:szCs w:val="24"/>
            </w:rPr>
            <m:t xml:space="preserve"> </m:t>
          </m:r>
        </m:oMath>
      </m:oMathPara>
    </w:p>
    <w:p w14:paraId="5759C3D5"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1-exp</m:t>
        </m:r>
        <m:d>
          <m:dPr>
            <m:ctrlPr>
              <w:rPr>
                <w:rFonts w:ascii="Cambria Math" w:hAnsi="Cambria Math" w:cs="Times New Roman"/>
                <w:i/>
                <w:iCs/>
                <w:sz w:val="24"/>
                <w:szCs w:val="24"/>
              </w:rPr>
            </m:ctrlPr>
          </m:dPr>
          <m:e>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r>
                      <w:rPr>
                        <w:rFonts w:ascii="Cambria Math" w:hAnsi="Cambria Math" w:cs="Times New Roman"/>
                        <w:sz w:val="24"/>
                        <w:szCs w:val="24"/>
                      </w:rPr>
                      <m:t>a</m:t>
                    </m:r>
                  </m:e>
                </m:d>
              </m:e>
            </m:func>
          </m:e>
        </m:d>
      </m:oMath>
      <w:r>
        <w:rPr>
          <w:rFonts w:ascii="Times New Roman" w:eastAsiaTheme="minorEastAsia" w:hAnsi="Times New Roman" w:cs="Times New Roman"/>
          <w:iCs/>
          <w:sz w:val="24"/>
          <w:szCs w:val="24"/>
        </w:rPr>
        <w:t xml:space="preserve"> is a complementary log-log link, and:</w:t>
      </w:r>
    </w:p>
    <w:p w14:paraId="29BAB8D8" w14:textId="77777777" w:rsidR="00A2136E" w:rsidRPr="00A2136E" w:rsidRDefault="007810F7"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Cs/>
                  <w:sz w:val="24"/>
                  <w:szCs w:val="24"/>
                </w:rPr>
              </m:ctrlPr>
            </m:fPr>
            <m:num>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m:oMathPara>
    </w:p>
    <w:p w14:paraId="7B51F09C" w14:textId="77777777" w:rsidR="00A2136E" w:rsidRDefault="00C920D5"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predicted biomass density for positive catch rates.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w:r>
        <w:rPr>
          <w:rFonts w:ascii="Times New Roman" w:eastAsiaTheme="minorEastAsia" w:hAnsi="Times New Roman" w:cs="Times New Roman"/>
          <w:iCs/>
          <w:sz w:val="24"/>
          <w:szCs w:val="24"/>
        </w:rPr>
        <w:t xml:space="preserve"> is interpreted as the density in number of individuals per area,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w:r>
        <w:rPr>
          <w:rFonts w:ascii="Times New Roman" w:eastAsiaTheme="minorEastAsia" w:hAnsi="Times New Roman" w:cs="Times New Roman"/>
          <w:iCs/>
          <w:sz w:val="24"/>
          <w:szCs w:val="24"/>
        </w:rPr>
        <w:t xml:space="preserve"> is interpreted as the average weight per individual.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positive catch rates.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c(2,0)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787925FE"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w:t>
      </w:r>
      <w:r w:rsidR="0098740E">
        <w:rPr>
          <w:rFonts w:ascii="Times New Roman" w:eastAsiaTheme="minorEastAsia" w:hAnsi="Times New Roman" w:cs="Times New Roman"/>
          <w:iCs/>
          <w:sz w:val="24"/>
          <w:szCs w:val="24"/>
        </w:rPr>
        <w:t>probability density function</w:t>
      </w:r>
      <w:r>
        <w:rPr>
          <w:rFonts w:ascii="Times New Roman" w:eastAsiaTheme="minorEastAsia" w:hAnsi="Times New Roman" w:cs="Times New Roman"/>
          <w:iCs/>
          <w:sz w:val="24"/>
          <w:szCs w:val="24"/>
        </w:rPr>
        <w:t xml:space="preserve"> </w:t>
      </w:r>
      <w:r w:rsidR="0098740E">
        <w:rPr>
          <w:rFonts w:ascii="Times New Roman" w:eastAsiaTheme="minorEastAsia" w:hAnsi="Times New Roman" w:cs="Times New Roman"/>
          <w:iCs/>
          <w:sz w:val="24"/>
          <w:szCs w:val="24"/>
        </w:rPr>
        <w:t xml:space="preserve">used for positive catch rates </w:t>
      </w:r>
      <w:r>
        <w:rPr>
          <w:rFonts w:ascii="Times New Roman" w:eastAsiaTheme="minorEastAsia" w:hAnsi="Times New Roman" w:cs="Times New Roman"/>
          <w:iCs/>
          <w:sz w:val="24"/>
          <w:szCs w:val="24"/>
        </w:rPr>
        <w:t xml:space="preserve">(see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VAST then calculates the probability of data as:</w:t>
      </w:r>
    </w:p>
    <w:p w14:paraId="5AB36D52" w14:textId="38DC937B" w:rsidR="00E71A2E" w:rsidRDefault="007810F7"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3D843292"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is a probability density function for positive catch rates with expectation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1C7BB552" w:rsidR="001828F8" w:rsidRDefault="007810F7"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n</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w:t>
      </w:r>
      <w:r w:rsidR="00603463">
        <w:rPr>
          <w:rFonts w:ascii="Consolas" w:eastAsia="Times New Roman" w:hAnsi="Consolas" w:cs="Consolas"/>
          <w:color w:val="24292E"/>
          <w:sz w:val="20"/>
          <w:szCs w:val="20"/>
          <w:bdr w:val="none" w:sz="0" w:space="0" w:color="auto" w:frame="1"/>
          <w:lang w:eastAsia="en-GB"/>
        </w:rPr>
        <w:t>]=0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w:t>
      </w:r>
      <w:r w:rsidR="00603463">
        <w:rPr>
          <w:rFonts w:ascii="Consolas" w:eastAsia="Times New Roman" w:hAnsi="Consolas" w:cs="Consolas"/>
          <w:color w:val="24292E"/>
          <w:sz w:val="20"/>
          <w:szCs w:val="20"/>
          <w:bdr w:val="none" w:sz="0" w:space="0" w:color="auto" w:frame="1"/>
          <w:lang w:eastAsia="en-GB"/>
        </w:rPr>
        <w:t>]=0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7810F7"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w:t>
      </w:r>
      <w:bookmarkStart w:id="0" w:name="_GoBack"/>
      <w:bookmarkEnd w:id="0"/>
      <w:r>
        <w:rPr>
          <w:rFonts w:ascii="Times New Roman" w:eastAsiaTheme="minorEastAsia" w:hAnsi="Times New Roman" w:cs="Times New Roman"/>
          <w:iCs/>
          <w:sz w:val="24"/>
          <w:szCs w:val="24"/>
        </w:rPr>
        <w:t>a fixed effect</w:t>
      </w:r>
    </w:p>
    <w:p w14:paraId="3A1B202E"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w:t>
      </w:r>
      <w:r>
        <w:rPr>
          <w:rFonts w:ascii="Times New Roman" w:eastAsiaTheme="minorEastAsia" w:hAnsi="Times New Roman" w:cs="Times New Roman"/>
          <w:iCs/>
          <w:sz w:val="24"/>
          <w:szCs w:val="24"/>
        </w:rPr>
        <w:lastRenderedPageBreak/>
        <w:t xml:space="preserve">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4268483C"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642D15">
        <w:rPr>
          <w:rFonts w:ascii="Times New Roman" w:eastAsia="Times New Roman" w:hAnsi="Times New Roman" w:cs="Times New Roman"/>
          <w:color w:val="24292E"/>
          <w:sz w:val="24"/>
          <w:szCs w:val="24"/>
          <w:bdr w:val="none" w:sz="0" w:space="0" w:color="auto" w:frame="1"/>
          <w:lang w:eastAsia="en-GB"/>
        </w:rPr>
        <w:t>Distribution shif</w:t>
      </w:r>
      <w:r w:rsidRPr="00642D15">
        <w:rPr>
          <w:rFonts w:ascii="Consolas" w:eastAsia="Times New Roman" w:hAnsi="Consolas" w:cs="Consolas"/>
          <w:color w:val="24292E"/>
          <w:sz w:val="20"/>
          <w:szCs w:val="20"/>
          <w:bdr w:val="none" w:sz="0" w:space="0" w:color="auto" w:frame="1"/>
          <w:lang w:eastAsia="en-GB"/>
        </w:rPr>
        <w:t xml:space="preserve">t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01CA5C0E"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Pr>
          <w:rFonts w:ascii="Times New Roman" w:eastAsia="Times New Roman" w:hAnsi="Times New Roman" w:cs="Times New Roman"/>
          <w:color w:val="24292E"/>
          <w:sz w:val="24"/>
          <w:szCs w:val="24"/>
          <w:bdr w:val="none" w:sz="0" w:space="0" w:color="auto" w:frame="1"/>
          <w:lang w:eastAsia="en-GB"/>
        </w:rPr>
        <w:t xml:space="preserve">Range expansion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443137E" w:rsidR="00642D15" w:rsidRPr="00642D15" w:rsidRDefault="007810F7" w:rsidP="00642D15">
      <w:pPr>
        <w:pStyle w:val="ListParagraph"/>
        <w:spacing w:after="0" w:line="480" w:lineRule="auto"/>
        <w:ind w:left="360"/>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6EB332B1"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6B5004AA" w14:textId="77777777" w:rsidR="002737A0" w:rsidRPr="002737A0" w:rsidRDefault="002737A0" w:rsidP="002737A0">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2737A0">
        <w:rPr>
          <w:rFonts w:ascii="Times New Roman" w:hAnsi="Times New Roman" w:cs="Times New Roman"/>
          <w:sz w:val="24"/>
        </w:rPr>
        <w:t xml:space="preserve">Lindgren, F. 2012. Continuous domain spatial models in R-INLA. ISBA Bull. </w:t>
      </w:r>
      <w:r w:rsidRPr="002737A0">
        <w:rPr>
          <w:rFonts w:ascii="Times New Roman" w:hAnsi="Times New Roman" w:cs="Times New Roman"/>
          <w:b/>
          <w:bCs/>
          <w:sz w:val="24"/>
        </w:rPr>
        <w:t>19</w:t>
      </w:r>
      <w:r w:rsidRPr="002737A0">
        <w:rPr>
          <w:rFonts w:ascii="Times New Roman" w:hAnsi="Times New Roman" w:cs="Times New Roman"/>
          <w:sz w:val="24"/>
        </w:rPr>
        <w:t>(4): 14–20.</w:t>
      </w:r>
    </w:p>
    <w:p w14:paraId="77CFDAB3" w14:textId="77777777" w:rsidR="002737A0" w:rsidRPr="002737A0" w:rsidRDefault="002737A0" w:rsidP="002737A0">
      <w:pPr>
        <w:pStyle w:val="Bibliography"/>
        <w:rPr>
          <w:rFonts w:ascii="Times New Roman" w:hAnsi="Times New Roman" w:cs="Times New Roman"/>
          <w:sz w:val="24"/>
        </w:rPr>
      </w:pPr>
      <w:r w:rsidRPr="002737A0">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737A0">
        <w:rPr>
          <w:rFonts w:ascii="Times New Roman" w:hAnsi="Times New Roman" w:cs="Times New Roman"/>
          <w:b/>
          <w:bCs/>
          <w:sz w:val="24"/>
        </w:rPr>
        <w:t>73</w:t>
      </w:r>
      <w:r w:rsidRPr="002737A0">
        <w:rPr>
          <w:rFonts w:ascii="Times New Roman" w:hAnsi="Times New Roman" w:cs="Times New Roman"/>
          <w:sz w:val="24"/>
        </w:rPr>
        <w:t>(4): 423–498. doi:10.1111/j.1467-9868.2011.00777.x.</w:t>
      </w:r>
    </w:p>
    <w:p w14:paraId="7C06096C" w14:textId="77777777"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82DE8" w14:textId="77777777" w:rsidR="007810F7" w:rsidRDefault="007810F7" w:rsidP="00F64E99">
      <w:pPr>
        <w:spacing w:after="0" w:line="240" w:lineRule="auto"/>
      </w:pPr>
      <w:r>
        <w:separator/>
      </w:r>
    </w:p>
  </w:endnote>
  <w:endnote w:type="continuationSeparator" w:id="0">
    <w:p w14:paraId="46DD7DD0" w14:textId="77777777" w:rsidR="007810F7" w:rsidRDefault="007810F7"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266CE2FF" w:rsidR="00593A7B" w:rsidRDefault="00593A7B">
        <w:pPr>
          <w:pStyle w:val="Footer"/>
          <w:jc w:val="center"/>
        </w:pPr>
        <w:r>
          <w:fldChar w:fldCharType="begin"/>
        </w:r>
        <w:r>
          <w:instrText xml:space="preserve"> PAGE   \* MERGEFORMAT </w:instrText>
        </w:r>
        <w:r>
          <w:fldChar w:fldCharType="separate"/>
        </w:r>
        <w:r w:rsidR="00603463">
          <w:rPr>
            <w:noProof/>
          </w:rPr>
          <w:t>8</w:t>
        </w:r>
        <w:r>
          <w:rPr>
            <w:noProof/>
          </w:rPr>
          <w:fldChar w:fldCharType="end"/>
        </w:r>
      </w:p>
    </w:sdtContent>
  </w:sdt>
  <w:p w14:paraId="113119A0" w14:textId="77777777" w:rsidR="00593A7B" w:rsidRDefault="00593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348C1" w14:textId="77777777" w:rsidR="007810F7" w:rsidRDefault="007810F7" w:rsidP="00F64E99">
      <w:pPr>
        <w:spacing w:after="0" w:line="240" w:lineRule="auto"/>
      </w:pPr>
      <w:r>
        <w:separator/>
      </w:r>
    </w:p>
  </w:footnote>
  <w:footnote w:type="continuationSeparator" w:id="0">
    <w:p w14:paraId="4ED2A917" w14:textId="77777777" w:rsidR="007810F7" w:rsidRDefault="007810F7"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F4520"/>
    <w:rsid w:val="001828F8"/>
    <w:rsid w:val="001C2369"/>
    <w:rsid w:val="002232B6"/>
    <w:rsid w:val="002737A0"/>
    <w:rsid w:val="002B7DDC"/>
    <w:rsid w:val="003B75F4"/>
    <w:rsid w:val="00493EE0"/>
    <w:rsid w:val="00522AB0"/>
    <w:rsid w:val="00544F3D"/>
    <w:rsid w:val="00593A7B"/>
    <w:rsid w:val="00603463"/>
    <w:rsid w:val="00642D15"/>
    <w:rsid w:val="00682E89"/>
    <w:rsid w:val="006D220D"/>
    <w:rsid w:val="00713A3F"/>
    <w:rsid w:val="00777154"/>
    <w:rsid w:val="007810F7"/>
    <w:rsid w:val="007B2DD9"/>
    <w:rsid w:val="008947B7"/>
    <w:rsid w:val="008E17DC"/>
    <w:rsid w:val="008E2DF7"/>
    <w:rsid w:val="0098740E"/>
    <w:rsid w:val="00A2136E"/>
    <w:rsid w:val="00A75CC9"/>
    <w:rsid w:val="00AC32E7"/>
    <w:rsid w:val="00AF3FA3"/>
    <w:rsid w:val="00B1286D"/>
    <w:rsid w:val="00B920C4"/>
    <w:rsid w:val="00BD775A"/>
    <w:rsid w:val="00C920D5"/>
    <w:rsid w:val="00D23016"/>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0688B-E252-4251-B39B-88B5624A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20</cp:revision>
  <cp:lastPrinted>2017-03-07T22:43:00Z</cp:lastPrinted>
  <dcterms:created xsi:type="dcterms:W3CDTF">2017-03-06T16:23:00Z</dcterms:created>
  <dcterms:modified xsi:type="dcterms:W3CDTF">2017-03-07T22:47:00Z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id="7wVvHwyO"/&gt;&lt;style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